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宣传统战部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宣传统战部</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简述部门职能、组织机构及人员、资产等基本情况。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1.负责全区党的意识形态相关工作。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2.统筹指导全区理论学习、理论宣传工作,做好工委理论中心组理论学习的有关工作。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3.负责全区网络舆情引导、监控、处置等相关工作。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4.宏观指导全区宣传工作，统一管理新闻出版、电影管理,协调有关部门共同开展版权管理及保护工作。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5.负责互联网宣传管理工作，落实互联网信息工作传播方针、政策。</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6.负责全区统战工作，统一管理侨务工作。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7.贯彻落实党的民族和宗教工作方针政策及区工委决策部署，统筹协调民族事务和宗教工作中的重大问题，依法管理民族事务和宗教行政事务，全面促进民族事业发展，巩固和发展同宗教界的爱国统一战线。</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根据石高工【2021】53号文件中共石家庄高新技术产业开发区工委宣传统战部总岗位设置5个，其中：部门正职岗位1个、部门副职岗位1个；内设机构3个，内设机构正职岗位3个。</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截止2023年12月31日，本单位总资产账面金额为75.94万元，资产清查总额为75.94万元；账面固定资产总额为75.94万元；本年固定资产减少额为0元，本年固定资产处置审批金额为0元。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hint="eastAsia" w:ascii="楷体" w:hAnsi="楷体" w:eastAsia="楷体" w:cs="楷体_GB2312"/>
          <w:bCs/>
          <w:sz w:val="32"/>
          <w:szCs w:val="32"/>
        </w:rPr>
      </w:pPr>
      <w:r>
        <w:rPr>
          <w:rFonts w:hint="eastAsia" w:ascii="仿宋" w:hAnsi="仿宋" w:eastAsia="仿宋"/>
          <w:sz w:val="32"/>
          <w:szCs w:val="32"/>
          <w:lang w:val="en-US" w:eastAsia="zh-CN"/>
        </w:rPr>
        <w:t>2023年度收入支出预算执行基本情况:预算执行数为</w:t>
      </w:r>
      <w:r>
        <w:rPr>
          <w:rFonts w:hint="eastAsia" w:ascii="仿宋_GB2312" w:hAnsi="仿宋" w:eastAsia="仿宋_GB2312"/>
          <w:sz w:val="32"/>
          <w:szCs w:val="32"/>
          <w:lang w:val="en-US" w:eastAsia="zh-CN"/>
        </w:rPr>
        <w:t>647.015003万元</w:t>
      </w:r>
      <w:r>
        <w:rPr>
          <w:rFonts w:hint="eastAsia" w:ascii="仿宋" w:hAnsi="仿宋" w:eastAsia="仿宋"/>
          <w:sz w:val="32"/>
          <w:szCs w:val="32"/>
          <w:lang w:val="en-US" w:eastAsia="zh-CN"/>
        </w:rPr>
        <w:t>，</w:t>
      </w:r>
      <w:r>
        <w:rPr>
          <w:rFonts w:hint="eastAsia" w:ascii="仿宋_GB2312" w:hAnsi="仿宋" w:eastAsia="仿宋_GB2312"/>
          <w:sz w:val="32"/>
          <w:szCs w:val="32"/>
          <w:lang w:val="en-US" w:eastAsia="zh-CN"/>
        </w:rPr>
        <w:t>与上年度对比增加179.02938万元，主要原因是我部门2023年项目预算调增</w:t>
      </w:r>
      <w:r>
        <w:rPr>
          <w:rFonts w:hint="eastAsia" w:ascii="仿宋" w:hAnsi="仿宋" w:eastAsia="仿宋"/>
          <w:sz w:val="32"/>
          <w:szCs w:val="32"/>
          <w:lang w:val="en-US" w:eastAsia="zh-CN"/>
        </w:rPr>
        <w:t>。2023年度基本支出</w:t>
      </w:r>
      <w:r>
        <w:rPr>
          <w:rFonts w:hint="eastAsia" w:ascii="仿宋_GB2312" w:hAnsi="仿宋" w:eastAsia="仿宋_GB2312" w:cs="Times New Roman"/>
          <w:sz w:val="32"/>
          <w:szCs w:val="32"/>
          <w:lang w:val="en-US" w:eastAsia="zh-CN"/>
        </w:rPr>
        <w:t>131.855997万元</w:t>
      </w:r>
      <w:r>
        <w:rPr>
          <w:rFonts w:hint="eastAsia" w:ascii="仿宋" w:hAnsi="仿宋" w:eastAsia="仿宋"/>
          <w:sz w:val="32"/>
          <w:szCs w:val="32"/>
          <w:lang w:val="en-US" w:eastAsia="zh-CN"/>
        </w:rPr>
        <w:t>，</w:t>
      </w:r>
      <w:r>
        <w:rPr>
          <w:rFonts w:hint="eastAsia" w:ascii="仿宋_GB2312" w:hAnsi="仿宋" w:eastAsia="仿宋_GB2312" w:cs="Times New Roman"/>
          <w:sz w:val="32"/>
          <w:szCs w:val="32"/>
          <w:lang w:val="en-US" w:eastAsia="zh-CN"/>
        </w:rPr>
        <w:t>包括人员经费127.256147万元和公用经费4.59985万元。项目支出515.159006万元</w:t>
      </w:r>
      <w:r>
        <w:rPr>
          <w:rFonts w:hint="eastAsia" w:ascii="仿宋" w:hAnsi="仿宋" w:eastAsia="仿宋"/>
          <w:sz w:val="32"/>
          <w:szCs w:val="32"/>
          <w:lang w:val="en-US" w:eastAsia="zh-CN"/>
        </w:rPr>
        <w:t>，占预算80%。</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总体绩效目标</w:t>
      </w:r>
    </w:p>
    <w:p>
      <w:pPr>
        <w:keepNext w:val="0"/>
        <w:keepLines w:val="0"/>
        <w:pageBreakBefore w:val="0"/>
        <w:widowControl/>
        <w:numPr>
          <w:ilvl w:val="0"/>
          <w:numId w:val="0"/>
        </w:numPr>
        <w:kinsoku/>
        <w:wordWrap/>
        <w:overflowPunct/>
        <w:topLinePunct w:val="0"/>
        <w:autoSpaceDE/>
        <w:autoSpaceDN/>
        <w:bidi w:val="0"/>
        <w:adjustRightInd/>
        <w:snapToGrid w:val="0"/>
        <w:spacing w:line="520" w:lineRule="exact"/>
        <w:ind w:leftChars="0" w:firstLine="640" w:firstLineChars="200"/>
        <w:jc w:val="left"/>
        <w:textAlignment w:val="auto"/>
        <w:rPr>
          <w:rFonts w:hint="eastAsia" w:ascii="仿宋_GB2312" w:hAnsi="仿宋" w:eastAsia="仿宋_GB2312" w:cs="Times New Roman"/>
          <w:b w:val="0"/>
          <w:bCs w:val="0"/>
          <w:color w:val="000000"/>
          <w:sz w:val="32"/>
          <w:szCs w:val="32"/>
          <w:lang w:eastAsia="zh-CN"/>
        </w:rPr>
      </w:pPr>
      <w:r>
        <w:rPr>
          <w:rFonts w:hint="eastAsia" w:ascii="仿宋_GB2312" w:hAnsi="仿宋" w:eastAsia="仿宋_GB2312" w:cs="Times New Roman"/>
          <w:color w:val="000000"/>
          <w:sz w:val="32"/>
          <w:szCs w:val="32"/>
          <w:lang w:val="en-US" w:eastAsia="zh-CN"/>
        </w:rPr>
        <w:t>1.</w:t>
      </w:r>
      <w:r>
        <w:rPr>
          <w:rFonts w:hint="eastAsia" w:ascii="仿宋_GB2312" w:hAnsi="仿宋" w:eastAsia="仿宋_GB2312" w:cs="Times New Roman"/>
          <w:i w:val="0"/>
          <w:iCs w:val="0"/>
          <w:caps w:val="0"/>
          <w:color w:val="000000"/>
          <w:spacing w:val="0"/>
          <w:sz w:val="32"/>
          <w:szCs w:val="32"/>
          <w:shd w:val="clear" w:color="auto" w:fill="auto"/>
          <w:lang w:eastAsia="zh-CN"/>
        </w:rPr>
        <w:t>始终将</w:t>
      </w:r>
      <w:r>
        <w:rPr>
          <w:rFonts w:hint="eastAsia" w:ascii="仿宋_GB2312" w:hAnsi="仿宋" w:eastAsia="仿宋_GB2312" w:cs="Times New Roman"/>
          <w:i w:val="0"/>
          <w:iCs w:val="0"/>
          <w:caps w:val="0"/>
          <w:color w:val="000000"/>
          <w:spacing w:val="0"/>
          <w:sz w:val="32"/>
          <w:szCs w:val="32"/>
          <w:shd w:val="clear" w:color="auto" w:fill="auto"/>
        </w:rPr>
        <w:t>意识形态工作</w:t>
      </w:r>
      <w:r>
        <w:rPr>
          <w:rFonts w:hint="eastAsia" w:ascii="仿宋_GB2312" w:hAnsi="仿宋" w:eastAsia="仿宋_GB2312" w:cs="Times New Roman"/>
          <w:i w:val="0"/>
          <w:iCs w:val="0"/>
          <w:caps w:val="0"/>
          <w:color w:val="000000"/>
          <w:spacing w:val="0"/>
          <w:sz w:val="32"/>
          <w:szCs w:val="32"/>
          <w:shd w:val="clear" w:color="auto" w:fill="auto"/>
          <w:lang w:eastAsia="zh-CN"/>
        </w:rPr>
        <w:t>作为</w:t>
      </w:r>
      <w:r>
        <w:rPr>
          <w:rFonts w:hint="eastAsia" w:ascii="仿宋_GB2312" w:hAnsi="仿宋" w:eastAsia="仿宋_GB2312" w:cs="Times New Roman"/>
          <w:i w:val="0"/>
          <w:iCs w:val="0"/>
          <w:caps w:val="0"/>
          <w:color w:val="000000"/>
          <w:spacing w:val="0"/>
          <w:sz w:val="32"/>
          <w:szCs w:val="32"/>
          <w:shd w:val="clear" w:color="auto" w:fill="auto"/>
        </w:rPr>
        <w:t>一项极</w:t>
      </w:r>
      <w:r>
        <w:rPr>
          <w:rFonts w:hint="eastAsia" w:ascii="仿宋_GB2312" w:hAnsi="仿宋" w:eastAsia="仿宋_GB2312" w:cs="Times New Roman"/>
          <w:i w:val="0"/>
          <w:iCs w:val="0"/>
          <w:caps w:val="0"/>
          <w:color w:val="000000"/>
          <w:spacing w:val="0"/>
          <w:sz w:val="32"/>
          <w:szCs w:val="32"/>
          <w:shd w:val="clear" w:color="auto" w:fill="auto"/>
          <w:lang w:eastAsia="zh-CN"/>
        </w:rPr>
        <w:t>端</w:t>
      </w:r>
      <w:r>
        <w:rPr>
          <w:rFonts w:hint="eastAsia" w:ascii="仿宋_GB2312" w:hAnsi="仿宋" w:eastAsia="仿宋_GB2312" w:cs="Times New Roman"/>
          <w:i w:val="0"/>
          <w:iCs w:val="0"/>
          <w:caps w:val="0"/>
          <w:color w:val="000000"/>
          <w:spacing w:val="0"/>
          <w:sz w:val="32"/>
          <w:szCs w:val="32"/>
          <w:shd w:val="clear" w:color="auto" w:fill="auto"/>
        </w:rPr>
        <w:t>重要的工作</w:t>
      </w:r>
      <w:r>
        <w:rPr>
          <w:rFonts w:hint="eastAsia" w:ascii="仿宋_GB2312" w:hAnsi="仿宋" w:eastAsia="仿宋_GB2312" w:cs="Times New Roman"/>
          <w:i w:val="0"/>
          <w:iCs w:val="0"/>
          <w:caps w:val="0"/>
          <w:color w:val="000000"/>
          <w:spacing w:val="0"/>
          <w:sz w:val="32"/>
          <w:szCs w:val="32"/>
          <w:shd w:val="clear" w:color="auto" w:fill="auto"/>
          <w:lang w:eastAsia="zh-CN"/>
        </w:rPr>
        <w:t>来抓</w:t>
      </w:r>
      <w:r>
        <w:rPr>
          <w:rFonts w:hint="eastAsia" w:ascii="仿宋_GB2312" w:hAnsi="仿宋" w:eastAsia="仿宋_GB2312" w:cs="Times New Roman"/>
          <w:i w:val="0"/>
          <w:iCs w:val="0"/>
          <w:caps w:val="0"/>
          <w:color w:val="000000"/>
          <w:spacing w:val="0"/>
          <w:sz w:val="32"/>
          <w:szCs w:val="32"/>
          <w:shd w:val="clear" w:color="auto" w:fill="auto"/>
        </w:rPr>
        <w:t>，严格落实《党委（党组）意识形态工作责任制实施办法》《党委（党组）网络安全工作责任制实施办法》等党内法规，切实肩负</w:t>
      </w:r>
      <w:r>
        <w:rPr>
          <w:rFonts w:hint="eastAsia" w:ascii="仿宋_GB2312" w:hAnsi="仿宋" w:eastAsia="仿宋_GB2312" w:cs="Times New Roman"/>
          <w:i w:val="0"/>
          <w:iCs w:val="0"/>
          <w:caps w:val="0"/>
          <w:color w:val="000000"/>
          <w:spacing w:val="0"/>
          <w:sz w:val="32"/>
          <w:szCs w:val="32"/>
          <w:shd w:val="clear" w:color="auto" w:fill="auto"/>
          <w:lang w:eastAsia="zh-CN"/>
        </w:rPr>
        <w:t>起</w:t>
      </w:r>
      <w:r>
        <w:rPr>
          <w:rFonts w:hint="eastAsia" w:ascii="仿宋_GB2312" w:hAnsi="仿宋" w:eastAsia="仿宋_GB2312" w:cs="Times New Roman"/>
          <w:i w:val="0"/>
          <w:iCs w:val="0"/>
          <w:caps w:val="0"/>
          <w:color w:val="000000"/>
          <w:spacing w:val="0"/>
          <w:sz w:val="32"/>
          <w:szCs w:val="32"/>
          <w:shd w:val="clear" w:color="auto" w:fill="auto"/>
        </w:rPr>
        <w:t>意识形态工作主体责任，</w:t>
      </w:r>
      <w:r>
        <w:rPr>
          <w:rFonts w:hint="eastAsia" w:ascii="仿宋_GB2312" w:hAnsi="仿宋" w:eastAsia="仿宋_GB2312" w:cs="Times New Roman"/>
          <w:b w:val="0"/>
          <w:bCs w:val="0"/>
          <w:color w:val="000000"/>
          <w:sz w:val="32"/>
          <w:szCs w:val="32"/>
          <w:lang w:eastAsia="zh-CN"/>
        </w:rPr>
        <w:t>将意识形态（网络意识形态）工作纳入对全区各部门的考核范畴，制定印发《石家庄高新区意识形态工作责任制考核评价方案》，牢牢掌握意识形态工作的领导权、主动权。</w:t>
      </w:r>
    </w:p>
    <w:p>
      <w:pPr>
        <w:snapToGrid w:val="0"/>
        <w:spacing w:line="520" w:lineRule="exact"/>
        <w:ind w:firstLine="640" w:firstLineChars="200"/>
        <w:rPr>
          <w:rFonts w:hint="eastAsia" w:ascii="仿宋_GB2312" w:hAnsi="仿宋" w:eastAsia="仿宋_GB2312" w:cs="Times New Roman"/>
          <w:i w:val="0"/>
          <w:iCs w:val="0"/>
          <w:caps w:val="0"/>
          <w:color w:val="000000"/>
          <w:spacing w:val="0"/>
          <w:sz w:val="32"/>
          <w:szCs w:val="32"/>
          <w:shd w:val="clear" w:color="auto" w:fill="auto"/>
          <w:lang w:val="en-US" w:eastAsia="zh-CN"/>
        </w:rPr>
      </w:pPr>
      <w:r>
        <w:rPr>
          <w:rFonts w:hint="eastAsia" w:ascii="仿宋_GB2312" w:hAnsi="仿宋" w:eastAsia="仿宋_GB2312" w:cs="Times New Roman"/>
          <w:color w:val="000000"/>
          <w:sz w:val="32"/>
          <w:szCs w:val="32"/>
          <w:lang w:val="en-US" w:eastAsia="zh-CN"/>
        </w:rPr>
        <w:t>2.</w:t>
      </w:r>
      <w:r>
        <w:rPr>
          <w:rFonts w:hint="eastAsia" w:ascii="仿宋_GB2312" w:hAnsi="仿宋" w:eastAsia="仿宋_GB2312" w:cs="Times New Roman"/>
          <w:i w:val="0"/>
          <w:iCs w:val="0"/>
          <w:caps w:val="0"/>
          <w:color w:val="000000"/>
          <w:spacing w:val="0"/>
          <w:sz w:val="32"/>
          <w:szCs w:val="32"/>
          <w:shd w:val="clear" w:color="auto" w:fill="auto"/>
          <w:lang w:val="en-US" w:eastAsia="zh-CN"/>
        </w:rPr>
        <w:t>将深入学习宣传贯彻习近平新时代中国特色社会主义思想和习近平总书记视察河北、视察石家庄重要讲话精神作为重中之重，引导全区上下深学细悟笃行。</w:t>
      </w:r>
    </w:p>
    <w:p>
      <w:pPr>
        <w:snapToGrid w:val="0"/>
        <w:spacing w:line="520" w:lineRule="exact"/>
        <w:ind w:firstLine="640" w:firstLineChars="200"/>
        <w:rPr>
          <w:rFonts w:hint="eastAsia" w:ascii="仿宋_GB2312" w:hAnsi="仿宋" w:eastAsia="仿宋_GB2312" w:cs="Times New Roman"/>
          <w:i w:val="0"/>
          <w:iCs w:val="0"/>
          <w:caps w:val="0"/>
          <w:color w:val="000000"/>
          <w:spacing w:val="0"/>
          <w:sz w:val="32"/>
          <w:szCs w:val="32"/>
          <w:shd w:val="clear" w:color="auto" w:fill="auto"/>
          <w:lang w:val="en-US" w:eastAsia="zh-CN"/>
        </w:rPr>
      </w:pPr>
      <w:r>
        <w:rPr>
          <w:rFonts w:hint="eastAsia" w:ascii="仿宋_GB2312" w:hAnsi="仿宋" w:eastAsia="仿宋_GB2312" w:cs="Times New Roman"/>
          <w:i w:val="0"/>
          <w:iCs w:val="0"/>
          <w:caps w:val="0"/>
          <w:color w:val="000000"/>
          <w:spacing w:val="0"/>
          <w:sz w:val="32"/>
          <w:szCs w:val="32"/>
          <w:shd w:val="clear" w:color="auto" w:fill="auto"/>
          <w:lang w:val="en-US" w:eastAsia="zh-CN"/>
        </w:rPr>
        <w:t>3.通过丰富多样的形式和载体，开展常态化理论宣讲工作，工委领导带头进机关、进企业、进社区，以接地气的形式推动党的创新理论宣讲向末梢延伸。全区组建了24支以各单位宣讲骨干为成员的宣讲队，开展分众化、互动化理论宣讲 800余场次，受众超8万人次，推动党的创新理论走近群众身边、走进群众心里，以理论大学习、思想大武装推进事业大发展。</w:t>
      </w:r>
    </w:p>
    <w:p>
      <w:pPr>
        <w:snapToGrid w:val="0"/>
        <w:spacing w:line="520" w:lineRule="exact"/>
        <w:ind w:firstLine="640" w:firstLineChars="200"/>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pPr>
      <w:r>
        <w:rPr>
          <w:rFonts w:hint="eastAsia" w:ascii="仿宋_GB2312" w:hAnsi="仿宋" w:eastAsia="仿宋_GB2312" w:cs="Times New Roman"/>
          <w:i w:val="0"/>
          <w:iCs w:val="0"/>
          <w:caps w:val="0"/>
          <w:color w:val="000000"/>
          <w:spacing w:val="0"/>
          <w:sz w:val="32"/>
          <w:szCs w:val="32"/>
          <w:shd w:val="clear" w:color="auto" w:fill="auto"/>
          <w:lang w:val="en-US" w:eastAsia="zh-CN"/>
        </w:rPr>
        <w:t>4.</w:t>
      </w: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强化网络舆情的风险排查、预警处置，2023年创新舆情处置举措，通过向上争取支持、线上线下沟通走访、苗头性舆情发现即处等多种形式，稳妥处置35条省级网络舆情预警，持续保持我区在全省网络舆情考核中满分，第一时间呈报《省级网络舆情预警专报》，综合研判舆情发展趋势，提出工作建议，为领导决策提供信息保障。</w:t>
      </w:r>
    </w:p>
    <w:p>
      <w:pPr>
        <w:keepNext w:val="0"/>
        <w:keepLines w:val="0"/>
        <w:pageBreakBefore w:val="0"/>
        <w:widowControl/>
        <w:kinsoku/>
        <w:wordWrap/>
        <w:overflowPunct/>
        <w:topLinePunct w:val="0"/>
        <w:bidi w:val="0"/>
        <w:adjustRightInd/>
        <w:snapToGrid w:val="0"/>
        <w:spacing w:line="520" w:lineRule="exact"/>
        <w:ind w:leftChars="0" w:firstLine="640" w:firstLineChars="200"/>
        <w:jc w:val="left"/>
        <w:textAlignment w:val="auto"/>
        <w:rPr>
          <w:rFonts w:hint="eastAsia" w:ascii="仿宋_GB2312" w:hAnsi="仿宋" w:eastAsia="仿宋_GB2312" w:cs="Times New Roman"/>
          <w:color w:val="000000"/>
          <w:sz w:val="32"/>
          <w:szCs w:val="32"/>
          <w:u w:val="none"/>
          <w:lang w:val="en-US" w:eastAsia="zh-CN"/>
        </w:rPr>
      </w:pP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5.</w:t>
      </w:r>
      <w:r>
        <w:rPr>
          <w:rFonts w:hint="eastAsia" w:ascii="仿宋_GB2312" w:hAnsi="仿宋" w:eastAsia="仿宋_GB2312" w:cs="Times New Roman"/>
          <w:b w:val="0"/>
          <w:bCs w:val="0"/>
          <w:color w:val="000000"/>
          <w:sz w:val="32"/>
          <w:szCs w:val="32"/>
          <w:u w:val="none"/>
          <w:lang w:eastAsia="zh-CN"/>
        </w:rPr>
        <w:t>聚焦主流媒体，对外宣传赋能中心工作。一是</w:t>
      </w:r>
      <w:r>
        <w:rPr>
          <w:rFonts w:hint="eastAsia" w:ascii="仿宋_GB2312" w:hAnsi="仿宋" w:eastAsia="仿宋_GB2312" w:cs="Times New Roman"/>
          <w:color w:val="000000"/>
          <w:sz w:val="32"/>
          <w:szCs w:val="32"/>
          <w:lang w:val="en-US" w:eastAsia="zh-CN"/>
        </w:rPr>
        <w:t>积极推介</w:t>
      </w:r>
      <w:r>
        <w:rPr>
          <w:rFonts w:hint="eastAsia" w:ascii="仿宋_GB2312" w:hAnsi="仿宋" w:eastAsia="仿宋_GB2312" w:cs="Times New Roman"/>
          <w:color w:val="000000"/>
          <w:sz w:val="32"/>
          <w:szCs w:val="32"/>
        </w:rPr>
        <w:t>，</w:t>
      </w:r>
      <w:r>
        <w:rPr>
          <w:rFonts w:hint="eastAsia" w:ascii="仿宋_GB2312" w:hAnsi="仿宋" w:eastAsia="仿宋_GB2312" w:cs="Times New Roman"/>
          <w:color w:val="000000"/>
          <w:sz w:val="32"/>
          <w:szCs w:val="32"/>
          <w:lang w:eastAsia="zh-CN"/>
        </w:rPr>
        <w:t>新闻报道量质齐升。</w:t>
      </w:r>
      <w:r>
        <w:rPr>
          <w:rFonts w:hint="eastAsia" w:ascii="仿宋_GB2312" w:hAnsi="仿宋" w:eastAsia="仿宋_GB2312" w:cs="Times New Roman"/>
          <w:color w:val="000000"/>
          <w:sz w:val="32"/>
          <w:szCs w:val="32"/>
          <w:lang w:val="en-US" w:eastAsia="zh-CN"/>
        </w:rPr>
        <w:t>2023年</w:t>
      </w:r>
      <w:r>
        <w:rPr>
          <w:rFonts w:hint="eastAsia" w:ascii="仿宋_GB2312" w:hAnsi="仿宋" w:eastAsia="仿宋_GB2312" w:cs="Times New Roman"/>
          <w:color w:val="000000"/>
          <w:sz w:val="32"/>
          <w:szCs w:val="32"/>
          <w:lang w:eastAsia="zh-CN"/>
        </w:rPr>
        <w:t>，围绕石家庄市经济总量过万亿目标任务，生物医药产业率先突破、打造千亿级产业集群的战略机遇等重点</w:t>
      </w:r>
      <w:r>
        <w:rPr>
          <w:rFonts w:hint="eastAsia" w:ascii="仿宋_GB2312" w:hAnsi="仿宋" w:eastAsia="仿宋_GB2312" w:cs="Times New Roman"/>
          <w:b w:val="0"/>
          <w:bCs w:val="0"/>
          <w:color w:val="000000"/>
          <w:sz w:val="32"/>
          <w:szCs w:val="32"/>
          <w:lang w:val="en-US" w:eastAsia="zh-CN"/>
        </w:rPr>
        <w:t>，</w:t>
      </w: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累</w:t>
      </w:r>
      <w:r>
        <w:rPr>
          <w:rFonts w:hint="eastAsia" w:ascii="仿宋_GB2312" w:hAnsi="仿宋" w:eastAsia="仿宋_GB2312" w:cs="Times New Roman"/>
          <w:color w:val="000000"/>
          <w:sz w:val="32"/>
          <w:szCs w:val="32"/>
          <w:u w:val="none"/>
          <w:lang w:val="en-US" w:eastAsia="zh-CN"/>
        </w:rPr>
        <w:t>计</w:t>
      </w:r>
      <w:r>
        <w:rPr>
          <w:rFonts w:hint="eastAsia" w:ascii="仿宋_GB2312" w:hAnsi="仿宋" w:eastAsia="仿宋_GB2312" w:cs="Times New Roman"/>
          <w:color w:val="000000"/>
          <w:sz w:val="32"/>
          <w:szCs w:val="32"/>
          <w:u w:val="none"/>
          <w:lang w:eastAsia="zh-CN"/>
        </w:rPr>
        <w:t>在各级新闻媒体发布稿件3720篇，学习强国累计发布稿件395篇，形成了强大的主流舆论场。</w:t>
      </w:r>
      <w:r>
        <w:rPr>
          <w:rFonts w:hint="eastAsia" w:ascii="仿宋_GB2312" w:hAnsi="仿宋" w:eastAsia="仿宋_GB2312" w:cs="Times New Roman"/>
          <w:b w:val="0"/>
          <w:bCs w:val="0"/>
          <w:color w:val="000000"/>
          <w:sz w:val="32"/>
          <w:szCs w:val="32"/>
          <w:u w:val="none"/>
          <w:lang w:eastAsia="zh-CN"/>
        </w:rPr>
        <w:t>二是</w:t>
      </w:r>
      <w:r>
        <w:rPr>
          <w:rFonts w:hint="eastAsia" w:ascii="仿宋_GB2312" w:hAnsi="仿宋" w:eastAsia="仿宋_GB2312" w:cs="Times New Roman"/>
          <w:color w:val="000000"/>
          <w:sz w:val="32"/>
          <w:szCs w:val="32"/>
          <w:u w:val="none"/>
          <w:lang w:eastAsia="zh-CN"/>
        </w:rPr>
        <w:t>紧扣</w:t>
      </w:r>
      <w:r>
        <w:rPr>
          <w:rFonts w:hint="eastAsia" w:ascii="仿宋_GB2312" w:hAnsi="仿宋" w:eastAsia="仿宋_GB2312" w:cs="Times New Roman"/>
          <w:color w:val="000000"/>
          <w:sz w:val="32"/>
          <w:szCs w:val="32"/>
          <w:lang w:val="en-US" w:eastAsia="zh-CN"/>
        </w:rPr>
        <w:t>重点</w:t>
      </w:r>
      <w:r>
        <w:rPr>
          <w:rFonts w:hint="eastAsia" w:ascii="仿宋_GB2312" w:hAnsi="仿宋" w:eastAsia="仿宋_GB2312" w:cs="Times New Roman"/>
          <w:color w:val="000000"/>
          <w:sz w:val="32"/>
          <w:szCs w:val="32"/>
        </w:rPr>
        <w:t>，深挖特色亮点</w:t>
      </w:r>
      <w:r>
        <w:rPr>
          <w:rFonts w:hint="eastAsia" w:ascii="仿宋_GB2312" w:hAnsi="仿宋" w:eastAsia="仿宋_GB2312" w:cs="Times New Roman"/>
          <w:color w:val="000000"/>
          <w:sz w:val="32"/>
          <w:szCs w:val="32"/>
          <w:lang w:eastAsia="zh-CN"/>
        </w:rPr>
        <w:t>。紧紧围绕高新区重点工作，精心策划</w:t>
      </w:r>
      <w:r>
        <w:rPr>
          <w:rFonts w:hint="eastAsia" w:ascii="仿宋_GB2312" w:hAnsi="仿宋" w:eastAsia="仿宋_GB2312" w:cs="Times New Roman"/>
          <w:b w:val="0"/>
          <w:bCs w:val="0"/>
          <w:color w:val="000000"/>
          <w:sz w:val="32"/>
          <w:szCs w:val="32"/>
          <w:lang w:val="en-US" w:eastAsia="zh-CN"/>
        </w:rPr>
        <w:t>推出一批重大主题报道、重头稿件，</w:t>
      </w:r>
      <w:r>
        <w:rPr>
          <w:rFonts w:hint="eastAsia" w:ascii="仿宋_GB2312" w:hAnsi="仿宋" w:eastAsia="仿宋_GB2312" w:cs="Times New Roman"/>
          <w:color w:val="000000"/>
          <w:sz w:val="32"/>
          <w:szCs w:val="32"/>
          <w:lang w:eastAsia="zh-CN"/>
        </w:rPr>
        <w:t>主动</w:t>
      </w:r>
      <w:r>
        <w:rPr>
          <w:rFonts w:hint="eastAsia" w:ascii="仿宋_GB2312" w:hAnsi="仿宋" w:eastAsia="仿宋_GB2312" w:cs="Times New Roman"/>
          <w:color w:val="000000"/>
          <w:sz w:val="32"/>
          <w:szCs w:val="32"/>
        </w:rPr>
        <w:t>与驻冀央级媒体、国家级主流媒体保持良好的沟通联系，</w:t>
      </w:r>
      <w:r>
        <w:rPr>
          <w:rFonts w:hint="eastAsia" w:ascii="仿宋_GB2312" w:hAnsi="仿宋" w:eastAsia="仿宋_GB2312" w:cs="Times New Roman"/>
          <w:color w:val="000000"/>
          <w:sz w:val="32"/>
          <w:szCs w:val="32"/>
          <w:lang w:val="en-US" w:eastAsia="zh-CN"/>
        </w:rPr>
        <w:t>通</w:t>
      </w:r>
      <w:r>
        <w:rPr>
          <w:rFonts w:hint="eastAsia" w:ascii="仿宋_GB2312" w:hAnsi="仿宋" w:eastAsia="仿宋_GB2312" w:cs="Times New Roman"/>
          <w:color w:val="000000"/>
          <w:sz w:val="32"/>
          <w:szCs w:val="32"/>
        </w:rPr>
        <w:t>过</w:t>
      </w:r>
      <w:r>
        <w:rPr>
          <w:rFonts w:hint="eastAsia" w:ascii="仿宋_GB2312" w:hAnsi="仿宋" w:eastAsia="仿宋_GB2312" w:cs="Times New Roman"/>
          <w:color w:val="000000"/>
          <w:sz w:val="32"/>
          <w:szCs w:val="32"/>
          <w:lang w:eastAsia="zh-CN"/>
        </w:rPr>
        <w:t>实地</w:t>
      </w: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座谈、园区采风等形式，</w:t>
      </w:r>
      <w:r>
        <w:rPr>
          <w:rFonts w:hint="eastAsia" w:ascii="仿宋_GB2312" w:hAnsi="仿宋" w:eastAsia="仿宋_GB2312" w:cs="Times New Roman"/>
          <w:color w:val="000000"/>
          <w:sz w:val="32"/>
          <w:szCs w:val="32"/>
        </w:rPr>
        <w:t>共同挖掘我区</w:t>
      </w:r>
      <w:r>
        <w:rPr>
          <w:rFonts w:hint="eastAsia" w:ascii="仿宋_GB2312" w:hAnsi="仿宋" w:eastAsia="仿宋_GB2312" w:cs="Times New Roman"/>
          <w:color w:val="000000"/>
          <w:sz w:val="32"/>
          <w:szCs w:val="32"/>
          <w:lang w:eastAsia="zh-CN"/>
        </w:rPr>
        <w:t>招商引资、招才引智、</w:t>
      </w:r>
      <w:r>
        <w:rPr>
          <w:rFonts w:hint="eastAsia" w:ascii="仿宋_GB2312" w:hAnsi="仿宋" w:eastAsia="仿宋_GB2312" w:cs="Times New Roman"/>
          <w:color w:val="000000"/>
          <w:sz w:val="32"/>
          <w:szCs w:val="32"/>
        </w:rPr>
        <w:t>产业发展</w:t>
      </w:r>
      <w:r>
        <w:rPr>
          <w:rFonts w:hint="eastAsia" w:ascii="仿宋_GB2312" w:hAnsi="仿宋" w:eastAsia="仿宋_GB2312" w:cs="Times New Roman"/>
          <w:color w:val="000000"/>
          <w:sz w:val="32"/>
          <w:szCs w:val="32"/>
          <w:lang w:eastAsia="zh-CN"/>
        </w:rPr>
        <w:t>、项目建设、优化服务</w:t>
      </w:r>
      <w:r>
        <w:rPr>
          <w:rFonts w:hint="eastAsia" w:ascii="仿宋_GB2312" w:hAnsi="仿宋" w:eastAsia="仿宋_GB2312" w:cs="Times New Roman"/>
          <w:color w:val="000000"/>
          <w:sz w:val="32"/>
          <w:szCs w:val="32"/>
        </w:rPr>
        <w:t>等宣传亮点，确保对上报道</w:t>
      </w:r>
      <w:r>
        <w:rPr>
          <w:rFonts w:hint="eastAsia" w:ascii="仿宋_GB2312" w:hAnsi="仿宋" w:eastAsia="仿宋_GB2312" w:cs="Times New Roman"/>
          <w:color w:val="000000"/>
          <w:sz w:val="32"/>
          <w:szCs w:val="32"/>
          <w:lang w:eastAsia="zh-CN"/>
        </w:rPr>
        <w:t>精准高效</w:t>
      </w:r>
      <w:r>
        <w:rPr>
          <w:rFonts w:hint="eastAsia" w:ascii="仿宋_GB2312" w:hAnsi="仿宋" w:eastAsia="仿宋_GB2312" w:cs="Times New Roman"/>
          <w:color w:val="000000"/>
          <w:sz w:val="32"/>
          <w:szCs w:val="32"/>
        </w:rPr>
        <w:t>。</w:t>
      </w:r>
      <w:r>
        <w:rPr>
          <w:rFonts w:hint="eastAsia" w:ascii="仿宋_GB2312" w:hAnsi="仿宋" w:eastAsia="仿宋_GB2312" w:cs="Times New Roman"/>
          <w:color w:val="000000"/>
          <w:sz w:val="32"/>
          <w:szCs w:val="32"/>
          <w:lang w:val="en-US" w:eastAsia="zh-CN"/>
        </w:rPr>
        <w:t>承接保障</w:t>
      </w:r>
      <w:r>
        <w:rPr>
          <w:rFonts w:hint="eastAsia" w:ascii="仿宋_GB2312" w:hAnsi="仿宋" w:eastAsia="仿宋_GB2312" w:cs="Times New Roman"/>
          <w:color w:val="000000"/>
          <w:sz w:val="32"/>
          <w:szCs w:val="32"/>
        </w:rPr>
        <w:t>央媒高质量发展调研行、全国党刊主题采访等活动</w:t>
      </w:r>
      <w:r>
        <w:rPr>
          <w:rFonts w:hint="eastAsia" w:ascii="仿宋_GB2312" w:hAnsi="仿宋" w:eastAsia="仿宋_GB2312" w:cs="Times New Roman"/>
          <w:color w:val="000000"/>
          <w:sz w:val="32"/>
          <w:szCs w:val="32"/>
          <w:lang w:eastAsia="zh-CN"/>
        </w:rPr>
        <w:t>，持续保持</w:t>
      </w:r>
      <w:r>
        <w:rPr>
          <w:rFonts w:hint="eastAsia" w:ascii="仿宋_GB2312" w:hAnsi="仿宋" w:eastAsia="仿宋_GB2312" w:cs="Times New Roman"/>
          <w:color w:val="000000"/>
          <w:sz w:val="32"/>
          <w:szCs w:val="32"/>
          <w:lang w:val="en-US" w:eastAsia="zh-CN"/>
        </w:rPr>
        <w:t>高新区在中央级媒体的曝光度。</w:t>
      </w:r>
      <w:r>
        <w:rPr>
          <w:rFonts w:hint="eastAsia" w:ascii="仿宋_GB2312" w:hAnsi="仿宋" w:eastAsia="仿宋_GB2312" w:cs="Times New Roman"/>
          <w:color w:val="000000"/>
          <w:sz w:val="32"/>
          <w:szCs w:val="32"/>
          <w:u w:val="none"/>
          <w:lang w:val="en-US" w:eastAsia="zh-CN"/>
        </w:rPr>
        <w:t>2023年11月，在工信部指导、《中国高新技术产业导报》对全国高新区委</w:t>
      </w:r>
      <w:bookmarkStart w:id="0" w:name="_GoBack"/>
      <w:bookmarkEnd w:id="0"/>
      <w:r>
        <w:rPr>
          <w:rFonts w:hint="eastAsia" w:ascii="仿宋_GB2312" w:hAnsi="仿宋" w:eastAsia="仿宋_GB2312" w:cs="Times New Roman"/>
          <w:color w:val="000000"/>
          <w:sz w:val="32"/>
          <w:szCs w:val="32"/>
          <w:u w:val="none"/>
          <w:lang w:val="en-US" w:eastAsia="zh-CN"/>
        </w:rPr>
        <w:t>宣传部门评比中，我区获得国家高新技术产业开发区优秀宣传部门、国家高新区优秀公众号、优秀新闻作品等荣誉。</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wordWrap/>
        <w:overflowPunct/>
        <w:topLinePunct w:val="0"/>
        <w:bidi w:val="0"/>
        <w:adjustRightInd/>
        <w:snapToGrid w:val="0"/>
        <w:spacing w:before="0" w:beforeAutospacing="0" w:after="0" w:afterAutospacing="0" w:line="520" w:lineRule="exact"/>
        <w:ind w:left="0" w:right="0" w:firstLine="640" w:firstLineChars="200"/>
        <w:jc w:val="both"/>
        <w:rPr>
          <w:rFonts w:hint="eastAsia" w:ascii="仿宋_GB2312" w:hAnsi="仿宋" w:eastAsia="仿宋_GB2312" w:cs="Times New Roman"/>
          <w:b w:val="0"/>
          <w:bCs w:val="0"/>
          <w:color w:val="000000"/>
          <w:kern w:val="2"/>
          <w:sz w:val="32"/>
          <w:szCs w:val="32"/>
          <w:lang w:val="en-US" w:eastAsia="zh-CN"/>
        </w:rPr>
      </w:pPr>
      <w:r>
        <w:rPr>
          <w:rFonts w:hint="eastAsia" w:ascii="仿宋_GB2312" w:hAnsi="仿宋" w:eastAsia="仿宋_GB2312" w:cs="Times New Roman"/>
          <w:color w:val="000000"/>
          <w:sz w:val="32"/>
          <w:szCs w:val="32"/>
          <w:lang w:val="en-US" w:eastAsia="zh-CN"/>
        </w:rPr>
        <w:t>6.</w:t>
      </w:r>
      <w:r>
        <w:rPr>
          <w:rFonts w:hint="eastAsia" w:ascii="仿宋_GB2312" w:hAnsi="仿宋" w:eastAsia="仿宋_GB2312" w:cs="Times New Roman"/>
          <w:b w:val="0"/>
          <w:bCs w:val="0"/>
          <w:color w:val="000000"/>
          <w:sz w:val="32"/>
          <w:szCs w:val="32"/>
          <w:lang w:val="en-US" w:eastAsia="zh-CN"/>
        </w:rPr>
        <w:t>发挥统战民族工作优势，围绕大局助力发展。</w:t>
      </w:r>
      <w:r>
        <w:rPr>
          <w:rFonts w:hint="eastAsia" w:ascii="仿宋_GB2312" w:hAnsi="仿宋" w:eastAsia="仿宋_GB2312" w:cs="Times New Roman"/>
          <w:b w:val="0"/>
          <w:bCs w:val="0"/>
          <w:color w:val="000000"/>
          <w:spacing w:val="0"/>
          <w:w w:val="100"/>
          <w:position w:val="0"/>
          <w:sz w:val="32"/>
          <w:szCs w:val="32"/>
        </w:rPr>
        <w:t>石家庄藏诺药业股份有限公司</w:t>
      </w:r>
      <w:r>
        <w:rPr>
          <w:rFonts w:hint="eastAsia" w:ascii="仿宋_GB2312" w:hAnsi="仿宋" w:eastAsia="仿宋_GB2312" w:cs="Times New Roman"/>
          <w:b w:val="0"/>
          <w:bCs w:val="0"/>
          <w:color w:val="000000"/>
          <w:spacing w:val="0"/>
          <w:w w:val="100"/>
          <w:position w:val="0"/>
          <w:sz w:val="32"/>
          <w:szCs w:val="32"/>
          <w:lang w:eastAsia="zh-CN"/>
        </w:rPr>
        <w:t>作为</w:t>
      </w:r>
      <w:r>
        <w:rPr>
          <w:rFonts w:hint="eastAsia" w:ascii="仿宋_GB2312" w:hAnsi="仿宋" w:eastAsia="仿宋_GB2312" w:cs="Times New Roman"/>
          <w:b w:val="0"/>
          <w:bCs w:val="0"/>
          <w:color w:val="000000"/>
          <w:sz w:val="32"/>
          <w:szCs w:val="32"/>
          <w:lang w:val="en-US" w:eastAsia="zh-CN"/>
        </w:rPr>
        <w:t>“两带多节点”</w:t>
      </w:r>
      <w:r>
        <w:rPr>
          <w:rFonts w:hint="eastAsia" w:ascii="仿宋_GB2312" w:hAnsi="仿宋" w:eastAsia="仿宋_GB2312" w:cs="Times New Roman"/>
          <w:b w:val="0"/>
          <w:bCs w:val="0"/>
          <w:color w:val="000000"/>
          <w:spacing w:val="0"/>
          <w:w w:val="100"/>
          <w:position w:val="0"/>
          <w:sz w:val="32"/>
          <w:szCs w:val="32"/>
          <w:lang w:eastAsia="zh-CN"/>
        </w:rPr>
        <w:t>创建点位之一，组织河北西藏商会代表河北省参加</w:t>
      </w:r>
      <w:r>
        <w:rPr>
          <w:rFonts w:hint="eastAsia" w:ascii="仿宋_GB2312" w:hAnsi="仿宋" w:eastAsia="仿宋_GB2312" w:cs="Times New Roman"/>
          <w:b w:val="0"/>
          <w:bCs w:val="0"/>
          <w:color w:val="000000"/>
          <w:spacing w:val="0"/>
          <w:w w:val="100"/>
          <w:position w:val="0"/>
          <w:sz w:val="32"/>
          <w:szCs w:val="32"/>
        </w:rPr>
        <w:t>国家民委</w:t>
      </w:r>
      <w:r>
        <w:rPr>
          <w:rFonts w:hint="eastAsia" w:ascii="仿宋_GB2312" w:hAnsi="仿宋" w:eastAsia="仿宋_GB2312" w:cs="Times New Roman"/>
          <w:b w:val="0"/>
          <w:bCs w:val="0"/>
          <w:color w:val="000000"/>
          <w:spacing w:val="0"/>
          <w:w w:val="100"/>
          <w:position w:val="0"/>
          <w:sz w:val="32"/>
          <w:szCs w:val="32"/>
          <w:lang w:val="en-US" w:eastAsia="zh-CN" w:bidi="zh-CN"/>
        </w:rPr>
        <w:t>“三项</w:t>
      </w:r>
      <w:r>
        <w:rPr>
          <w:rFonts w:hint="eastAsia" w:ascii="仿宋_GB2312" w:hAnsi="仿宋" w:eastAsia="仿宋_GB2312" w:cs="Times New Roman"/>
          <w:b w:val="0"/>
          <w:bCs w:val="0"/>
          <w:color w:val="000000"/>
          <w:spacing w:val="0"/>
          <w:w w:val="100"/>
          <w:position w:val="0"/>
          <w:sz w:val="32"/>
          <w:szCs w:val="32"/>
        </w:rPr>
        <w:t>计划”试点示范项目</w:t>
      </w:r>
      <w:r>
        <w:rPr>
          <w:rFonts w:hint="eastAsia" w:ascii="仿宋_GB2312" w:hAnsi="仿宋" w:eastAsia="仿宋_GB2312" w:cs="Times New Roman"/>
          <w:b w:val="0"/>
          <w:bCs w:val="0"/>
          <w:color w:val="000000"/>
          <w:spacing w:val="0"/>
          <w:w w:val="100"/>
          <w:position w:val="0"/>
          <w:sz w:val="32"/>
          <w:szCs w:val="32"/>
          <w:lang w:val="en-US" w:eastAsia="zh-CN"/>
        </w:rPr>
        <w:t>，受到</w:t>
      </w:r>
      <w:r>
        <w:rPr>
          <w:rFonts w:hint="eastAsia" w:ascii="仿宋_GB2312" w:hAnsi="仿宋" w:eastAsia="仿宋_GB2312" w:cs="Times New Roman"/>
          <w:b w:val="0"/>
          <w:bCs w:val="0"/>
          <w:color w:val="000000"/>
          <w:spacing w:val="0"/>
          <w:w w:val="100"/>
          <w:position w:val="0"/>
          <w:sz w:val="32"/>
          <w:szCs w:val="32"/>
        </w:rPr>
        <w:t>国家民委高度赞扬。</w:t>
      </w:r>
      <w:r>
        <w:rPr>
          <w:rFonts w:hint="eastAsia" w:ascii="仿宋_GB2312" w:hAnsi="仿宋" w:eastAsia="仿宋_GB2312" w:cs="Times New Roman"/>
          <w:b w:val="0"/>
          <w:bCs w:val="0"/>
          <w:color w:val="000000"/>
          <w:spacing w:val="0"/>
          <w:w w:val="100"/>
          <w:position w:val="0"/>
          <w:sz w:val="32"/>
          <w:szCs w:val="32"/>
          <w:lang w:eastAsia="zh-CN"/>
        </w:rPr>
        <w:t>扶持</w:t>
      </w:r>
      <w:r>
        <w:rPr>
          <w:rFonts w:hint="eastAsia" w:ascii="仿宋_GB2312" w:hAnsi="仿宋" w:eastAsia="仿宋_GB2312" w:cs="Times New Roman"/>
          <w:b w:val="0"/>
          <w:bCs w:val="0"/>
          <w:color w:val="000000"/>
          <w:spacing w:val="0"/>
          <w:w w:val="100"/>
          <w:position w:val="0"/>
          <w:sz w:val="32"/>
          <w:szCs w:val="32"/>
        </w:rPr>
        <w:t>石家庄藏诺药业股份有限公司</w:t>
      </w:r>
      <w:r>
        <w:rPr>
          <w:rFonts w:hint="eastAsia" w:ascii="仿宋_GB2312" w:hAnsi="仿宋" w:eastAsia="仿宋_GB2312" w:cs="Times New Roman"/>
          <w:b w:val="0"/>
          <w:bCs w:val="0"/>
          <w:color w:val="000000"/>
          <w:spacing w:val="0"/>
          <w:w w:val="100"/>
          <w:position w:val="0"/>
          <w:sz w:val="32"/>
          <w:szCs w:val="32"/>
          <w:lang w:eastAsia="zh-CN"/>
        </w:rPr>
        <w:t>申请中国民族医药协会藏医药分会，成功举办全国首届现代藏药学术研讨会。</w:t>
      </w:r>
      <w:r>
        <w:rPr>
          <w:rFonts w:hint="eastAsia" w:ascii="仿宋_GB2312" w:hAnsi="仿宋" w:eastAsia="仿宋_GB2312" w:cs="Times New Roman"/>
          <w:b w:val="0"/>
          <w:bCs w:val="0"/>
          <w:color w:val="000000"/>
          <w:sz w:val="32"/>
          <w:szCs w:val="32"/>
          <w:lang w:val="en-US" w:eastAsia="zh-CN"/>
        </w:rPr>
        <w:t>我区报送的《从石家庄臧诺药业集团有限公司看藏族流动人口减少趋势》被中办、国办、中央统战部采用</w:t>
      </w:r>
      <w:r>
        <w:rPr>
          <w:rFonts w:hint="eastAsia" w:ascii="仿宋_GB2312" w:hAnsi="仿宋" w:eastAsia="仿宋_GB2312" w:cs="Times New Roman"/>
          <w:b w:val="0"/>
          <w:bCs w:val="0"/>
          <w:color w:val="000000"/>
          <w:kern w:val="2"/>
          <w:sz w:val="32"/>
          <w:szCs w:val="32"/>
          <w:lang w:val="en-US" w:eastAsia="zh-CN"/>
        </w:rPr>
        <w:t>。</w:t>
      </w:r>
    </w:p>
    <w:p>
      <w:pPr>
        <w:snapToGrid w:val="0"/>
        <w:spacing w:line="520" w:lineRule="exact"/>
        <w:ind w:firstLine="640" w:firstLineChars="200"/>
        <w:rPr>
          <w:rFonts w:hint="eastAsia" w:ascii="仿宋_GB2312" w:hAnsi="仿宋" w:eastAsia="仿宋_GB2312" w:cs="Times New Roman"/>
          <w:b w:val="0"/>
          <w:bCs w:val="0"/>
          <w:color w:val="000000"/>
          <w:sz w:val="32"/>
          <w:szCs w:val="32"/>
          <w:lang w:eastAsia="zh-CN"/>
        </w:rPr>
      </w:pPr>
      <w:r>
        <w:rPr>
          <w:rFonts w:hint="eastAsia" w:ascii="仿宋_GB2312" w:hAnsi="仿宋" w:eastAsia="仿宋_GB2312" w:cs="Times New Roman"/>
          <w:b w:val="0"/>
          <w:bCs w:val="0"/>
          <w:color w:val="000000"/>
          <w:kern w:val="2"/>
          <w:sz w:val="32"/>
          <w:szCs w:val="32"/>
          <w:lang w:val="en-US" w:eastAsia="zh-CN"/>
        </w:rPr>
        <w:t>7.</w:t>
      </w:r>
      <w:r>
        <w:rPr>
          <w:rFonts w:hint="eastAsia" w:ascii="仿宋_GB2312" w:hAnsi="仿宋" w:eastAsia="仿宋_GB2312" w:cs="Times New Roman"/>
          <w:b w:val="0"/>
          <w:bCs w:val="0"/>
          <w:color w:val="000000"/>
          <w:sz w:val="32"/>
          <w:szCs w:val="32"/>
          <w:lang w:val="en-US" w:eastAsia="zh-CN"/>
        </w:rPr>
        <w:t>完善区、街道镇、社区三级宗教治理工作体系，建立非法宗教活动月报制度，联合公安分局、政法委、市场监督管理局等部门，协同开展抵御境外基督教渗透和治理非法宗教活动等专项行动</w:t>
      </w:r>
      <w:r>
        <w:rPr>
          <w:rFonts w:hint="eastAsia" w:ascii="仿宋_GB2312" w:hAnsi="仿宋" w:eastAsia="仿宋_GB2312" w:cs="Times New Roman"/>
          <w:b w:val="0"/>
          <w:bCs w:val="0"/>
          <w:color w:val="000000"/>
          <w:sz w:val="32"/>
          <w:szCs w:val="32"/>
        </w:rPr>
        <w:t>，及时消除风险隐患</w:t>
      </w:r>
      <w:r>
        <w:rPr>
          <w:rFonts w:hint="eastAsia" w:ascii="仿宋_GB2312" w:hAnsi="仿宋" w:eastAsia="仿宋_GB2312" w:cs="Times New Roman"/>
          <w:b w:val="0"/>
          <w:bCs w:val="0"/>
          <w:color w:val="000000"/>
          <w:sz w:val="32"/>
          <w:szCs w:val="32"/>
          <w:lang w:eastAsia="zh-CN"/>
        </w:rPr>
        <w:t>。</w:t>
      </w:r>
    </w:p>
    <w:p>
      <w:pPr>
        <w:snapToGrid w:val="0"/>
        <w:spacing w:line="520" w:lineRule="exact"/>
        <w:ind w:firstLine="640" w:firstLineChars="200"/>
        <w:rPr>
          <w:rFonts w:hint="eastAsia" w:ascii="仿宋" w:hAnsi="仿宋" w:eastAsia="仿宋"/>
          <w:sz w:val="32"/>
          <w:szCs w:val="32"/>
          <w:lang w:val="en-US" w:eastAsia="zh-CN"/>
        </w:rPr>
      </w:pPr>
      <w:r>
        <w:rPr>
          <w:rFonts w:hint="eastAsia" w:ascii="仿宋_GB2312" w:hAnsi="仿宋" w:eastAsia="仿宋_GB2312" w:cs="Times New Roman"/>
          <w:b w:val="0"/>
          <w:bCs w:val="0"/>
          <w:color w:val="000000"/>
          <w:sz w:val="32"/>
          <w:szCs w:val="32"/>
          <w:lang w:val="en-US" w:eastAsia="zh-CN"/>
        </w:rPr>
        <w:t>8.</w:t>
      </w:r>
      <w:r>
        <w:rPr>
          <w:rFonts w:hint="eastAsia" w:ascii="仿宋_GB2312" w:hAnsi="仿宋" w:eastAsia="仿宋_GB2312" w:cs="Times New Roman"/>
          <w:b w:val="0"/>
          <w:bCs w:val="0"/>
          <w:color w:val="000000"/>
          <w:sz w:val="32"/>
          <w:szCs w:val="32"/>
          <w:lang w:eastAsia="zh-CN"/>
        </w:rPr>
        <w:t>建立社会宣传工作便捷沟通机制，定期开展应急演练，确保电子屏等一类阵地一小时内快速响应，</w:t>
      </w:r>
      <w:r>
        <w:rPr>
          <w:rFonts w:hint="eastAsia" w:ascii="仿宋_GB2312" w:hAnsi="仿宋" w:eastAsia="仿宋_GB2312" w:cs="Times New Roman"/>
          <w:b w:val="0"/>
          <w:bCs w:val="0"/>
          <w:color w:val="000000"/>
          <w:sz w:val="32"/>
          <w:szCs w:val="32"/>
          <w:lang w:val="en-US" w:eastAsia="zh-CN"/>
        </w:rPr>
        <w:t>不间断播放学习宣传贯彻党的二十大精神等内容，</w:t>
      </w:r>
      <w:r>
        <w:rPr>
          <w:rFonts w:hint="eastAsia" w:ascii="仿宋_GB2312" w:hAnsi="仿宋" w:eastAsia="仿宋_GB2312" w:cs="Times New Roman"/>
          <w:color w:val="000000"/>
          <w:kern w:val="2"/>
          <w:sz w:val="32"/>
          <w:szCs w:val="32"/>
          <w:u w:val="none"/>
          <w:lang w:val="en-US" w:eastAsia="zh-CN" w:bidi="zh-CN"/>
        </w:rPr>
        <w:t>在全区打造浓厚的意识形态宣传氛围。</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color w:val="000000"/>
          <w:sz w:val="32"/>
          <w:szCs w:val="32"/>
          <w:lang w:val="en-US" w:eastAsia="zh-CN"/>
        </w:rPr>
      </w:pPr>
      <w:r>
        <w:rPr>
          <w:rFonts w:hint="eastAsia" w:ascii="仿宋" w:hAnsi="仿宋" w:eastAsia="仿宋"/>
          <w:sz w:val="32"/>
          <w:szCs w:val="32"/>
          <w:lang w:val="en-US" w:eastAsia="zh-CN"/>
        </w:rPr>
        <w:t>分项绩效目标</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i w:val="0"/>
          <w:iCs w:val="0"/>
          <w:caps w:val="0"/>
          <w:color w:val="000000"/>
          <w:spacing w:val="0"/>
          <w:sz w:val="32"/>
          <w:szCs w:val="32"/>
          <w:shd w:val="clear" w:color="auto" w:fill="auto"/>
          <w:lang w:val="en-US" w:eastAsia="zh-CN"/>
        </w:rPr>
      </w:pPr>
      <w:r>
        <w:rPr>
          <w:rFonts w:hint="eastAsia" w:ascii="仿宋_GB2312" w:hAnsi="仿宋" w:eastAsia="仿宋_GB2312" w:cs="Times New Roman"/>
          <w:color w:val="000000"/>
          <w:sz w:val="32"/>
          <w:szCs w:val="32"/>
          <w:lang w:val="en-US" w:eastAsia="zh-CN"/>
        </w:rPr>
        <w:t>1.</w:t>
      </w:r>
      <w:r>
        <w:rPr>
          <w:rFonts w:hint="eastAsia" w:ascii="仿宋_GB2312" w:hAnsi="仿宋" w:eastAsia="仿宋_GB2312" w:cs="Times New Roman"/>
          <w:i w:val="0"/>
          <w:iCs w:val="0"/>
          <w:caps w:val="0"/>
          <w:color w:val="000000"/>
          <w:spacing w:val="0"/>
          <w:sz w:val="32"/>
          <w:szCs w:val="32"/>
          <w:shd w:val="clear" w:color="auto" w:fill="auto"/>
          <w:lang w:val="en-US" w:eastAsia="zh-CN"/>
        </w:rPr>
        <w:t>2023年，</w:t>
      </w:r>
      <w:r>
        <w:rPr>
          <w:rFonts w:hint="eastAsia" w:ascii="仿宋_GB2312" w:hAnsi="仿宋" w:eastAsia="仿宋_GB2312" w:cs="Times New Roman"/>
          <w:color w:val="000000"/>
          <w:kern w:val="2"/>
          <w:sz w:val="32"/>
          <w:szCs w:val="32"/>
          <w:u w:val="none"/>
          <w:lang w:val="en-US" w:eastAsia="zh-CN" w:bidi="zh-CN"/>
        </w:rPr>
        <w:t>全力服务保障区工委理论学习中心组学习</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14</w:t>
      </w:r>
      <w:r>
        <w:rPr>
          <w:rFonts w:hint="eastAsia" w:ascii="仿宋_GB2312" w:hAnsi="仿宋" w:eastAsia="仿宋_GB2312" w:cs="Times New Roman"/>
          <w:b w:val="0"/>
          <w:bCs w:val="0"/>
          <w:i w:val="0"/>
          <w:caps w:val="0"/>
          <w:color w:val="000000"/>
          <w:spacing w:val="0"/>
          <w:sz w:val="32"/>
          <w:szCs w:val="32"/>
          <w:shd w:val="clear" w:color="auto" w:fill="auto"/>
          <w:lang w:eastAsia="zh-CN"/>
        </w:rPr>
        <w:t>次，</w:t>
      </w:r>
      <w:r>
        <w:rPr>
          <w:rFonts w:hint="eastAsia" w:ascii="仿宋_GB2312" w:hAnsi="仿宋" w:eastAsia="仿宋_GB2312" w:cs="Times New Roman"/>
          <w:i w:val="0"/>
          <w:iCs w:val="0"/>
          <w:caps w:val="0"/>
          <w:color w:val="000000"/>
          <w:spacing w:val="0"/>
          <w:sz w:val="32"/>
          <w:szCs w:val="32"/>
          <w:shd w:val="clear" w:color="auto" w:fill="auto"/>
          <w:lang w:eastAsia="zh-CN"/>
        </w:rPr>
        <w:t>各级各部门党委（党组）按照各阶段</w:t>
      </w:r>
      <w:r>
        <w:rPr>
          <w:rFonts w:hint="eastAsia" w:ascii="仿宋_GB2312" w:hAnsi="仿宋" w:eastAsia="仿宋_GB2312" w:cs="Times New Roman"/>
          <w:i w:val="0"/>
          <w:iCs w:val="0"/>
          <w:caps w:val="0"/>
          <w:color w:val="000000"/>
          <w:spacing w:val="0"/>
          <w:sz w:val="32"/>
          <w:szCs w:val="32"/>
          <w:shd w:val="clear" w:color="auto" w:fill="auto"/>
          <w:lang w:val="en-US" w:eastAsia="zh-CN"/>
        </w:rPr>
        <w:t xml:space="preserve">《关于理论学习专题内容提示》及时跟进，开展多形式、分层次、全覆盖的学习活动。全年开展各党委（党组）理论中心组全覆盖检查1次，随机选定部门抽查12次，确保全区理论学习扎实开展。  </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i w:val="0"/>
          <w:iCs w:val="0"/>
          <w:caps w:val="0"/>
          <w:color w:val="000000"/>
          <w:spacing w:val="0"/>
          <w:sz w:val="32"/>
          <w:szCs w:val="32"/>
          <w:shd w:val="clear" w:color="auto" w:fill="auto"/>
          <w:lang w:val="en-US" w:eastAsia="zh-CN"/>
        </w:rPr>
      </w:pPr>
      <w:r>
        <w:rPr>
          <w:rFonts w:hint="eastAsia" w:ascii="仿宋_GB2312" w:hAnsi="仿宋" w:eastAsia="仿宋_GB2312" w:cs="Times New Roman"/>
          <w:i w:val="0"/>
          <w:iCs w:val="0"/>
          <w:caps w:val="0"/>
          <w:color w:val="000000"/>
          <w:spacing w:val="0"/>
          <w:sz w:val="32"/>
          <w:szCs w:val="32"/>
          <w:shd w:val="clear" w:color="auto" w:fill="auto"/>
          <w:lang w:val="en-US" w:eastAsia="zh-CN"/>
        </w:rPr>
        <w:t>2.全区组建了24支以各单位宣讲骨干为成员的宣讲队，开展分众化、互动化理论宣讲 800余场次，受众超8万人次，推动党的创新理论走近群众身边、走进群众心里，以理论大学习、思想大武装推进事业大发展。</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b w:val="0"/>
          <w:bCs w:val="0"/>
          <w:i w:val="0"/>
          <w:caps w:val="0"/>
          <w:color w:val="000000"/>
          <w:spacing w:val="0"/>
          <w:sz w:val="32"/>
          <w:szCs w:val="32"/>
          <w:shd w:val="clear" w:color="auto" w:fill="auto"/>
          <w:lang w:val="en-US" w:eastAsia="zh-CN"/>
        </w:rPr>
      </w:pP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3.2023年创新舆情处置举措，通过向上争取支持、线上线下沟通走访、苗头性舆情发现即处等多种形式，稳妥处置35条省级网络舆情预警，持续保持我区在全省网络舆情考核中满分，第一时间呈报《省级网络舆情预警专报》，综合研判舆情发展趋势，提出工作建议，为领导决策提供信息保障。全年监测预警、转办推送、指导处置各类网络舆情5564条，确保我区网络舆论生</w:t>
      </w:r>
      <w:r>
        <w:rPr>
          <w:rFonts w:hint="eastAsia" w:ascii="仿宋_GB2312" w:hAnsi="仿宋" w:eastAsia="仿宋_GB2312" w:cs="Times New Roman"/>
          <w:color w:val="000000"/>
          <w:sz w:val="32"/>
          <w:szCs w:val="32"/>
          <w:lang w:val="en-US" w:eastAsia="zh-CN"/>
        </w:rPr>
        <w:t>态平安稳定。建设并发挥“高新e站”纽带作用，与本地百万粉丝以上自媒体“大V”及重点自媒体保持常态化沟通机制，组织开展“V看高新区”“园区采风”、自媒体座谈会等活动8场，团结更多网络力量，为高新区经济发展</w:t>
      </w:r>
      <w:r>
        <w:rPr>
          <w:rFonts w:hint="eastAsia" w:ascii="仿宋_GB2312" w:hAnsi="仿宋" w:eastAsia="仿宋_GB2312" w:cs="Times New Roman"/>
          <w:color w:val="000000"/>
          <w:sz w:val="32"/>
          <w:szCs w:val="32"/>
          <w:lang w:eastAsia="zh-CN"/>
        </w:rPr>
        <w:t>营造正向网络舆论</w:t>
      </w:r>
      <w:r>
        <w:rPr>
          <w:rFonts w:hint="eastAsia" w:ascii="仿宋_GB2312" w:hAnsi="仿宋" w:eastAsia="仿宋_GB2312" w:cs="Times New Roman"/>
          <w:color w:val="000000"/>
          <w:sz w:val="32"/>
          <w:szCs w:val="32"/>
          <w:lang w:val="en-US" w:eastAsia="zh-CN"/>
        </w:rPr>
        <w:t>环境。</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b w:val="0"/>
          <w:bCs w:val="0"/>
          <w:i w:val="0"/>
          <w:caps w:val="0"/>
          <w:color w:val="000000"/>
          <w:spacing w:val="0"/>
          <w:sz w:val="32"/>
          <w:szCs w:val="32"/>
          <w:shd w:val="clear" w:color="auto" w:fill="auto"/>
          <w:lang w:val="en-US" w:eastAsia="zh-CN"/>
        </w:rPr>
      </w:pPr>
      <w:r>
        <w:rPr>
          <w:rFonts w:hint="eastAsia" w:ascii="仿宋_GB2312" w:hAnsi="仿宋" w:eastAsia="仿宋_GB2312" w:cs="Times New Roman"/>
          <w:color w:val="000000"/>
          <w:sz w:val="32"/>
          <w:szCs w:val="32"/>
          <w:lang w:val="en-US" w:eastAsia="zh-CN"/>
        </w:rPr>
        <w:t>4.2023年</w:t>
      </w:r>
      <w:r>
        <w:rPr>
          <w:rFonts w:hint="eastAsia" w:ascii="仿宋_GB2312" w:hAnsi="仿宋" w:eastAsia="仿宋_GB2312" w:cs="Times New Roman"/>
          <w:color w:val="000000"/>
          <w:sz w:val="32"/>
          <w:szCs w:val="32"/>
          <w:lang w:eastAsia="zh-CN"/>
        </w:rPr>
        <w:t>，围绕石家庄市经济总量过万亿目标任务，生物医药产业率先突破、打造千亿级产业集群的战略机遇等重点</w:t>
      </w:r>
      <w:r>
        <w:rPr>
          <w:rFonts w:hint="eastAsia" w:ascii="仿宋_GB2312" w:hAnsi="仿宋" w:eastAsia="仿宋_GB2312" w:cs="Times New Roman"/>
          <w:b w:val="0"/>
          <w:bCs w:val="0"/>
          <w:color w:val="000000"/>
          <w:sz w:val="32"/>
          <w:szCs w:val="32"/>
          <w:lang w:val="en-US" w:eastAsia="zh-CN"/>
        </w:rPr>
        <w:t>，</w:t>
      </w: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累</w:t>
      </w:r>
      <w:r>
        <w:rPr>
          <w:rFonts w:hint="eastAsia" w:ascii="仿宋_GB2312" w:hAnsi="仿宋" w:eastAsia="仿宋_GB2312" w:cs="Times New Roman"/>
          <w:color w:val="000000"/>
          <w:sz w:val="32"/>
          <w:szCs w:val="32"/>
          <w:u w:val="none"/>
          <w:lang w:val="en-US" w:eastAsia="zh-CN"/>
        </w:rPr>
        <w:t>计</w:t>
      </w:r>
      <w:r>
        <w:rPr>
          <w:rFonts w:hint="eastAsia" w:ascii="仿宋_GB2312" w:hAnsi="仿宋" w:eastAsia="仿宋_GB2312" w:cs="Times New Roman"/>
          <w:color w:val="000000"/>
          <w:sz w:val="32"/>
          <w:szCs w:val="32"/>
          <w:u w:val="none"/>
          <w:lang w:eastAsia="zh-CN"/>
        </w:rPr>
        <w:t>在各级新闻媒体发布稿件3720篇，学习强国累计发布稿件395篇，形成了强大的主流舆论场。</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b w:val="0"/>
          <w:bCs w:val="0"/>
          <w:i w:val="0"/>
          <w:caps w:val="0"/>
          <w:color w:val="000000"/>
          <w:spacing w:val="0"/>
          <w:sz w:val="32"/>
          <w:szCs w:val="32"/>
          <w:shd w:val="clear" w:color="auto" w:fill="auto"/>
          <w:lang w:val="en-US" w:eastAsia="zh-CN"/>
        </w:rPr>
      </w:pP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5.圆满完成“中国医药战略大会”“石炼化绿色转型项目开工仪式”“中国生物制造产业发展大会”</w:t>
      </w:r>
      <w:r>
        <w:rPr>
          <w:rFonts w:hint="eastAsia" w:ascii="仿宋_GB2312" w:hAnsi="仿宋" w:eastAsia="仿宋_GB2312" w:cs="Times New Roman"/>
          <w:color w:val="000000"/>
          <w:sz w:val="32"/>
          <w:szCs w:val="32"/>
          <w:u w:val="none"/>
          <w:lang w:val="en-US" w:eastAsia="zh-CN"/>
        </w:rPr>
        <w:t>等100余项活动的宣传保障工作，拍摄制作了各类宣传视频32个，建立完善素材库，完整记录我区经济社会发展历程。</w:t>
      </w:r>
      <w:r>
        <w:rPr>
          <w:rFonts w:hint="eastAsia" w:ascii="仿宋_GB2312" w:hAnsi="仿宋" w:eastAsia="仿宋_GB2312" w:cs="Times New Roman"/>
          <w:b w:val="0"/>
          <w:bCs w:val="0"/>
          <w:i w:val="0"/>
          <w:caps w:val="0"/>
          <w:color w:val="000000"/>
          <w:spacing w:val="0"/>
          <w:kern w:val="2"/>
          <w:sz w:val="32"/>
          <w:szCs w:val="32"/>
          <w:shd w:val="clear" w:color="auto" w:fill="auto"/>
          <w:lang w:val="en-US" w:eastAsia="zh-CN" w:bidi="zh-CN"/>
        </w:rPr>
        <w:t>二是规</w:t>
      </w:r>
      <w:r>
        <w:rPr>
          <w:rFonts w:hint="eastAsia" w:ascii="仿宋_GB2312" w:hAnsi="仿宋" w:eastAsia="仿宋_GB2312" w:cs="Times New Roman"/>
          <w:b w:val="0"/>
          <w:bCs w:val="0"/>
          <w:color w:val="000000"/>
          <w:sz w:val="32"/>
          <w:szCs w:val="32"/>
          <w:u w:val="none"/>
          <w:lang w:val="en-US" w:eastAsia="zh-CN"/>
        </w:rPr>
        <w:t>范区级新媒体矩阵管理。统筹区“两微一端”及各部门新媒体平台及时发布重要活动信息，展示工作成效</w:t>
      </w:r>
      <w:r>
        <w:rPr>
          <w:rFonts w:hint="eastAsia" w:ascii="仿宋_GB2312" w:hAnsi="仿宋" w:eastAsia="仿宋_GB2312" w:cs="Times New Roman"/>
          <w:color w:val="000000"/>
          <w:sz w:val="32"/>
          <w:szCs w:val="32"/>
          <w:lang w:val="en-US" w:eastAsia="zh-CN"/>
        </w:rPr>
        <w:t>。</w:t>
      </w:r>
      <w:r>
        <w:rPr>
          <w:rFonts w:hint="eastAsia" w:ascii="仿宋_GB2312" w:hAnsi="仿宋" w:eastAsia="仿宋_GB2312" w:cs="Times New Roman"/>
          <w:color w:val="000000"/>
          <w:sz w:val="32"/>
          <w:szCs w:val="32"/>
          <w:u w:val="none"/>
          <w:lang w:val="en-US" w:eastAsia="zh-CN"/>
        </w:rPr>
        <w:t>全年区官方</w:t>
      </w:r>
      <w:r>
        <w:rPr>
          <w:rFonts w:hint="eastAsia" w:ascii="仿宋_GB2312" w:hAnsi="仿宋" w:eastAsia="仿宋_GB2312" w:cs="Times New Roman"/>
          <w:color w:val="000000"/>
          <w:sz w:val="32"/>
          <w:szCs w:val="32"/>
          <w:lang w:val="en-US" w:eastAsia="zh-CN"/>
        </w:rPr>
        <w:t>微信公众号发布稿件2900余条、抖音发布500余条、今日头条发布4000余条、新浪微博发布7000余条，</w:t>
      </w:r>
      <w:r>
        <w:rPr>
          <w:rFonts w:hint="eastAsia" w:ascii="仿宋_GB2312" w:hAnsi="仿宋" w:eastAsia="仿宋_GB2312" w:cs="Times New Roman"/>
          <w:b w:val="0"/>
          <w:bCs w:val="0"/>
          <w:color w:val="000000"/>
          <w:sz w:val="32"/>
          <w:szCs w:val="32"/>
          <w:u w:val="none"/>
          <w:lang w:val="en-US" w:eastAsia="zh-CN"/>
        </w:rPr>
        <w:t>《高新风采》刊发24期，政务新媒体的传播力、引导力、影响力和公信力进一步提升。</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b w:val="0"/>
          <w:bCs w:val="0"/>
          <w:i w:val="0"/>
          <w:caps w:val="0"/>
          <w:color w:val="000000"/>
          <w:spacing w:val="0"/>
          <w:sz w:val="32"/>
          <w:szCs w:val="32"/>
          <w:shd w:val="clear" w:color="auto" w:fill="auto"/>
          <w:lang w:val="en-US" w:eastAsia="zh-CN"/>
        </w:rPr>
      </w:pPr>
      <w:r>
        <w:rPr>
          <w:rFonts w:hint="eastAsia" w:ascii="仿宋_GB2312" w:hAnsi="仿宋" w:eastAsia="仿宋_GB2312" w:cs="Times New Roman"/>
          <w:b w:val="0"/>
          <w:bCs w:val="0"/>
          <w:color w:val="000000"/>
          <w:sz w:val="32"/>
          <w:szCs w:val="32"/>
          <w:lang w:val="en-US" w:eastAsia="zh-CN"/>
        </w:rPr>
        <w:t>6.建立完善高新区民营经济统战工作协调机制，保障中央统战部、中侨联、省委统战部各级到我区调研活动13次，</w:t>
      </w:r>
      <w:r>
        <w:rPr>
          <w:rFonts w:hint="eastAsia" w:ascii="仿宋_GB2312" w:hAnsi="仿宋" w:eastAsia="仿宋_GB2312" w:cs="Times New Roman"/>
          <w:b w:val="0"/>
          <w:bCs w:val="0"/>
          <w:color w:val="000000"/>
          <w:kern w:val="2"/>
          <w:sz w:val="32"/>
          <w:szCs w:val="32"/>
          <w:lang w:val="en-US" w:eastAsia="zh-CN"/>
        </w:rPr>
        <w:t>成功申报</w:t>
      </w:r>
      <w:r>
        <w:rPr>
          <w:rFonts w:hint="eastAsia" w:ascii="仿宋_GB2312" w:hAnsi="仿宋" w:eastAsia="仿宋_GB2312" w:cs="Times New Roman"/>
          <w:b w:val="0"/>
          <w:bCs w:val="0"/>
          <w:color w:val="000000"/>
          <w:sz w:val="32"/>
          <w:szCs w:val="32"/>
          <w:lang w:val="en-US" w:eastAsia="zh-CN"/>
        </w:rPr>
        <w:t>新侨创新创业基地</w:t>
      </w:r>
      <w:r>
        <w:rPr>
          <w:rFonts w:hint="eastAsia" w:ascii="仿宋_GB2312" w:hAnsi="仿宋" w:eastAsia="仿宋_GB2312" w:cs="Times New Roman"/>
          <w:b w:val="0"/>
          <w:bCs w:val="0"/>
          <w:color w:val="000000"/>
          <w:kern w:val="2"/>
          <w:sz w:val="32"/>
          <w:szCs w:val="32"/>
          <w:lang w:val="en-US" w:eastAsia="zh-CN"/>
        </w:rPr>
        <w:t>2个，</w:t>
      </w:r>
      <w:r>
        <w:rPr>
          <w:rFonts w:hint="eastAsia" w:ascii="仿宋_GB2312" w:hAnsi="仿宋" w:eastAsia="仿宋_GB2312" w:cs="Times New Roman"/>
          <w:b w:val="0"/>
          <w:bCs w:val="0"/>
          <w:color w:val="000000"/>
          <w:sz w:val="32"/>
          <w:szCs w:val="32"/>
          <w:lang w:val="en-US" w:eastAsia="zh-CN"/>
        </w:rPr>
        <w:t>打造了4个“两带多节点”创建点位，</w:t>
      </w:r>
      <w:r>
        <w:rPr>
          <w:rFonts w:hint="eastAsia" w:ascii="仿宋_GB2312" w:hAnsi="仿宋" w:eastAsia="仿宋_GB2312" w:cs="Times New Roman"/>
          <w:b w:val="0"/>
          <w:bCs w:val="0"/>
          <w:color w:val="000000"/>
          <w:spacing w:val="0"/>
          <w:w w:val="100"/>
          <w:position w:val="0"/>
          <w:sz w:val="32"/>
          <w:szCs w:val="32"/>
          <w:lang w:eastAsia="zh-CN"/>
        </w:rPr>
        <w:t>全年</w:t>
      </w:r>
      <w:r>
        <w:rPr>
          <w:rFonts w:hint="eastAsia" w:ascii="仿宋_GB2312" w:hAnsi="仿宋" w:eastAsia="仿宋_GB2312" w:cs="Times New Roman"/>
          <w:b w:val="0"/>
          <w:bCs w:val="0"/>
          <w:color w:val="000000"/>
          <w:sz w:val="32"/>
          <w:szCs w:val="32"/>
          <w:lang w:val="en-US" w:eastAsia="zh-CN"/>
        </w:rPr>
        <w:t>组织开展民族团结进步活动27次。</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rPr>
          <w:rFonts w:hint="eastAsia" w:ascii="仿宋_GB2312" w:hAnsi="仿宋" w:eastAsia="仿宋_GB2312" w:cs="Times New Roman"/>
          <w:b w:val="0"/>
          <w:bCs w:val="0"/>
          <w:i w:val="0"/>
          <w:caps w:val="0"/>
          <w:color w:val="000000"/>
          <w:spacing w:val="0"/>
          <w:sz w:val="32"/>
          <w:szCs w:val="32"/>
          <w:shd w:val="clear" w:color="auto" w:fill="auto"/>
          <w:lang w:val="en-US" w:eastAsia="zh-CN"/>
        </w:rPr>
      </w:pPr>
      <w:r>
        <w:rPr>
          <w:rFonts w:hint="eastAsia" w:ascii="仿宋_GB2312" w:hAnsi="仿宋" w:eastAsia="仿宋_GB2312" w:cs="Times New Roman"/>
          <w:b w:val="0"/>
          <w:bCs w:val="0"/>
          <w:color w:val="000000"/>
          <w:kern w:val="2"/>
          <w:sz w:val="32"/>
          <w:szCs w:val="32"/>
          <w:lang w:val="en-US" w:eastAsia="zh-CN" w:bidi="ar-SA"/>
        </w:rPr>
        <w:t>7.为2个宗教活动场所安装监控摄像头并接入“天网”，19个民间信仰场所统一编码挂牌，实现宗教活动场所</w:t>
      </w:r>
      <w:r>
        <w:rPr>
          <w:rFonts w:hint="eastAsia" w:ascii="仿宋_GB2312" w:hAnsi="仿宋" w:eastAsia="仿宋_GB2312" w:cs="Times New Roman"/>
          <w:b w:val="0"/>
          <w:bCs w:val="0"/>
          <w:color w:val="000000"/>
          <w:sz w:val="32"/>
          <w:szCs w:val="32"/>
          <w:lang w:val="en-US" w:eastAsia="zh-CN"/>
        </w:rPr>
        <w:t>“网上网下”</w:t>
      </w:r>
      <w:r>
        <w:rPr>
          <w:rFonts w:hint="eastAsia" w:ascii="仿宋_GB2312" w:hAnsi="仿宋" w:eastAsia="仿宋_GB2312" w:cs="Times New Roman"/>
          <w:b w:val="0"/>
          <w:bCs w:val="0"/>
          <w:color w:val="000000"/>
          <w:kern w:val="2"/>
          <w:sz w:val="32"/>
          <w:szCs w:val="32"/>
          <w:lang w:val="en-US" w:eastAsia="zh-CN" w:bidi="ar-SA"/>
        </w:rPr>
        <w:t>一体化管</w:t>
      </w:r>
      <w:r>
        <w:rPr>
          <w:rFonts w:hint="eastAsia" w:ascii="仿宋_GB2312" w:hAnsi="仿宋" w:eastAsia="仿宋_GB2312" w:cs="Times New Roman"/>
          <w:b w:val="0"/>
          <w:bCs w:val="0"/>
          <w:color w:val="000000"/>
          <w:sz w:val="32"/>
          <w:szCs w:val="32"/>
          <w:lang w:val="en-US" w:eastAsia="zh-CN"/>
        </w:rPr>
        <w:t>理</w:t>
      </w:r>
      <w:r>
        <w:rPr>
          <w:rFonts w:hint="eastAsia" w:ascii="仿宋_GB2312" w:hAnsi="仿宋" w:eastAsia="仿宋_GB2312" w:cs="Times New Roman"/>
          <w:b w:val="0"/>
          <w:bCs w:val="0"/>
          <w:color w:val="000000"/>
          <w:sz w:val="32"/>
          <w:szCs w:val="32"/>
          <w:lang w:val="en-US"/>
        </w:rPr>
        <w:t>，确保</w:t>
      </w:r>
      <w:r>
        <w:rPr>
          <w:rFonts w:hint="eastAsia" w:ascii="仿宋_GB2312" w:hAnsi="仿宋" w:eastAsia="仿宋_GB2312" w:cs="Times New Roman"/>
          <w:b w:val="0"/>
          <w:bCs w:val="0"/>
          <w:color w:val="000000"/>
          <w:sz w:val="32"/>
          <w:szCs w:val="32"/>
          <w:lang w:val="en-US" w:eastAsia="zh-CN"/>
        </w:rPr>
        <w:t>非法宗教活动“双清零”</w:t>
      </w:r>
      <w:r>
        <w:rPr>
          <w:rFonts w:hint="eastAsia" w:ascii="仿宋_GB2312" w:hAnsi="仿宋" w:eastAsia="仿宋_GB2312" w:cs="Times New Roman"/>
          <w:b w:val="0"/>
          <w:bCs w:val="0"/>
          <w:color w:val="000000"/>
          <w:sz w:val="32"/>
          <w:szCs w:val="32"/>
          <w:lang w:eastAsia="zh-CN"/>
        </w:rPr>
        <w:t>。</w:t>
      </w:r>
      <w:r>
        <w:rPr>
          <w:rFonts w:hint="eastAsia" w:ascii="仿宋_GB2312" w:hAnsi="仿宋" w:eastAsia="仿宋_GB2312" w:cs="Times New Roman"/>
          <w:b w:val="0"/>
          <w:bCs w:val="0"/>
          <w:color w:val="000000"/>
          <w:sz w:val="32"/>
          <w:szCs w:val="32"/>
          <w:lang w:val="en-US" w:eastAsia="zh-CN"/>
        </w:rPr>
        <w:t xml:space="preserve"> </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wordWrap/>
        <w:overflowPunct/>
        <w:topLinePunct w:val="0"/>
        <w:bidi w:val="0"/>
        <w:adjustRightInd/>
        <w:snapToGrid w:val="0"/>
        <w:spacing w:before="0" w:beforeAutospacing="0" w:after="0" w:afterAutospacing="0" w:line="520" w:lineRule="exact"/>
        <w:ind w:left="0" w:right="0" w:firstLine="640" w:firstLineChars="200"/>
        <w:jc w:val="both"/>
        <w:rPr>
          <w:rFonts w:hint="eastAsia" w:ascii="仿宋_GB2312" w:hAnsi="仿宋" w:eastAsia="仿宋_GB2312" w:cs="Times New Roman"/>
          <w:b w:val="0"/>
          <w:bCs w:val="0"/>
          <w:color w:val="000000"/>
          <w:sz w:val="32"/>
          <w:szCs w:val="32"/>
          <w:lang w:val="en-US" w:eastAsia="zh-CN"/>
        </w:rPr>
      </w:pPr>
      <w:r>
        <w:rPr>
          <w:rFonts w:hint="eastAsia" w:ascii="仿宋_GB2312" w:hAnsi="仿宋" w:eastAsia="仿宋_GB2312" w:cs="Times New Roman"/>
          <w:b w:val="0"/>
          <w:bCs w:val="0"/>
          <w:i w:val="0"/>
          <w:caps w:val="0"/>
          <w:color w:val="000000"/>
          <w:spacing w:val="0"/>
          <w:kern w:val="2"/>
          <w:sz w:val="32"/>
          <w:szCs w:val="32"/>
          <w:u w:val="none"/>
          <w:shd w:val="clear" w:color="auto" w:fill="auto"/>
          <w:lang w:val="en-US" w:eastAsia="zh-CN" w:bidi="zh-CN"/>
        </w:rPr>
        <w:t>8.完成1个区级新时代文明实践中心、6个乡镇级新时代文明实践所、64个社区新时代文明实践站建设工作，实现全区新时代文明实践中心（所、站）全覆盖</w:t>
      </w:r>
      <w:r>
        <w:rPr>
          <w:rFonts w:hint="eastAsia" w:ascii="仿宋_GB2312" w:hAnsi="仿宋" w:eastAsia="仿宋_GB2312" w:cs="Times New Roman"/>
          <w:b w:val="0"/>
          <w:bCs w:val="0"/>
          <w:color w:val="000000"/>
          <w:sz w:val="32"/>
          <w:szCs w:val="32"/>
          <w:u w:val="none"/>
          <w:lang w:val="en-US" w:eastAsia="zh-CN"/>
        </w:rPr>
        <w:t>。</w:t>
      </w:r>
      <w:r>
        <w:rPr>
          <w:rFonts w:hint="eastAsia" w:ascii="仿宋_GB2312" w:hAnsi="仿宋" w:eastAsia="仿宋_GB2312" w:cs="Times New Roman"/>
          <w:b w:val="0"/>
          <w:bCs w:val="0"/>
          <w:i w:val="0"/>
          <w:caps w:val="0"/>
          <w:color w:val="000000"/>
          <w:spacing w:val="0"/>
          <w:kern w:val="2"/>
          <w:sz w:val="32"/>
          <w:szCs w:val="32"/>
          <w:shd w:val="clear" w:color="auto" w:fill="auto"/>
          <w:lang w:val="en-US" w:eastAsia="zh-CN" w:bidi="zh-CN"/>
        </w:rPr>
        <w:t>持续推进红色志愿服务</w:t>
      </w:r>
      <w:r>
        <w:rPr>
          <w:rFonts w:hint="eastAsia" w:ascii="仿宋_GB2312" w:hAnsi="仿宋" w:eastAsia="仿宋_GB2312" w:cs="Times New Roman"/>
          <w:b w:val="0"/>
          <w:bCs w:val="0"/>
          <w:color w:val="000000"/>
          <w:kern w:val="2"/>
          <w:sz w:val="32"/>
          <w:szCs w:val="32"/>
          <w:lang w:val="en-US" w:eastAsia="zh-CN" w:bidi="ar-SA"/>
        </w:rPr>
        <w:t>，组建91支志愿服务团队，开展志愿服务活动</w:t>
      </w:r>
      <w:r>
        <w:rPr>
          <w:rFonts w:hint="eastAsia" w:ascii="仿宋_GB2312" w:hAnsi="仿宋" w:eastAsia="仿宋_GB2312" w:cs="Times New Roman"/>
          <w:b w:val="0"/>
          <w:bCs w:val="0"/>
          <w:color w:val="000000"/>
          <w:sz w:val="32"/>
          <w:szCs w:val="32"/>
          <w:lang w:val="en-US" w:eastAsia="zh-CN"/>
        </w:rPr>
        <w:t>706</w:t>
      </w:r>
      <w:r>
        <w:rPr>
          <w:rFonts w:hint="eastAsia" w:ascii="仿宋_GB2312" w:hAnsi="仿宋" w:eastAsia="仿宋_GB2312" w:cs="Times New Roman"/>
          <w:b w:val="0"/>
          <w:bCs w:val="0"/>
          <w:color w:val="000000"/>
          <w:kern w:val="2"/>
          <w:sz w:val="32"/>
          <w:szCs w:val="32"/>
          <w:lang w:val="en-US" w:eastAsia="zh-CN" w:bidi="ar-SA"/>
        </w:rPr>
        <w:t>次。</w:t>
      </w:r>
      <w:r>
        <w:rPr>
          <w:rFonts w:hint="eastAsia" w:ascii="仿宋_GB2312" w:hAnsi="仿宋" w:eastAsia="仿宋_GB2312" w:cs="Times New Roman"/>
          <w:b w:val="0"/>
          <w:bCs w:val="0"/>
          <w:color w:val="000000"/>
          <w:sz w:val="32"/>
          <w:szCs w:val="32"/>
          <w:lang w:val="en-US"/>
        </w:rPr>
        <w:t>扎实开展“石家庄市文明市民”选树宣传活动，</w:t>
      </w:r>
      <w:r>
        <w:rPr>
          <w:rFonts w:hint="eastAsia" w:ascii="仿宋_GB2312" w:hAnsi="仿宋" w:eastAsia="仿宋_GB2312" w:cs="Times New Roman"/>
          <w:b w:val="0"/>
          <w:bCs w:val="0"/>
          <w:color w:val="000000"/>
          <w:sz w:val="32"/>
          <w:szCs w:val="32"/>
          <w:lang w:val="en-US" w:eastAsia="zh-CN"/>
        </w:rPr>
        <w:t>大力</w:t>
      </w:r>
      <w:r>
        <w:rPr>
          <w:rFonts w:hint="eastAsia" w:ascii="仿宋_GB2312" w:hAnsi="仿宋" w:eastAsia="仿宋_GB2312" w:cs="Times New Roman"/>
          <w:b w:val="0"/>
          <w:bCs w:val="0"/>
          <w:color w:val="000000"/>
          <w:sz w:val="32"/>
          <w:szCs w:val="32"/>
          <w:lang w:val="en-US"/>
        </w:rPr>
        <w:t>推进公民思想道德建设，</w:t>
      </w:r>
      <w:r>
        <w:rPr>
          <w:rFonts w:hint="eastAsia" w:ascii="仿宋_GB2312" w:hAnsi="仿宋" w:eastAsia="仿宋_GB2312" w:cs="Times New Roman"/>
          <w:b w:val="0"/>
          <w:bCs w:val="0"/>
          <w:color w:val="000000"/>
          <w:sz w:val="32"/>
          <w:szCs w:val="32"/>
          <w:lang w:val="en-US" w:eastAsia="zh-CN"/>
        </w:rPr>
        <w:t>目前</w:t>
      </w:r>
      <w:r>
        <w:rPr>
          <w:rFonts w:hint="eastAsia" w:ascii="仿宋_GB2312" w:hAnsi="仿宋" w:eastAsia="仿宋_GB2312" w:cs="Times New Roman"/>
          <w:b w:val="0"/>
          <w:bCs w:val="0"/>
          <w:color w:val="000000"/>
          <w:sz w:val="32"/>
          <w:szCs w:val="32"/>
          <w:u w:val="none"/>
          <w:lang w:val="en-US"/>
        </w:rPr>
        <w:t>我区</w:t>
      </w:r>
      <w:r>
        <w:rPr>
          <w:rFonts w:hint="eastAsia" w:ascii="仿宋_GB2312" w:hAnsi="仿宋" w:eastAsia="仿宋_GB2312" w:cs="Times New Roman"/>
          <w:b w:val="0"/>
          <w:bCs w:val="0"/>
          <w:color w:val="000000"/>
          <w:sz w:val="32"/>
          <w:szCs w:val="32"/>
          <w:u w:val="none"/>
          <w:lang w:val="en-US" w:eastAsia="zh-CN"/>
        </w:rPr>
        <w:t>2个单位保留省级文明单位称号，9个单位申报市级文明单位，6人被评为</w:t>
      </w:r>
      <w:r>
        <w:rPr>
          <w:rFonts w:hint="eastAsia" w:ascii="仿宋_GB2312" w:hAnsi="仿宋" w:eastAsia="仿宋_GB2312" w:cs="Times New Roman"/>
          <w:b w:val="0"/>
          <w:bCs w:val="0"/>
          <w:color w:val="000000"/>
          <w:sz w:val="32"/>
          <w:szCs w:val="32"/>
          <w:u w:val="none"/>
          <w:lang w:val="en-US"/>
        </w:rPr>
        <w:t>“石家庄市文明市民”。</w:t>
      </w:r>
      <w:r>
        <w:rPr>
          <w:rFonts w:hint="eastAsia" w:ascii="仿宋_GB2312" w:hAnsi="仿宋" w:eastAsia="仿宋_GB2312" w:cs="Times New Roman"/>
          <w:b w:val="0"/>
          <w:bCs w:val="0"/>
          <w:color w:val="000000"/>
          <w:sz w:val="32"/>
          <w:szCs w:val="32"/>
          <w:u w:val="none"/>
          <w:lang w:val="en-US" w:eastAsia="zh-CN"/>
        </w:rPr>
        <w:t>全面</w:t>
      </w:r>
      <w:r>
        <w:rPr>
          <w:rFonts w:hint="eastAsia" w:ascii="仿宋_GB2312" w:hAnsi="仿宋" w:eastAsia="仿宋_GB2312" w:cs="Times New Roman"/>
          <w:b w:val="0"/>
          <w:bCs w:val="0"/>
          <w:i w:val="0"/>
          <w:caps w:val="0"/>
          <w:color w:val="000000"/>
          <w:spacing w:val="0"/>
          <w:sz w:val="32"/>
          <w:szCs w:val="32"/>
          <w:shd w:val="clear" w:color="auto" w:fill="auto"/>
          <w:lang w:eastAsia="zh-CN"/>
        </w:rPr>
        <w:t>加强文化产业建设，</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共申请文化产业</w:t>
      </w:r>
      <w:r>
        <w:rPr>
          <w:rFonts w:hint="eastAsia" w:ascii="仿宋_GB2312" w:hAnsi="仿宋" w:eastAsia="仿宋_GB2312" w:cs="Times New Roman"/>
          <w:b w:val="0"/>
          <w:bCs w:val="0"/>
          <w:i w:val="0"/>
          <w:caps w:val="0"/>
          <w:color w:val="000000"/>
          <w:spacing w:val="0"/>
          <w:sz w:val="32"/>
          <w:szCs w:val="32"/>
          <w:shd w:val="clear" w:color="auto" w:fill="auto"/>
          <w:lang w:eastAsia="zh-CN"/>
        </w:rPr>
        <w:t>发展引导资金</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共765万元</w:t>
      </w:r>
      <w:r>
        <w:rPr>
          <w:rFonts w:hint="eastAsia" w:ascii="仿宋_GB2312" w:hAnsi="仿宋" w:eastAsia="仿宋_GB2312" w:cs="Times New Roman"/>
          <w:b w:val="0"/>
          <w:bCs w:val="0"/>
          <w:i w:val="0"/>
          <w:caps w:val="0"/>
          <w:color w:val="000000"/>
          <w:spacing w:val="0"/>
          <w:sz w:val="32"/>
          <w:szCs w:val="32"/>
          <w:shd w:val="clear" w:color="auto" w:fill="auto"/>
          <w:lang w:eastAsia="zh-CN"/>
        </w:rPr>
        <w:t>，</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有效助力文化企业发展，同时积极向上进行推介，</w:t>
      </w:r>
      <w:r>
        <w:rPr>
          <w:rFonts w:hint="eastAsia" w:ascii="仿宋_GB2312" w:hAnsi="仿宋" w:eastAsia="仿宋_GB2312" w:cs="Times New Roman"/>
          <w:b w:val="0"/>
          <w:bCs w:val="0"/>
          <w:color w:val="000000"/>
          <w:sz w:val="32"/>
          <w:szCs w:val="32"/>
          <w:lang w:val="en-US" w:eastAsia="zh-CN"/>
        </w:rPr>
        <w:t>九易庄宸（集团）荣膺2022年度河北省“知名文化企业30强”称号，公司董事长梁冰同志荣膺2022年度河北省“</w:t>
      </w:r>
      <w:r>
        <w:rPr>
          <w:rFonts w:hint="eastAsia" w:ascii="仿宋_GB2312" w:hAnsi="仿宋" w:eastAsia="仿宋_GB2312" w:cs="Times New Roman"/>
          <w:b w:val="0"/>
          <w:bCs w:val="0"/>
          <w:color w:val="000000"/>
          <w:sz w:val="32"/>
          <w:szCs w:val="32"/>
          <w:lang w:val="en-US"/>
        </w:rPr>
        <w:t>十佳文化企业家</w:t>
      </w:r>
      <w:r>
        <w:rPr>
          <w:rFonts w:hint="eastAsia" w:ascii="仿宋_GB2312" w:hAnsi="仿宋" w:eastAsia="仿宋_GB2312" w:cs="Times New Roman"/>
          <w:b w:val="0"/>
          <w:bCs w:val="0"/>
          <w:color w:val="000000"/>
          <w:sz w:val="32"/>
          <w:szCs w:val="32"/>
          <w:lang w:val="en-US" w:eastAsia="zh-CN"/>
        </w:rPr>
        <w:t>”称号。进一步</w:t>
      </w:r>
      <w:r>
        <w:rPr>
          <w:rFonts w:hint="eastAsia" w:ascii="仿宋_GB2312" w:hAnsi="仿宋" w:eastAsia="仿宋_GB2312" w:cs="Times New Roman"/>
          <w:b w:val="0"/>
          <w:bCs w:val="0"/>
          <w:i w:val="0"/>
          <w:caps w:val="0"/>
          <w:color w:val="000000"/>
          <w:spacing w:val="0"/>
          <w:sz w:val="32"/>
          <w:szCs w:val="32"/>
          <w:shd w:val="clear" w:color="auto" w:fill="auto"/>
          <w:lang w:eastAsia="zh-CN"/>
        </w:rPr>
        <w:t>加强</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影院、出版发行企业、印刷行业管理，</w:t>
      </w:r>
      <w:r>
        <w:rPr>
          <w:rFonts w:hint="eastAsia" w:ascii="仿宋_GB2312" w:hAnsi="仿宋" w:eastAsia="仿宋_GB2312" w:cs="Times New Roman"/>
          <w:b w:val="0"/>
          <w:bCs w:val="0"/>
          <w:color w:val="000000"/>
          <w:sz w:val="32"/>
          <w:szCs w:val="32"/>
          <w:lang w:val="en-US" w:eastAsia="zh-CN"/>
        </w:rPr>
        <w:t>全年累计</w:t>
      </w:r>
      <w:r>
        <w:rPr>
          <w:rFonts w:hint="eastAsia" w:ascii="仿宋_GB2312" w:hAnsi="仿宋" w:eastAsia="仿宋_GB2312" w:cs="Times New Roman"/>
          <w:b w:val="0"/>
          <w:bCs w:val="0"/>
          <w:i w:val="0"/>
          <w:caps w:val="0"/>
          <w:color w:val="000000"/>
          <w:spacing w:val="0"/>
          <w:sz w:val="32"/>
          <w:szCs w:val="32"/>
          <w:shd w:val="clear" w:color="auto" w:fill="auto"/>
          <w:lang w:eastAsia="zh-CN"/>
        </w:rPr>
        <w:t>检查影院</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25家次、出版发行企业97家、</w:t>
      </w:r>
      <w:r>
        <w:rPr>
          <w:rFonts w:hint="eastAsia" w:ascii="仿宋_GB2312" w:hAnsi="仿宋" w:eastAsia="仿宋_GB2312" w:cs="Times New Roman"/>
          <w:b w:val="0"/>
          <w:bCs w:val="0"/>
          <w:i w:val="0"/>
          <w:caps w:val="0"/>
          <w:color w:val="000000"/>
          <w:spacing w:val="0"/>
          <w:sz w:val="32"/>
          <w:szCs w:val="32"/>
          <w:shd w:val="clear" w:color="auto" w:fill="auto"/>
          <w:lang w:eastAsia="zh-CN"/>
        </w:rPr>
        <w:t>印刷发行企业</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21</w:t>
      </w:r>
      <w:r>
        <w:rPr>
          <w:rFonts w:hint="eastAsia" w:ascii="仿宋_GB2312" w:hAnsi="仿宋" w:eastAsia="仿宋_GB2312" w:cs="Times New Roman"/>
          <w:b w:val="0"/>
          <w:bCs w:val="0"/>
          <w:i w:val="0"/>
          <w:caps w:val="0"/>
          <w:color w:val="000000"/>
          <w:spacing w:val="0"/>
          <w:sz w:val="32"/>
          <w:szCs w:val="32"/>
          <w:shd w:val="clear" w:color="auto" w:fill="auto"/>
          <w:lang w:eastAsia="zh-CN"/>
        </w:rPr>
        <w:t>家，</w:t>
      </w:r>
      <w:r>
        <w:rPr>
          <w:rFonts w:hint="eastAsia" w:ascii="仿宋_GB2312" w:hAnsi="仿宋" w:eastAsia="仿宋_GB2312" w:cs="Times New Roman"/>
          <w:b w:val="0"/>
          <w:bCs w:val="0"/>
          <w:i w:val="0"/>
          <w:caps w:val="0"/>
          <w:color w:val="000000"/>
          <w:spacing w:val="0"/>
          <w:sz w:val="32"/>
          <w:szCs w:val="32"/>
          <w:shd w:val="clear" w:color="auto" w:fill="auto"/>
          <w:lang w:val="en-US" w:eastAsia="zh-CN"/>
        </w:rPr>
        <w:t>实现了联合检查无盲区、全覆盖。</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wordWrap/>
        <w:overflowPunct/>
        <w:topLinePunct w:val="0"/>
        <w:bidi w:val="0"/>
        <w:adjustRightInd/>
        <w:snapToGrid w:val="0"/>
        <w:spacing w:before="0" w:beforeAutospacing="0" w:after="0" w:afterAutospacing="0" w:line="520" w:lineRule="exact"/>
        <w:ind w:left="0" w:right="0" w:firstLine="640" w:firstLineChars="200"/>
        <w:jc w:val="both"/>
        <w:rPr>
          <w:rFonts w:hint="eastAsia" w:ascii="仿宋_GB2312" w:hAnsi="仿宋" w:eastAsia="仿宋_GB2312" w:cs="Times New Roman"/>
          <w:b w:val="0"/>
          <w:bCs w:val="0"/>
          <w:color w:val="000000"/>
          <w:sz w:val="32"/>
          <w:szCs w:val="32"/>
          <w:lang w:val="en-US" w:eastAsia="zh-CN"/>
        </w:rPr>
      </w:pPr>
      <w:r>
        <w:rPr>
          <w:rFonts w:hint="eastAsia" w:ascii="仿宋_GB2312" w:hAnsi="仿宋" w:eastAsia="仿宋_GB2312" w:cs="Times New Roman"/>
          <w:b w:val="0"/>
          <w:bCs w:val="0"/>
          <w:color w:val="000000"/>
          <w:sz w:val="32"/>
          <w:szCs w:val="32"/>
          <w:lang w:val="en-US" w:eastAsia="zh-CN"/>
        </w:rPr>
        <w:t>9.2023年，在辖区主次干道设置</w:t>
      </w:r>
      <w:r>
        <w:rPr>
          <w:rFonts w:hint="eastAsia" w:ascii="仿宋_GB2312" w:hAnsi="仿宋" w:eastAsia="仿宋_GB2312" w:cs="Times New Roman"/>
          <w:color w:val="000000"/>
          <w:sz w:val="32"/>
          <w:szCs w:val="32"/>
          <w:u w:val="none"/>
          <w:lang w:val="en-US" w:eastAsia="zh-CN"/>
        </w:rPr>
        <w:t>道旗标语1177对，景观小品、地插艺术字、喷绘展板等各类公益性政治标语展板251处，</w:t>
      </w:r>
      <w:r>
        <w:rPr>
          <w:rFonts w:hint="eastAsia" w:ascii="仿宋_GB2312" w:hAnsi="仿宋" w:eastAsia="仿宋_GB2312" w:cs="Times New Roman"/>
          <w:color w:val="000000"/>
          <w:kern w:val="2"/>
          <w:sz w:val="32"/>
          <w:szCs w:val="32"/>
          <w:u w:val="none"/>
          <w:lang w:val="en-US" w:eastAsia="zh-CN" w:bidi="zh-CN"/>
        </w:rPr>
        <w:t>通过街头巷尾“小窗口”构建社会宣传“大阵地”。</w:t>
      </w:r>
    </w:p>
    <w:p>
      <w:pPr>
        <w:snapToGrid w:val="0"/>
        <w:spacing w:line="520" w:lineRule="exact"/>
        <w:ind w:firstLine="640" w:firstLineChars="200"/>
        <w:rPr>
          <w:rFonts w:hint="eastAsia" w:ascii="仿宋_GB2312" w:hAnsi="仿宋" w:eastAsia="仿宋_GB2312" w:cs="Times New Roman"/>
          <w:color w:val="000000"/>
          <w:sz w:val="32"/>
          <w:szCs w:val="32"/>
          <w:lang w:val="en-US" w:eastAsia="zh-CN"/>
        </w:rPr>
      </w:pPr>
      <w:r>
        <w:rPr>
          <w:rFonts w:hint="eastAsia" w:ascii="仿宋_GB2312" w:hAnsi="仿宋" w:eastAsia="仿宋_GB2312" w:cs="Times New Roman"/>
          <w:color w:val="000000"/>
          <w:sz w:val="32"/>
          <w:szCs w:val="32"/>
          <w:lang w:val="en-US" w:eastAsia="zh-CN"/>
        </w:rPr>
        <w:t>10.2023年，累计承办人民网、中国政府网（河北效能监督平台）、河北省文明城市创建监督平台三个平台交办的网民留言690项，</w:t>
      </w:r>
      <w:r>
        <w:rPr>
          <w:rFonts w:hint="eastAsia" w:ascii="仿宋_GB2312" w:hAnsi="仿宋" w:eastAsia="仿宋_GB2312" w:cs="Times New Roman"/>
          <w:b w:val="0"/>
          <w:bCs w:val="0"/>
          <w:color w:val="000000"/>
          <w:sz w:val="32"/>
          <w:szCs w:val="32"/>
          <w:lang w:val="en-US" w:eastAsia="zh-CN"/>
        </w:rPr>
        <w:t>办结率达到100%。</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说明评价资料收集、评价过程、评价工作管理组织等情况。</w:t>
      </w:r>
    </w:p>
    <w:p>
      <w:pPr>
        <w:widowControl w:val="0"/>
        <w:wordWrap/>
        <w:adjustRightInd/>
        <w:snapToGrid w:val="0"/>
        <w:spacing w:line="560" w:lineRule="exact"/>
        <w:ind w:right="0" w:firstLine="640" w:firstLineChars="200"/>
        <w:textAlignment w:val="auto"/>
        <w:outlineLvl w:val="9"/>
      </w:pPr>
      <w:r>
        <w:rPr>
          <w:rFonts w:hint="eastAsia" w:ascii="仿宋" w:hAnsi="仿宋" w:eastAsia="仿宋" w:cs="仿宋"/>
          <w:sz w:val="32"/>
          <w:szCs w:val="32"/>
          <w:lang w:val="en-US" w:eastAsia="zh-CN"/>
        </w:rPr>
        <w:t>我部门成立了绩效自评工作小组，由办公室组织完成2023年绩效自评工作。工作小组组长由副部长何易同志担任，小组成员有刘立彬、郭星。工作小组积极开展了绩效自评工作专项会议，部署了工作方案，收集整理了绩效评价资料，对实际项目进行了认真核查、整理和分析，并对收集的资料进行详细的评价打分。</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val="0"/>
          <w:bCs w:val="0"/>
          <w:sz w:val="32"/>
          <w:szCs w:val="32"/>
          <w:lang w:val="en-US" w:eastAsia="zh-CN"/>
        </w:rPr>
        <w:t>我部门于5月14日开展绩效项目自评工作，5月24日评价资料收集完整并进行核实，5月31日整理汇总资料对照评价指标体系进行分析评价并逐项打分。6月5日开始撰写评价报告，并于6月20日前上报财政主管科室。</w:t>
      </w:r>
    </w:p>
    <w:p>
      <w:pPr>
        <w:widowControl w:val="0"/>
        <w:wordWrap/>
        <w:adjustRightInd/>
        <w:snapToGrid w:val="0"/>
        <w:spacing w:line="560" w:lineRule="exact"/>
        <w:ind w:right="0" w:firstLine="640" w:firstLineChars="200"/>
        <w:textAlignment w:val="auto"/>
        <w:outlineLvl w:val="9"/>
      </w:pPr>
      <w:r>
        <w:rPr>
          <w:rFonts w:hint="eastAsia" w:ascii="仿宋" w:hAnsi="仿宋" w:eastAsia="仿宋" w:cs="仿宋"/>
          <w:sz w:val="32"/>
          <w:szCs w:val="32"/>
          <w:lang w:val="en-US" w:eastAsia="zh-CN"/>
        </w:rPr>
        <w:t>经过认真严谨的核查，我部的专项资金均根据有关制度进行管理，专款专用，按照资金预算项目核算。</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参照预算绩效文本中总体绩效目标，说明整体绩效目标实现情况。</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严格按照《财务管理制度》执行，认真贯彻落实中央八项规定精神，根据中央、省、市关于党政机关厉行节约反对浪费条例，本着勤俭节约、遵规守纪的原则开展工作。结合项目预算和工作实际，对</w:t>
      </w:r>
      <w:r>
        <w:rPr>
          <w:rFonts w:hint="eastAsia" w:ascii="仿宋" w:hAnsi="仿宋" w:eastAsia="仿宋"/>
          <w:sz w:val="32"/>
          <w:szCs w:val="32"/>
          <w:lang w:val="en-US" w:eastAsia="zh-CN"/>
        </w:rPr>
        <w:t>2023</w:t>
      </w:r>
      <w:r>
        <w:rPr>
          <w:rFonts w:hint="eastAsia" w:ascii="仿宋" w:hAnsi="仿宋" w:eastAsia="仿宋"/>
          <w:sz w:val="32"/>
          <w:szCs w:val="32"/>
        </w:rPr>
        <w:t>年度共计</w:t>
      </w:r>
      <w:r>
        <w:rPr>
          <w:rFonts w:hint="eastAsia" w:ascii="仿宋" w:hAnsi="仿宋" w:eastAsia="仿宋"/>
          <w:sz w:val="32"/>
          <w:szCs w:val="32"/>
          <w:lang w:val="en-US" w:eastAsia="zh-CN"/>
        </w:rPr>
        <w:t>26</w:t>
      </w:r>
      <w:r>
        <w:rPr>
          <w:rFonts w:hint="eastAsia" w:ascii="仿宋" w:hAnsi="仿宋" w:eastAsia="仿宋"/>
          <w:sz w:val="32"/>
          <w:szCs w:val="32"/>
        </w:rPr>
        <w:t>个项目专项资金进行了科学合理支配，确保了每一项费用支出规范、合理、高效。</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从绩效评价情况看，宣传统战部认真落实专项资金使用要求，规范使用方向，积极发挥财政资金作用。</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1.《美丽河北》慢直播节目经费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2.电影管理经费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3.精神文明建设工作经费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4.新时代文明实践中心建设经费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5.石家庄高新区文明城市创建工作经费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6.中央级媒体新闻宣传经费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7.舆情软件购买费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8.专题纪实片拍摄制作费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9.宣传片制作包装费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10.省市主流媒体新闻战略合作经费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11.意识形态阵地宣传建设经费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12.办公软件场地授权合同经费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13.新媒体运营经费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14.民间信仰场所管理经费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15.宗教场所审计费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16.报刊征订费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17.报刊运行经费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18.专项宣传经费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19.基层治理工作队工作经费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20.提前下达2023年省级国家电影事业发展专项资金</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21.提前下达2023年省级公共文化服务体系建设补助资金</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22.2023年中央补助地方国家电影事业发展专项资金</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23.关于下达2023年市级文化产业发展引导资金</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24.2023年市级公益电影专项资金（石财教【2023】18号）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25.摄录设备维护维修费</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26.提前下达2023年中央补助地方国家电影事业发展专项资金</w:t>
      </w:r>
    </w:p>
    <w:p>
      <w:pPr>
        <w:keepNext w:val="0"/>
        <w:keepLines w:val="0"/>
        <w:pageBreakBefore w:val="0"/>
        <w:widowControl w:val="0"/>
        <w:numPr>
          <w:ilvl w:val="0"/>
          <w:numId w:val="0"/>
        </w:numPr>
        <w:tabs>
          <w:tab w:val="left" w:pos="1116"/>
        </w:tabs>
        <w:kinsoku/>
        <w:wordWrap/>
        <w:overflowPunct/>
        <w:topLinePunct w:val="0"/>
        <w:autoSpaceDE/>
        <w:autoSpaceDN/>
        <w:bidi w:val="0"/>
        <w:spacing w:line="560" w:lineRule="exact"/>
        <w:ind w:right="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通过绩效自评表，得分为100分，基本符合年初的绩效目标设定质量情况，绩效目标设定清晰准确，绩效指标全面完整、科学合理，绩效标准是恰当适宜、易于评价，完成率较高，完成时限比较及时。</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keepNext w:val="0"/>
        <w:keepLines w:val="0"/>
        <w:pageBreakBefore w:val="0"/>
        <w:widowControl w:val="0"/>
        <w:kinsoku/>
        <w:wordWrap/>
        <w:overflowPunct/>
        <w:topLinePunct w:val="0"/>
        <w:autoSpaceDE/>
        <w:autoSpaceDN/>
        <w:bidi w:val="0"/>
        <w:spacing w:line="360" w:lineRule="auto"/>
        <w:ind w:left="0" w:leftChars="0" w:firstLine="640" w:firstLineChars="200"/>
        <w:textAlignment w:val="auto"/>
        <w:rPr>
          <w:rFonts w:hint="eastAsia" w:ascii="仿宋_GB2312" w:eastAsia="仿宋_GB2312"/>
          <w:sz w:val="32"/>
          <w:szCs w:val="32"/>
        </w:rPr>
      </w:pPr>
      <w:r>
        <w:rPr>
          <w:rFonts w:hint="eastAsia" w:ascii="仿宋_GB2312" w:eastAsia="仿宋_GB2312"/>
          <w:sz w:val="32"/>
          <w:szCs w:val="32"/>
        </w:rPr>
        <w:t>根据项目执行情况和项目绩效情况，总得分</w:t>
      </w:r>
      <w:r>
        <w:rPr>
          <w:rFonts w:hint="eastAsia" w:ascii="仿宋_GB2312" w:eastAsia="仿宋_GB2312"/>
          <w:sz w:val="32"/>
          <w:szCs w:val="32"/>
          <w:lang w:val="en-US" w:eastAsia="zh-CN"/>
        </w:rPr>
        <w:t>99.9</w:t>
      </w:r>
      <w:r>
        <w:rPr>
          <w:rFonts w:hint="eastAsia" w:ascii="仿宋_GB2312" w:eastAsia="仿宋_GB2312"/>
          <w:sz w:val="32"/>
          <w:szCs w:val="32"/>
        </w:rPr>
        <w:t>，项目综合绩效评价等级</w:t>
      </w:r>
      <w:r>
        <w:rPr>
          <w:rFonts w:hint="eastAsia" w:ascii="仿宋_GB2312" w:eastAsia="仿宋_GB2312"/>
          <w:sz w:val="32"/>
          <w:szCs w:val="32"/>
          <w:lang w:eastAsia="zh-CN"/>
        </w:rPr>
        <w:t>（</w:t>
      </w:r>
      <w:r>
        <w:rPr>
          <w:rFonts w:hint="eastAsia" w:ascii="仿宋_GB2312" w:eastAsia="仿宋_GB2312"/>
          <w:sz w:val="32"/>
          <w:szCs w:val="32"/>
        </w:rPr>
        <w:t>得分</w:t>
      </w:r>
      <w:r>
        <w:rPr>
          <w:rFonts w:ascii="Arial" w:hAnsi="Arial" w:eastAsia="仿宋_GB2312" w:cs="Arial"/>
          <w:sz w:val="32"/>
          <w:szCs w:val="32"/>
        </w:rPr>
        <w:t>≥</w:t>
      </w:r>
      <w:r>
        <w:rPr>
          <w:rFonts w:hint="eastAsia" w:ascii="仿宋_GB2312" w:eastAsia="仿宋_GB2312"/>
          <w:sz w:val="32"/>
          <w:szCs w:val="32"/>
        </w:rPr>
        <w:t>85分为优秀</w:t>
      </w:r>
      <w:r>
        <w:rPr>
          <w:rFonts w:hint="eastAsia" w:ascii="仿宋_GB2312" w:eastAsia="仿宋_GB2312"/>
          <w:sz w:val="32"/>
          <w:szCs w:val="32"/>
          <w:lang w:eastAsia="zh-CN"/>
        </w:rPr>
        <w:t>）：优秀</w:t>
      </w:r>
      <w:r>
        <w:rPr>
          <w:rFonts w:hint="eastAsia" w:ascii="仿宋_GB2312" w:eastAsia="仿宋_GB2312"/>
          <w:sz w:val="32"/>
          <w:szCs w:val="32"/>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eastAsia="楷体"/>
          <w:lang w:val="en-US" w:eastAsia="zh-CN"/>
        </w:rPr>
      </w:pPr>
      <w:r>
        <w:rPr>
          <w:rFonts w:hint="eastAsia" w:ascii="仿宋" w:hAnsi="仿宋" w:eastAsia="仿宋" w:cs="Arial"/>
          <w:sz w:val="32"/>
          <w:szCs w:val="32"/>
          <w:lang w:val="en-US" w:eastAsia="zh-CN"/>
        </w:rPr>
        <w:t>无。</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hint="eastAsia" w:ascii="仿宋" w:hAnsi="仿宋" w:eastAsia="仿宋" w:cs="Arial"/>
          <w:sz w:val="32"/>
          <w:szCs w:val="32"/>
          <w:lang w:val="en-US" w:eastAsia="zh-CN"/>
        </w:rPr>
      </w:pPr>
      <w:r>
        <w:rPr>
          <w:rFonts w:hint="eastAsia" w:ascii="仿宋" w:hAnsi="仿宋" w:eastAsia="仿宋" w:cs="Arial"/>
          <w:sz w:val="32"/>
          <w:szCs w:val="32"/>
          <w:lang w:val="en-US" w:eastAsia="zh-CN"/>
        </w:rPr>
        <w:t>无。</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9"/>
        <w:tblpPr w:leftFromText="180" w:rightFromText="180" w:vertAnchor="text" w:horzAnchor="page" w:tblpX="1680" w:tblpY="541"/>
        <w:tblOverlap w:val="never"/>
        <w:tblW w:w="8720" w:type="dxa"/>
        <w:tblInd w:w="0" w:type="dxa"/>
        <w:tblLayout w:type="fixed"/>
        <w:tblCellMar>
          <w:top w:w="0" w:type="dxa"/>
          <w:left w:w="108" w:type="dxa"/>
          <w:bottom w:w="0" w:type="dxa"/>
          <w:right w:w="108" w:type="dxa"/>
        </w:tblCellMar>
      </w:tblPr>
      <w:tblGrid>
        <w:gridCol w:w="2180"/>
        <w:gridCol w:w="2386"/>
        <w:gridCol w:w="1974"/>
        <w:gridCol w:w="2180"/>
      </w:tblGrid>
      <w:tr>
        <w:tblPrEx>
          <w:tblCellMar>
            <w:top w:w="0" w:type="dxa"/>
            <w:left w:w="108" w:type="dxa"/>
            <w:bottom w:w="0" w:type="dxa"/>
            <w:right w:w="108" w:type="dxa"/>
          </w:tblCellMar>
        </w:tblPrEx>
        <w:trPr>
          <w:trHeight w:val="839" w:hRule="atLeast"/>
        </w:trPr>
        <w:tc>
          <w:tcPr>
            <w:tcW w:w="2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ind w:firstLine="562" w:firstLineChars="200"/>
              <w:jc w:val="both"/>
              <w:rPr>
                <w:rFonts w:ascii="宋体" w:hAnsi="宋体" w:cs="宋体"/>
                <w:b/>
                <w:bCs/>
                <w:color w:val="000000"/>
                <w:kern w:val="0"/>
                <w:sz w:val="28"/>
                <w:szCs w:val="28"/>
                <w:lang w:bidi="ar-SA"/>
              </w:rPr>
            </w:pPr>
            <w:r>
              <w:rPr>
                <w:rFonts w:hint="eastAsia" w:ascii="宋体" w:hAnsi="宋体" w:cs="宋体"/>
                <w:b/>
                <w:bCs/>
                <w:color w:val="000000"/>
                <w:kern w:val="0"/>
                <w:sz w:val="28"/>
                <w:szCs w:val="28"/>
                <w:lang w:bidi="ar-SA"/>
              </w:rPr>
              <w:t>评价组</w:t>
            </w:r>
          </w:p>
        </w:tc>
        <w:tc>
          <w:tcPr>
            <w:tcW w:w="238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ind w:firstLine="562" w:firstLineChars="200"/>
              <w:jc w:val="both"/>
              <w:rPr>
                <w:rFonts w:ascii="宋体" w:hAnsi="宋体" w:cs="宋体"/>
                <w:b/>
                <w:bCs/>
                <w:color w:val="000000"/>
                <w:kern w:val="0"/>
                <w:sz w:val="28"/>
                <w:szCs w:val="28"/>
                <w:lang w:bidi="ar-SA"/>
              </w:rPr>
            </w:pPr>
            <w:r>
              <w:rPr>
                <w:rFonts w:hint="eastAsia" w:ascii="宋体" w:hAnsi="宋体" w:cs="宋体"/>
                <w:b/>
                <w:bCs/>
                <w:color w:val="000000"/>
                <w:kern w:val="0"/>
                <w:sz w:val="28"/>
                <w:szCs w:val="28"/>
                <w:lang w:bidi="ar-SA"/>
              </w:rPr>
              <w:t>工作单位</w:t>
            </w:r>
          </w:p>
        </w:tc>
        <w:tc>
          <w:tcPr>
            <w:tcW w:w="197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ind w:firstLine="562" w:firstLineChars="200"/>
              <w:jc w:val="both"/>
              <w:rPr>
                <w:rFonts w:ascii="宋体" w:hAnsi="宋体" w:cs="宋体"/>
                <w:b/>
                <w:bCs/>
                <w:color w:val="000000"/>
                <w:kern w:val="0"/>
                <w:sz w:val="28"/>
                <w:szCs w:val="28"/>
                <w:lang w:bidi="ar-SA"/>
              </w:rPr>
            </w:pPr>
            <w:r>
              <w:rPr>
                <w:rFonts w:hint="eastAsia" w:ascii="宋体" w:hAnsi="宋体" w:cs="宋体"/>
                <w:b/>
                <w:bCs/>
                <w:color w:val="000000"/>
                <w:kern w:val="0"/>
                <w:sz w:val="28"/>
                <w:szCs w:val="28"/>
                <w:lang w:bidi="ar-SA"/>
              </w:rPr>
              <w:t>职务</w:t>
            </w:r>
          </w:p>
        </w:tc>
        <w:tc>
          <w:tcPr>
            <w:tcW w:w="218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ind w:firstLine="562" w:firstLineChars="200"/>
              <w:jc w:val="both"/>
              <w:rPr>
                <w:rFonts w:ascii="宋体" w:hAnsi="宋体" w:cs="宋体"/>
                <w:b/>
                <w:bCs/>
                <w:color w:val="000000"/>
                <w:kern w:val="0"/>
                <w:sz w:val="28"/>
                <w:szCs w:val="28"/>
                <w:lang w:bidi="ar-SA"/>
              </w:rPr>
            </w:pPr>
            <w:r>
              <w:rPr>
                <w:rFonts w:hint="eastAsia" w:ascii="宋体" w:hAnsi="宋体" w:cs="宋体"/>
                <w:b/>
                <w:bCs/>
                <w:color w:val="000000"/>
                <w:kern w:val="0"/>
                <w:sz w:val="28"/>
                <w:szCs w:val="28"/>
                <w:lang w:bidi="ar-SA"/>
              </w:rPr>
              <w:t>姓名</w:t>
            </w:r>
          </w:p>
        </w:tc>
      </w:tr>
      <w:tr>
        <w:tblPrEx>
          <w:tblCellMar>
            <w:top w:w="0" w:type="dxa"/>
            <w:left w:w="108" w:type="dxa"/>
            <w:bottom w:w="0" w:type="dxa"/>
            <w:right w:w="108" w:type="dxa"/>
          </w:tblCellMar>
        </w:tblPrEx>
        <w:trPr>
          <w:trHeight w:val="699" w:hRule="atLeast"/>
        </w:trPr>
        <w:tc>
          <w:tcPr>
            <w:tcW w:w="218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ascii="仿宋" w:hAnsi="仿宋" w:eastAsia="仿宋" w:cs="宋体"/>
                <w:color w:val="000000"/>
                <w:kern w:val="0"/>
                <w:sz w:val="28"/>
                <w:szCs w:val="28"/>
                <w:lang w:bidi="ar-SA"/>
              </w:rPr>
            </w:pPr>
            <w:r>
              <w:rPr>
                <w:rFonts w:hint="eastAsia" w:ascii="仿宋" w:hAnsi="仿宋" w:eastAsia="仿宋" w:cs="宋体"/>
                <w:color w:val="000000"/>
                <w:kern w:val="0"/>
                <w:sz w:val="28"/>
                <w:szCs w:val="28"/>
                <w:lang w:bidi="ar-SA"/>
              </w:rPr>
              <w:t>组长</w:t>
            </w:r>
          </w:p>
        </w:tc>
        <w:tc>
          <w:tcPr>
            <w:tcW w:w="2386"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hint="default" w:ascii="仿宋" w:hAnsi="仿宋" w:eastAsia="仿宋" w:cs="宋体"/>
                <w:color w:val="000000"/>
                <w:kern w:val="0"/>
                <w:sz w:val="28"/>
                <w:szCs w:val="28"/>
                <w:lang w:val="en-US" w:eastAsia="zh-CN" w:bidi="ar-SA"/>
              </w:rPr>
            </w:pPr>
            <w:r>
              <w:rPr>
                <w:rFonts w:hint="eastAsia" w:ascii="仿宋" w:hAnsi="仿宋" w:eastAsia="仿宋" w:cs="宋体"/>
                <w:color w:val="000000"/>
                <w:kern w:val="0"/>
                <w:sz w:val="28"/>
                <w:szCs w:val="28"/>
                <w:lang w:val="en-US" w:eastAsia="zh-CN" w:bidi="ar-SA"/>
              </w:rPr>
              <w:t>宣传统战部</w:t>
            </w:r>
          </w:p>
        </w:tc>
        <w:tc>
          <w:tcPr>
            <w:tcW w:w="197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ascii="仿宋" w:hAnsi="仿宋" w:eastAsia="仿宋" w:cs="宋体"/>
                <w:color w:val="000000"/>
                <w:kern w:val="0"/>
                <w:sz w:val="28"/>
                <w:szCs w:val="28"/>
                <w:lang w:bidi="ar-SA"/>
              </w:rPr>
            </w:pPr>
            <w:r>
              <w:rPr>
                <w:rFonts w:hint="eastAsia" w:ascii="仿宋" w:hAnsi="仿宋" w:eastAsia="仿宋" w:cs="宋体"/>
                <w:color w:val="000000"/>
                <w:kern w:val="0"/>
                <w:sz w:val="28"/>
                <w:szCs w:val="28"/>
                <w:lang w:bidi="ar-SA"/>
              </w:rPr>
              <w:t>副部长</w:t>
            </w:r>
          </w:p>
        </w:tc>
        <w:tc>
          <w:tcPr>
            <w:tcW w:w="218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hint="eastAsia" w:ascii="仿宋" w:hAnsi="仿宋" w:eastAsia="仿宋" w:cs="宋体"/>
                <w:color w:val="000000"/>
                <w:kern w:val="0"/>
                <w:sz w:val="28"/>
                <w:szCs w:val="28"/>
                <w:lang w:eastAsia="zh-CN" w:bidi="ar-SA"/>
              </w:rPr>
            </w:pPr>
            <w:r>
              <w:rPr>
                <w:rFonts w:hint="eastAsia" w:ascii="仿宋" w:hAnsi="仿宋" w:eastAsia="仿宋" w:cs="宋体"/>
                <w:color w:val="000000"/>
                <w:kern w:val="0"/>
                <w:sz w:val="28"/>
                <w:szCs w:val="28"/>
                <w:lang w:val="en-US" w:eastAsia="zh-CN" w:bidi="ar-SA"/>
              </w:rPr>
              <w:t>何易</w:t>
            </w:r>
          </w:p>
        </w:tc>
      </w:tr>
      <w:tr>
        <w:tblPrEx>
          <w:tblCellMar>
            <w:top w:w="0" w:type="dxa"/>
            <w:left w:w="108" w:type="dxa"/>
            <w:bottom w:w="0" w:type="dxa"/>
            <w:right w:w="108" w:type="dxa"/>
          </w:tblCellMar>
        </w:tblPrEx>
        <w:trPr>
          <w:trHeight w:val="464" w:hRule="atLeast"/>
        </w:trPr>
        <w:tc>
          <w:tcPr>
            <w:tcW w:w="2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ascii="仿宋" w:hAnsi="仿宋" w:eastAsia="仿宋" w:cs="宋体"/>
                <w:color w:val="000000"/>
                <w:kern w:val="0"/>
                <w:sz w:val="28"/>
                <w:szCs w:val="28"/>
                <w:lang w:bidi="ar-SA"/>
              </w:rPr>
            </w:pPr>
            <w:r>
              <w:rPr>
                <w:rFonts w:hint="eastAsia" w:ascii="仿宋" w:hAnsi="仿宋" w:eastAsia="仿宋" w:cs="宋体"/>
                <w:color w:val="000000"/>
                <w:kern w:val="0"/>
                <w:sz w:val="28"/>
                <w:szCs w:val="28"/>
                <w:lang w:bidi="ar-SA"/>
              </w:rPr>
              <w:t>组员</w:t>
            </w:r>
          </w:p>
        </w:tc>
        <w:tc>
          <w:tcPr>
            <w:tcW w:w="238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ascii="仿宋" w:hAnsi="仿宋" w:eastAsia="仿宋" w:cs="宋体"/>
                <w:color w:val="000000"/>
                <w:kern w:val="0"/>
                <w:sz w:val="28"/>
                <w:szCs w:val="28"/>
                <w:lang w:bidi="ar-SA"/>
              </w:rPr>
            </w:pPr>
            <w:r>
              <w:rPr>
                <w:rFonts w:hint="eastAsia" w:ascii="仿宋" w:hAnsi="仿宋" w:eastAsia="仿宋" w:cs="宋体"/>
                <w:color w:val="000000"/>
                <w:kern w:val="0"/>
                <w:sz w:val="28"/>
                <w:szCs w:val="28"/>
                <w:lang w:val="en-US" w:eastAsia="zh-CN" w:bidi="ar-SA"/>
              </w:rPr>
              <w:t>宣传统战部</w:t>
            </w:r>
          </w:p>
        </w:tc>
        <w:tc>
          <w:tcPr>
            <w:tcW w:w="197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ascii="仿宋" w:hAnsi="仿宋" w:eastAsia="仿宋" w:cs="宋体"/>
                <w:color w:val="000000"/>
                <w:kern w:val="0"/>
                <w:sz w:val="28"/>
                <w:szCs w:val="28"/>
                <w:lang w:bidi="ar-SA"/>
              </w:rPr>
            </w:pPr>
            <w:r>
              <w:rPr>
                <w:rFonts w:hint="eastAsia" w:ascii="仿宋" w:hAnsi="仿宋" w:eastAsia="仿宋" w:cs="宋体"/>
                <w:color w:val="000000"/>
                <w:kern w:val="0"/>
                <w:sz w:val="28"/>
                <w:szCs w:val="28"/>
                <w:lang w:bidi="ar-SA"/>
              </w:rPr>
              <w:t>办公室主任</w:t>
            </w:r>
          </w:p>
        </w:tc>
        <w:tc>
          <w:tcPr>
            <w:tcW w:w="2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hint="default" w:ascii="仿宋" w:hAnsi="仿宋" w:eastAsia="仿宋" w:cs="宋体"/>
                <w:color w:val="000000"/>
                <w:kern w:val="0"/>
                <w:sz w:val="28"/>
                <w:szCs w:val="28"/>
                <w:lang w:val="en-US" w:eastAsia="zh-CN" w:bidi="ar-SA"/>
              </w:rPr>
            </w:pPr>
            <w:r>
              <w:rPr>
                <w:rFonts w:hint="eastAsia" w:ascii="仿宋" w:hAnsi="仿宋" w:eastAsia="仿宋" w:cs="宋体"/>
                <w:color w:val="000000"/>
                <w:kern w:val="0"/>
                <w:sz w:val="28"/>
                <w:szCs w:val="28"/>
                <w:lang w:val="en-US" w:eastAsia="zh-CN" w:bidi="ar-SA"/>
              </w:rPr>
              <w:t>刘立彬</w:t>
            </w:r>
          </w:p>
        </w:tc>
      </w:tr>
      <w:tr>
        <w:tblPrEx>
          <w:tblCellMar>
            <w:top w:w="0" w:type="dxa"/>
            <w:left w:w="108" w:type="dxa"/>
            <w:bottom w:w="0" w:type="dxa"/>
            <w:right w:w="108" w:type="dxa"/>
          </w:tblCellMar>
        </w:tblPrEx>
        <w:trPr>
          <w:trHeight w:val="464" w:hRule="atLeast"/>
        </w:trPr>
        <w:tc>
          <w:tcPr>
            <w:tcW w:w="2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hint="eastAsia" w:ascii="仿宋" w:hAnsi="仿宋" w:eastAsia="仿宋" w:cs="宋体"/>
                <w:color w:val="000000"/>
                <w:kern w:val="0"/>
                <w:sz w:val="28"/>
                <w:szCs w:val="28"/>
                <w:lang w:val="en-US" w:eastAsia="zh-CN" w:bidi="ar-SA"/>
              </w:rPr>
            </w:pPr>
            <w:r>
              <w:rPr>
                <w:rFonts w:hint="eastAsia" w:ascii="仿宋" w:hAnsi="仿宋" w:eastAsia="仿宋" w:cs="宋体"/>
                <w:color w:val="000000"/>
                <w:kern w:val="0"/>
                <w:sz w:val="28"/>
                <w:szCs w:val="28"/>
                <w:lang w:bidi="ar-SA"/>
              </w:rPr>
              <w:t>组员</w:t>
            </w:r>
          </w:p>
        </w:tc>
        <w:tc>
          <w:tcPr>
            <w:tcW w:w="238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hint="eastAsia" w:ascii="仿宋" w:hAnsi="仿宋" w:eastAsia="仿宋" w:cs="宋体"/>
                <w:color w:val="000000"/>
                <w:kern w:val="0"/>
                <w:sz w:val="28"/>
                <w:szCs w:val="28"/>
                <w:lang w:val="en-US" w:eastAsia="zh-CN" w:bidi="ar-SA"/>
              </w:rPr>
            </w:pPr>
            <w:r>
              <w:rPr>
                <w:rFonts w:hint="eastAsia" w:ascii="仿宋" w:hAnsi="仿宋" w:eastAsia="仿宋" w:cs="宋体"/>
                <w:color w:val="000000"/>
                <w:kern w:val="0"/>
                <w:sz w:val="28"/>
                <w:szCs w:val="28"/>
                <w:lang w:val="en-US" w:eastAsia="zh-CN" w:bidi="ar-SA"/>
              </w:rPr>
              <w:t>宣传统战部</w:t>
            </w:r>
          </w:p>
        </w:tc>
        <w:tc>
          <w:tcPr>
            <w:tcW w:w="197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hint="eastAsia" w:ascii="仿宋" w:hAnsi="仿宋" w:eastAsia="仿宋" w:cs="宋体"/>
                <w:color w:val="000000"/>
                <w:kern w:val="0"/>
                <w:sz w:val="28"/>
                <w:szCs w:val="28"/>
                <w:lang w:val="en-US" w:eastAsia="zh-CN" w:bidi="ar-SA"/>
              </w:rPr>
            </w:pPr>
            <w:r>
              <w:rPr>
                <w:rFonts w:hint="eastAsia" w:ascii="仿宋" w:hAnsi="仿宋" w:eastAsia="仿宋" w:cs="宋体"/>
                <w:color w:val="000000"/>
                <w:kern w:val="0"/>
                <w:sz w:val="28"/>
                <w:szCs w:val="28"/>
                <w:lang w:val="en-US" w:eastAsia="zh-CN" w:bidi="ar-SA"/>
              </w:rPr>
              <w:t>宣传科科长</w:t>
            </w:r>
          </w:p>
        </w:tc>
        <w:tc>
          <w:tcPr>
            <w:tcW w:w="2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atLeast"/>
              <w:jc w:val="center"/>
              <w:rPr>
                <w:rFonts w:hint="default" w:ascii="仿宋" w:hAnsi="仿宋" w:eastAsia="仿宋" w:cs="宋体"/>
                <w:color w:val="000000"/>
                <w:kern w:val="0"/>
                <w:sz w:val="28"/>
                <w:szCs w:val="28"/>
                <w:lang w:val="en-US" w:eastAsia="zh-CN" w:bidi="ar-SA"/>
              </w:rPr>
            </w:pPr>
            <w:r>
              <w:rPr>
                <w:rFonts w:hint="eastAsia" w:ascii="仿宋" w:hAnsi="仿宋" w:eastAsia="仿宋" w:cs="宋体"/>
                <w:color w:val="000000"/>
                <w:kern w:val="0"/>
                <w:sz w:val="28"/>
                <w:szCs w:val="28"/>
                <w:lang w:val="en-US" w:eastAsia="zh-CN" w:bidi="ar-SA"/>
              </w:rPr>
              <w:t>郭星</w:t>
            </w: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89C108"/>
    <w:multiLevelType w:val="singleLevel"/>
    <w:tmpl w:val="8189C108"/>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7A81136"/>
    <w:rsid w:val="09721397"/>
    <w:rsid w:val="0BB63BED"/>
    <w:rsid w:val="0EA270E8"/>
    <w:rsid w:val="0EB97A43"/>
    <w:rsid w:val="0EBD2122"/>
    <w:rsid w:val="0F214EAE"/>
    <w:rsid w:val="10AC4F54"/>
    <w:rsid w:val="11B71E6A"/>
    <w:rsid w:val="149D0DE4"/>
    <w:rsid w:val="18493992"/>
    <w:rsid w:val="1AAF0063"/>
    <w:rsid w:val="1BE140DE"/>
    <w:rsid w:val="1EEA4D10"/>
    <w:rsid w:val="20311A1B"/>
    <w:rsid w:val="233E0D3B"/>
    <w:rsid w:val="248C197D"/>
    <w:rsid w:val="252959AF"/>
    <w:rsid w:val="277A6671"/>
    <w:rsid w:val="292D35B7"/>
    <w:rsid w:val="2C58111A"/>
    <w:rsid w:val="2F627A4C"/>
    <w:rsid w:val="33EB6CFF"/>
    <w:rsid w:val="35A12947"/>
    <w:rsid w:val="369F3168"/>
    <w:rsid w:val="37387040"/>
    <w:rsid w:val="3A690764"/>
    <w:rsid w:val="3B625C0A"/>
    <w:rsid w:val="3CEE1963"/>
    <w:rsid w:val="436B78D3"/>
    <w:rsid w:val="44F00299"/>
    <w:rsid w:val="4C9C27FE"/>
    <w:rsid w:val="4FAF70BA"/>
    <w:rsid w:val="512260B4"/>
    <w:rsid w:val="52BD6ACB"/>
    <w:rsid w:val="55537534"/>
    <w:rsid w:val="561A74F1"/>
    <w:rsid w:val="597244E8"/>
    <w:rsid w:val="5B8D6833"/>
    <w:rsid w:val="5EB71C30"/>
    <w:rsid w:val="66AF0CE5"/>
    <w:rsid w:val="6AC537CF"/>
    <w:rsid w:val="6B3F07BD"/>
    <w:rsid w:val="6E5B14A6"/>
    <w:rsid w:val="6F3D2E78"/>
    <w:rsid w:val="711B255E"/>
    <w:rsid w:val="767720EA"/>
    <w:rsid w:val="7BB51E06"/>
    <w:rsid w:val="7BED7BDD"/>
    <w:rsid w:val="7C387F7C"/>
    <w:rsid w:val="7D5671AF"/>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Normal Indent"/>
    <w:basedOn w:val="1"/>
    <w:next w:val="5"/>
    <w:qFormat/>
    <w:uiPriority w:val="0"/>
    <w:pPr>
      <w:ind w:firstLine="420" w:firstLineChars="200"/>
    </w:pPr>
  </w:style>
  <w:style w:type="paragraph" w:styleId="5">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6">
    <w:name w:val="Body Text"/>
    <w:basedOn w:val="1"/>
    <w:uiPriority w:val="0"/>
    <w:pPr>
      <w:widowControl/>
      <w:spacing w:before="100" w:beforeAutospacing="1" w:after="100" w:afterAutospacing="1"/>
      <w:jc w:val="left"/>
    </w:pPr>
    <w:rPr>
      <w:rFonts w:ascii="宋体" w:hAnsi="宋体" w:cs="宋体"/>
      <w:kern w:val="0"/>
      <w:sz w:val="2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23</TotalTime>
  <ScaleCrop>false</ScaleCrop>
  <LinksUpToDate>false</LinksUpToDate>
  <CharactersWithSpaces>669</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童童</cp:lastModifiedBy>
  <cp:lastPrinted>2024-03-06T07:40:00Z</cp:lastPrinted>
  <dcterms:modified xsi:type="dcterms:W3CDTF">2024-08-21T09:12:02Z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113D232A129A4A4BA8F4AEEE5875598C</vt:lpwstr>
  </property>
</Properties>
</file>