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jc w:val="center"/>
        <w:rPr>
          <w:rFonts w:hint="eastAsia" w:ascii="宋体" w:hAnsi="宋体" w:eastAsia="宋体" w:cs="宋体"/>
          <w:b/>
          <w:sz w:val="44"/>
          <w:szCs w:val="44"/>
        </w:rPr>
      </w:pPr>
      <w:r>
        <w:rPr>
          <w:rFonts w:hint="eastAsia" w:ascii="宋体" w:hAnsi="宋体" w:eastAsia="宋体" w:cs="宋体"/>
          <w:b/>
          <w:sz w:val="44"/>
          <w:szCs w:val="44"/>
        </w:rPr>
        <w:t>拟批准</w:t>
      </w:r>
      <w:bookmarkStart w:id="0" w:name="OLE_LINK2"/>
      <w:r>
        <w:rPr>
          <w:rFonts w:hint="eastAsia" w:ascii="宋体" w:hAnsi="宋体" w:eastAsia="宋体" w:cs="宋体"/>
          <w:b/>
          <w:sz w:val="44"/>
          <w:szCs w:val="44"/>
          <w:lang w:eastAsia="zh-CN"/>
        </w:rPr>
        <w:t>石家庄高新技术产业开发区文教局岗当北中学</w:t>
      </w:r>
      <w:bookmarkEnd w:id="0"/>
      <w:r>
        <w:rPr>
          <w:rFonts w:hint="eastAsia" w:ascii="宋体" w:hAnsi="宋体" w:eastAsia="宋体" w:cs="宋体"/>
          <w:b/>
          <w:sz w:val="44"/>
          <w:szCs w:val="44"/>
        </w:rPr>
        <w:t>环评文件基本情况</w:t>
      </w:r>
    </w:p>
    <w:p>
      <w:pPr>
        <w:spacing w:line="540" w:lineRule="exact"/>
        <w:rPr>
          <w:rFonts w:ascii="仿宋_GB2312" w:hAnsi="仿宋_GB2312" w:eastAsia="仿宋_GB2312" w:cs="仿宋_GB2312"/>
          <w:sz w:val="30"/>
          <w:szCs w:val="30"/>
        </w:rPr>
      </w:pPr>
      <w:r>
        <w:rPr>
          <w:rFonts w:hint="eastAsia" w:ascii="仿宋_GB2312" w:hAnsi="仿宋_GB2312" w:eastAsia="仿宋_GB2312" w:cs="仿宋_GB2312"/>
          <w:sz w:val="30"/>
          <w:szCs w:val="30"/>
        </w:rPr>
        <w:t xml:space="preserve">    </w:t>
      </w:r>
    </w:p>
    <w:p>
      <w:pPr>
        <w:keepNext w:val="0"/>
        <w:keepLines w:val="0"/>
        <w:pageBreakBefore w:val="0"/>
        <w:widowControl w:val="0"/>
        <w:numPr>
          <w:ilvl w:val="0"/>
          <w:numId w:val="2"/>
        </w:numPr>
        <w:kinsoku/>
        <w:wordWrap/>
        <w:overflowPunct/>
        <w:topLinePunct w:val="0"/>
        <w:autoSpaceDE/>
        <w:autoSpaceDN/>
        <w:bidi w:val="0"/>
        <w:adjustRightInd/>
        <w:snapToGrid/>
        <w:spacing w:line="600" w:lineRule="exact"/>
        <w:ind w:left="600" w:leftChars="0" w:firstLine="0" w:firstLineChars="0"/>
        <w:textAlignment w:val="auto"/>
        <w:outlineLvl w:val="9"/>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rPr>
        <w:t>基本情况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lang w:val="en-US" w:eastAsia="zh-CN"/>
        </w:rPr>
        <w:t>石家庄高新技术产业开发区文教局岗当北中学位于石家庄高新区岗当街东侧、万泉道北侧、东海盛景小区西侧、漓江道以南。项目总投资22705.34万元,其中环保投资220万元。项目主要建设内容：本项目总用地面积62.087亩（41391.055m</w:t>
      </w:r>
      <w:r>
        <w:rPr>
          <w:rFonts w:hint="eastAsia" w:ascii="仿宋_GB2312" w:hAnsi="Times New Roman" w:eastAsia="仿宋_GB2312" w:cs="Times New Roman"/>
          <w:sz w:val="32"/>
          <w:szCs w:val="32"/>
          <w:vertAlign w:val="superscript"/>
          <w:lang w:val="en-US" w:eastAsia="zh-CN"/>
        </w:rPr>
        <w:t>2</w:t>
      </w:r>
      <w:r>
        <w:rPr>
          <w:rFonts w:hint="eastAsia" w:ascii="仿宋_GB2312" w:hAnsi="Times New Roman" w:eastAsia="仿宋_GB2312" w:cs="Times New Roman"/>
          <w:sz w:val="32"/>
          <w:szCs w:val="32"/>
          <w:lang w:val="en-US" w:eastAsia="zh-CN"/>
        </w:rPr>
        <w:t>），规划建设16轨48班的标准化中学，学生2400人。项目总建筑面积40440.20m</w:t>
      </w:r>
      <w:r>
        <w:rPr>
          <w:rFonts w:hint="eastAsia" w:ascii="仿宋_GB2312" w:hAnsi="Times New Roman" w:eastAsia="仿宋_GB2312" w:cs="Times New Roman"/>
          <w:sz w:val="32"/>
          <w:szCs w:val="32"/>
          <w:vertAlign w:val="superscript"/>
          <w:lang w:val="en-US" w:eastAsia="zh-CN"/>
        </w:rPr>
        <w:t>2</w:t>
      </w:r>
      <w:r>
        <w:rPr>
          <w:rFonts w:hint="eastAsia" w:ascii="仿宋_GB2312" w:hAnsi="Times New Roman" w:eastAsia="仿宋_GB2312" w:cs="Times New Roman"/>
          <w:sz w:val="32"/>
          <w:szCs w:val="32"/>
          <w:lang w:val="en-US" w:eastAsia="zh-CN"/>
        </w:rPr>
        <w:t>，其中地上建筑面积36450.63m</w:t>
      </w:r>
      <w:r>
        <w:rPr>
          <w:rFonts w:hint="eastAsia" w:ascii="仿宋_GB2312" w:hAnsi="Times New Roman" w:eastAsia="仿宋_GB2312" w:cs="Times New Roman"/>
          <w:sz w:val="32"/>
          <w:szCs w:val="32"/>
          <w:vertAlign w:val="superscript"/>
          <w:lang w:val="en-US" w:eastAsia="zh-CN"/>
        </w:rPr>
        <w:t>2</w:t>
      </w:r>
      <w:r>
        <w:rPr>
          <w:rFonts w:hint="eastAsia" w:ascii="仿宋_GB2312" w:hAnsi="Times New Roman" w:eastAsia="仿宋_GB2312" w:cs="Times New Roman"/>
          <w:sz w:val="32"/>
          <w:szCs w:val="32"/>
          <w:lang w:val="en-US" w:eastAsia="zh-CN"/>
        </w:rPr>
        <w:t>，建设有南部教学楼、食堂、风雨操场、报告厅、门卫等；地下建筑面积3989.57m2,，建设为设备用房和地下车库；并配套建设室外管网、道路广场、绿化等室外工程。</w:t>
      </w:r>
    </w:p>
    <w:p>
      <w:pPr>
        <w:keepNext w:val="0"/>
        <w:keepLines w:val="0"/>
        <w:pageBreakBefore w:val="0"/>
        <w:widowControl w:val="0"/>
        <w:numPr>
          <w:ilvl w:val="0"/>
          <w:numId w:val="3"/>
        </w:numPr>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rPr>
        <w:t>污染物排放执行标准</w:t>
      </w:r>
    </w:p>
    <w:p>
      <w:pPr>
        <w:pStyle w:val="2"/>
        <w:ind w:left="0" w:leftChars="0" w:firstLine="640" w:firstLineChars="200"/>
        <w:rPr>
          <w:rFonts w:hint="eastAsia" w:ascii="仿宋_GB2312" w:eastAsia="仿宋_GB2312" w:cs="Times New Roman"/>
          <w:sz w:val="32"/>
          <w:szCs w:val="32"/>
          <w:lang w:eastAsia="zh-CN"/>
        </w:rPr>
      </w:pPr>
      <w:r>
        <w:rPr>
          <w:rFonts w:hint="eastAsia" w:ascii="仿宋_GB2312" w:eastAsia="仿宋_GB2312" w:cs="Times New Roman"/>
          <w:sz w:val="32"/>
          <w:szCs w:val="32"/>
          <w:lang w:eastAsia="zh-CN"/>
        </w:rPr>
        <w:t>施工期：</w:t>
      </w:r>
    </w:p>
    <w:p>
      <w:pPr>
        <w:pStyle w:val="3"/>
        <w:numPr>
          <w:ilvl w:val="0"/>
          <w:numId w:val="4"/>
        </w:numPr>
        <w:ind w:firstLine="640" w:firstLineChars="200"/>
        <w:jc w:val="both"/>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废气：《施工场地扬尘排放标准》（DB13/2934-2019）表1扬尘排放浓度限值要求。</w:t>
      </w:r>
    </w:p>
    <w:p>
      <w:pPr>
        <w:pStyle w:val="3"/>
        <w:numPr>
          <w:ilvl w:val="0"/>
          <w:numId w:val="4"/>
        </w:numPr>
        <w:ind w:firstLine="640" w:firstLineChars="200"/>
        <w:jc w:val="both"/>
        <w:rPr>
          <w:rFonts w:hint="default" w:ascii="仿宋_GB2312" w:eastAsia="仿宋_GB2312" w:cs="Times New Roman"/>
          <w:sz w:val="32"/>
          <w:szCs w:val="32"/>
          <w:lang w:val="en-US" w:eastAsia="zh-CN"/>
        </w:rPr>
      </w:pPr>
      <w:r>
        <w:rPr>
          <w:rFonts w:hint="default" w:ascii="仿宋_GB2312" w:eastAsia="仿宋_GB2312" w:cs="Times New Roman"/>
          <w:sz w:val="32"/>
          <w:szCs w:val="32"/>
          <w:lang w:val="en-US" w:eastAsia="zh-CN"/>
        </w:rPr>
        <w:t>施工噪声满足《建筑施工场界环境噪声排放标准》（GB12523-2011）中相关规定。</w:t>
      </w:r>
    </w:p>
    <w:p>
      <w:pPr>
        <w:pStyle w:val="3"/>
        <w:ind w:firstLine="640" w:firstLineChars="200"/>
        <w:jc w:val="both"/>
        <w:rPr>
          <w:rFonts w:hint="eastAsia"/>
          <w:lang w:val="en-US" w:eastAsia="zh-CN"/>
        </w:rPr>
      </w:pPr>
      <w:r>
        <w:rPr>
          <w:rFonts w:hint="eastAsia" w:ascii="仿宋_GB2312" w:eastAsia="仿宋_GB2312" w:cs="Times New Roman"/>
          <w:sz w:val="32"/>
          <w:szCs w:val="32"/>
          <w:lang w:eastAsia="zh-CN"/>
        </w:rPr>
        <w:t>运营期：</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1、废气：食堂油烟和非甲烷总烃排放执行《餐饮业大气污染物排放标准》（DB13/5808-2023）表1大气污染物最高允许排放浓度，同时符合《饮食业油烟排放标准（试行）》（GB18483-2001）表2中大型标准要求；硫酸雾、氯化氢、氮氧化物排放执行《大气污染物综合排放标准》（GB16297-1996）表2中二级标准要求；非甲烷总烃排放执行《工业企业挥发性有机物排放控制标准》（DB13/2322-2016）中表1大气污染物排放限值其他行业要求；氨、臭气浓度执行《恶臭污染物排放标准》（GB14554-93）表2恶臭污染物排放标准值要求。</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厂界非甲烷总烃执行《工业企业挥发性有机物排放控制标准》（DB13/2322-2016）中表2企业边界大气污染物浓度限值和《挥发性有机物无组织排放控制标准》（GB37822-2019）附录A.1厂区内VOCs无组织排放限值。垃圾箱和中水处理站厂界恶臭气体执行《恶臭污染物排放标准》（GB14554-93）表1恶臭污染物厂界标准值中二级新扩改建标准。厂界硫酸雾、氯化氢和氮氧化物执行《大气污染物综合排放标准》（GB16297-1996）表2新污染源大气污染物浓度排放限值无组织排放监控浓度限值。</w:t>
      </w:r>
    </w:p>
    <w:p>
      <w:pPr>
        <w:pStyle w:val="2"/>
        <w:ind w:left="0" w:leftChars="0" w:firstLine="640" w:firstLineChars="200"/>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2、废水排放执行《污水综合排放标准》（GB8978-1996）表4三级标准，同时满足石家庄高新技术产业开发区污水处理厂进水水质要求。中水回用执行《城市污水再生利用城市杂用水水质》（GB/T18920-2020）道路清扫及绿化用水标准。</w:t>
      </w:r>
    </w:p>
    <w:p>
      <w:pPr>
        <w:pStyle w:val="2"/>
        <w:numPr>
          <w:ilvl w:val="0"/>
          <w:numId w:val="0"/>
        </w:numPr>
        <w:ind w:firstLine="640" w:firstLineChars="200"/>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3、噪声：厂界噪声满足《工业企业厂界环境噪声排放标准》（GB12348-2008）1类标准。</w:t>
      </w:r>
    </w:p>
    <w:p>
      <w:pPr>
        <w:pStyle w:val="2"/>
        <w:numPr>
          <w:ilvl w:val="0"/>
          <w:numId w:val="0"/>
        </w:numPr>
        <w:ind w:firstLine="640" w:firstLineChars="200"/>
        <w:rPr>
          <w:rFonts w:hint="eastAsia" w:ascii="仿宋_GB2312" w:hAnsi="Times New Roman" w:eastAsia="仿宋_GB2312" w:cs="Times New Roman"/>
          <w:sz w:val="32"/>
          <w:szCs w:val="32"/>
          <w:lang w:val="en-US" w:eastAsia="zh-CN"/>
        </w:rPr>
      </w:pPr>
      <w:r>
        <w:rPr>
          <w:rFonts w:hint="eastAsia" w:ascii="仿宋_GB2312" w:eastAsia="仿宋_GB2312" w:cs="Times New Roman"/>
          <w:sz w:val="32"/>
          <w:szCs w:val="32"/>
          <w:lang w:val="en-US" w:eastAsia="zh-CN"/>
        </w:rPr>
        <w:t>4、固废：一般固体废物执行《中华人民共和国固体废物污染环境防治法》、《河北省固体废物污染环境防治条例》的要求；生活垃圾处置参照《中华人民共和国固体废物污染环境防治法》（2020年9月1日起实施）第四章相关规定以及《河北省城乡生活垃圾分类管理条例》中的有关规定；隔油池、油烟净化器废油、油烟净化器废油和餐厨垃圾等执行《石家庄市餐厨废弃物管理办法》以及石家庄市城管委《关于对餐厨废弃物实行统一收运处置的通告》；危险废物执行《危险废物贮存污染控制标准》(GB18597-2023)标准；医疗废物执行《医疗废物管理条例》和《医疗废物处理处置污染控制标准》（GB39707-2020）。</w:t>
      </w:r>
      <w:r>
        <w:rPr>
          <w:rFonts w:hint="eastAsia" w:ascii="仿宋_GB2312" w:hAnsi="Times New Roman" w:eastAsia="仿宋_GB2312" w:cs="Times New Roman"/>
          <w:sz w:val="32"/>
          <w:szCs w:val="32"/>
          <w:lang w:val="en-US" w:eastAsia="zh-CN"/>
        </w:rPr>
        <w:t xml:space="preserve">                                                                                                                                                                                                                                                                                                                                                                                                                                                                                                                                                                                                                                                                                                                                                                                                                                                                                                                                                                                                                                                                                                                                                                                                                                                                                                                                                                                                                                                                                                                                                                                                                                                                                                                                                                                                                                                                                                                                                                                                                                                                                                                                                                                                                                                                                                                                                                                                                                                                                                                                                                                                                                                                                                                                                                                                                                                                                                                                                                                                                                                                                                                                                                                                                                                                                                                                                                                                                                                                                                                                                                                                                                                                                                                                                                                                                                                                                                                                                                                                                                                                                                                                                                                                                </w:t>
      </w:r>
      <w:r>
        <w:rPr>
          <w:rFonts w:hint="eastAsia" w:ascii="仿宋_GB2312" w:hAnsi="Times New Roman" w:eastAsia="仿宋_GB2312" w:cs="Times New Roman"/>
          <w:sz w:val="32"/>
          <w:szCs w:val="32"/>
          <w:lang w:val="en-US" w:eastAsia="zh-CN"/>
        </w:rPr>
        <w:t xml:space="preserve">                                                                                                                                                                                                                                                                                                                                                                                                                                                                                                                                                                                                       </w:t>
      </w:r>
    </w:p>
    <w:p>
      <w:pPr>
        <w:keepNext w:val="0"/>
        <w:keepLines w:val="0"/>
        <w:pageBreakBefore w:val="0"/>
        <w:widowControl w:val="0"/>
        <w:numPr>
          <w:ilvl w:val="0"/>
          <w:numId w:val="3"/>
        </w:numPr>
        <w:kinsoku/>
        <w:wordWrap/>
        <w:overflowPunct/>
        <w:topLinePunct w:val="0"/>
        <w:autoSpaceDE/>
        <w:autoSpaceDN/>
        <w:bidi w:val="0"/>
        <w:adjustRightInd/>
        <w:snapToGrid/>
        <w:spacing w:line="600" w:lineRule="exact"/>
        <w:ind w:left="0" w:leftChars="0" w:firstLine="640" w:firstLineChars="200"/>
        <w:textAlignment w:val="auto"/>
        <w:outlineLvl w:val="9"/>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lang w:val="en-US" w:eastAsia="zh-CN"/>
        </w:rPr>
        <w:t>建设项目拟采取的污染防治措施。</w:t>
      </w:r>
    </w:p>
    <w:p>
      <w:pPr>
        <w:pStyle w:val="2"/>
        <w:ind w:left="0" w:leftChars="0" w:firstLine="640" w:firstLineChars="200"/>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施工期：</w:t>
      </w:r>
    </w:p>
    <w:p>
      <w:pPr>
        <w:pStyle w:val="2"/>
        <w:numPr>
          <w:ilvl w:val="0"/>
          <w:numId w:val="5"/>
        </w:numPr>
        <w:ind w:firstLine="640" w:firstLineChars="200"/>
        <w:rPr>
          <w:rFonts w:hint="default" w:ascii="仿宋_GB2312" w:eastAsia="仿宋_GB2312" w:cs="Times New Roman"/>
          <w:sz w:val="32"/>
          <w:szCs w:val="32"/>
          <w:lang w:val="en-US" w:eastAsia="zh-CN"/>
        </w:rPr>
      </w:pPr>
      <w:r>
        <w:rPr>
          <w:rFonts w:hint="eastAsia" w:ascii="仿宋_GB2312" w:eastAsia="仿宋_GB2312" w:cs="Times New Roman"/>
          <w:sz w:val="32"/>
          <w:szCs w:val="32"/>
          <w:lang w:val="en-US" w:eastAsia="zh-CN"/>
        </w:rPr>
        <w:t>废气：</w:t>
      </w:r>
      <w:r>
        <w:rPr>
          <w:rFonts w:hint="default" w:ascii="仿宋_GB2312" w:eastAsia="仿宋_GB2312" w:cs="Times New Roman"/>
          <w:sz w:val="32"/>
          <w:szCs w:val="32"/>
          <w:lang w:val="en-US" w:eastAsia="zh-CN"/>
        </w:rPr>
        <w:t>在施工现场周边设置硬质封闭围挡或者围墙；出入口明显位置设置公示牌；对施工现场出入口、场内施工道路、材料加工堆放区、办公区、生活区进行硬化处理；在施工现场出口处设置车辆清洗设施并配套设置排水、泥浆沉淀设施；按照规定使用预拌混凝土、预拌砂浆等建筑材料；施工工地内堆放水泥、灰土、砂石、建筑土方等易产生扬尘的粉状、粒状建筑材料的，应当采取密闭或者遮盖等防尘措施，装卸、搬运时应当采取防尘措施；建筑垃圾应当及时清运，在场地内堆存的，应当集中堆放并采取密闭或者遮盖等防尘措施；在施工工地同步安装视频监控设备和扬尘污染物在线监测设备。</w:t>
      </w:r>
    </w:p>
    <w:p>
      <w:pPr>
        <w:pStyle w:val="2"/>
        <w:numPr>
          <w:ilvl w:val="0"/>
          <w:numId w:val="5"/>
        </w:numPr>
        <w:ind w:firstLine="640" w:firstLineChars="200"/>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废水：施工期生活污水直接泼洒抑尘；车辆冲洗水排入临时沉淀池内，经沉淀后用于工地泼洒抑尘，不外排；场地内设施临时防渗旱厕，定期清运处置。</w:t>
      </w:r>
    </w:p>
    <w:p>
      <w:pPr>
        <w:pStyle w:val="2"/>
        <w:numPr>
          <w:ilvl w:val="0"/>
          <w:numId w:val="5"/>
        </w:numPr>
        <w:ind w:firstLine="640" w:firstLineChars="200"/>
        <w:rPr>
          <w:rFonts w:hint="default" w:ascii="仿宋_GB2312" w:eastAsia="仿宋_GB2312" w:cs="Times New Roman"/>
          <w:sz w:val="32"/>
          <w:szCs w:val="32"/>
          <w:lang w:val="en-US" w:eastAsia="zh-CN"/>
        </w:rPr>
      </w:pPr>
      <w:r>
        <w:rPr>
          <w:rFonts w:hint="eastAsia" w:ascii="仿宋_GB2312" w:eastAsia="仿宋_GB2312" w:cs="Times New Roman"/>
          <w:sz w:val="32"/>
          <w:szCs w:val="32"/>
          <w:lang w:val="en-US" w:eastAsia="zh-CN"/>
        </w:rPr>
        <w:t>噪声：</w:t>
      </w:r>
      <w:r>
        <w:rPr>
          <w:rFonts w:hint="default" w:ascii="仿宋_GB2312" w:eastAsia="仿宋_GB2312" w:cs="Times New Roman"/>
          <w:sz w:val="32"/>
          <w:szCs w:val="32"/>
          <w:lang w:val="en-US" w:eastAsia="zh-CN"/>
        </w:rPr>
        <w:t>施工单位必须按国家关于建筑施工场界噪声的要求进行施工；施工期间采用低噪声设备，购买商用混凝土；项目需在施工工地周围设立临时的声障装置；选用低噪声型施工机械，对设备进行定期保养和维护；对高噪声设备采用减振部件、消声器和隔声罩等方法降噪。</w:t>
      </w:r>
    </w:p>
    <w:p>
      <w:pPr>
        <w:pStyle w:val="2"/>
        <w:numPr>
          <w:ilvl w:val="0"/>
          <w:numId w:val="5"/>
        </w:numPr>
        <w:ind w:firstLine="640" w:firstLineChars="200"/>
        <w:rPr>
          <w:rFonts w:hint="default" w:ascii="仿宋_GB2312" w:eastAsia="仿宋_GB2312" w:cs="Times New Roman"/>
          <w:sz w:val="32"/>
          <w:szCs w:val="32"/>
          <w:lang w:val="en-US" w:eastAsia="zh-CN"/>
        </w:rPr>
      </w:pPr>
      <w:r>
        <w:rPr>
          <w:rFonts w:hint="default" w:ascii="仿宋_GB2312" w:eastAsia="仿宋_GB2312" w:cs="Times New Roman"/>
          <w:sz w:val="32"/>
          <w:szCs w:val="32"/>
          <w:lang w:val="en-US" w:eastAsia="zh-CN"/>
        </w:rPr>
        <w:t>固废</w:t>
      </w:r>
      <w:r>
        <w:rPr>
          <w:rFonts w:hint="eastAsia" w:ascii="仿宋_GB2312" w:eastAsia="仿宋_GB2312" w:cs="Times New Roman"/>
          <w:sz w:val="32"/>
          <w:szCs w:val="32"/>
          <w:lang w:val="en-US" w:eastAsia="zh-CN"/>
        </w:rPr>
        <w:t>：</w:t>
      </w:r>
      <w:r>
        <w:rPr>
          <w:rFonts w:hint="default" w:ascii="仿宋_GB2312" w:eastAsia="仿宋_GB2312" w:cs="Times New Roman"/>
          <w:sz w:val="32"/>
          <w:szCs w:val="32"/>
          <w:lang w:val="en-US" w:eastAsia="zh-CN"/>
        </w:rPr>
        <w:t>废石子、废水泥、石材下脚料等，由施工方负责送到建筑垃圾填埋场填埋处置；生活垃圾分类收集后，交由当地环卫部门处理。</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outlineLvl w:val="9"/>
        <w:rPr>
          <w:rFonts w:hint="default"/>
          <w:lang w:val="en-US" w:eastAsia="zh-CN"/>
        </w:rPr>
      </w:pPr>
      <w:r>
        <w:rPr>
          <w:rFonts w:hint="eastAsia" w:ascii="仿宋_GB2312" w:eastAsia="仿宋_GB2312"/>
          <w:sz w:val="32"/>
          <w:szCs w:val="32"/>
          <w:lang w:eastAsia="zh-CN"/>
        </w:rPr>
        <w:t>5、生态环境：</w:t>
      </w:r>
      <w:r>
        <w:rPr>
          <w:rFonts w:hint="eastAsia" w:ascii="仿宋_GB2312" w:eastAsia="仿宋_GB2312"/>
          <w:sz w:val="32"/>
          <w:szCs w:val="32"/>
          <w:lang w:val="en-US" w:eastAsia="zh-CN"/>
        </w:rPr>
        <w:t>开挖用土以及临时堆放的土方要及时压实，并选取最佳的堆放坡度，以免遇雨流失，临时渣土堆设挡土墙；尽量利用现有道路，减少临时占地；施工现场场地及道路应硬化。雨季施工要随时关注气象变化，在大雨到来前做好相应水保应急工作，如压实新产生的裸露地表松土。此外，在不影响工作效率的前提下，优化工作计划，雨季应尽量缩小土方工程的工作面，避免同时产生较多裸露地表；项目主体工程竣工后，要及时种植草皮、树木，恢复地表植被覆盖率。</w:t>
      </w:r>
    </w:p>
    <w:p>
      <w:pPr>
        <w:pStyle w:val="2"/>
        <w:numPr>
          <w:ilvl w:val="0"/>
          <w:numId w:val="0"/>
        </w:numPr>
        <w:ind w:firstLine="640" w:firstLineChars="200"/>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运营期：</w:t>
      </w:r>
    </w:p>
    <w:p>
      <w:pPr>
        <w:pStyle w:val="2"/>
        <w:ind w:left="0" w:leftChars="0" w:firstLine="640" w:firstLineChars="200"/>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1、废气：食堂油烟和非甲烷总烃收集后经油烟净化处理设施净化处理后，通过1根20m高排气筒（DA001）排放。中水处理站恶臭气体通过密闭收集，经活性炭吸附装置处理，通过1根15m高排气筒（DA003）</w:t>
      </w:r>
      <w:bookmarkStart w:id="1" w:name="OLE_LINK1"/>
      <w:r>
        <w:rPr>
          <w:rFonts w:hint="eastAsia" w:ascii="仿宋_GB2312" w:eastAsia="仿宋_GB2312" w:cs="Times New Roman"/>
          <w:sz w:val="32"/>
          <w:szCs w:val="32"/>
          <w:lang w:val="en-US" w:eastAsia="zh-CN"/>
        </w:rPr>
        <w:t>排放</w:t>
      </w:r>
      <w:bookmarkEnd w:id="1"/>
      <w:r>
        <w:rPr>
          <w:rFonts w:hint="eastAsia" w:ascii="仿宋_GB2312" w:eastAsia="仿宋_GB2312" w:cs="Times New Roman"/>
          <w:sz w:val="32"/>
          <w:szCs w:val="32"/>
          <w:lang w:val="en-US" w:eastAsia="zh-CN"/>
        </w:rPr>
        <w:t>。实验过程产生的废气经通风橱负压收集，经“碱喷淋塔+除湿装置+二级活性炭吸附装置”处理，通过1根28m高排气筒（DA002）排放。</w:t>
      </w:r>
    </w:p>
    <w:p>
      <w:pPr>
        <w:pStyle w:val="3"/>
        <w:numPr>
          <w:ilvl w:val="0"/>
          <w:numId w:val="0"/>
        </w:numPr>
        <w:ind w:firstLine="640" w:firstLineChars="200"/>
        <w:jc w:val="both"/>
        <w:rPr>
          <w:rFonts w:hint="eastAsia" w:ascii="仿宋_GB2312" w:hAnsi="Times New Roman" w:eastAsia="仿宋_GB2312" w:cs="Times New Roman"/>
          <w:sz w:val="32"/>
          <w:szCs w:val="32"/>
          <w:lang w:val="en-US" w:eastAsia="zh-CN"/>
        </w:rPr>
      </w:pPr>
      <w:r>
        <w:rPr>
          <w:rFonts w:hint="eastAsia" w:ascii="仿宋_GB2312" w:eastAsia="仿宋_GB2312" w:cs="Times New Roman"/>
          <w:sz w:val="32"/>
          <w:szCs w:val="32"/>
          <w:lang w:val="en-US" w:eastAsia="zh-CN"/>
        </w:rPr>
        <w:t>2、废水：学生和教职工食堂废水先经过隔油池预处理，实验室后期清洗废水先经过高温高压灭活（仅生物实验室废水）+酸碱中和+混凝沉淀预处理，然后和学生和教职工除食堂废水外的生活废水、体育场废水共同经化粪池处理，化粪池处理后的废水部分经中水站处理后（设计处理规模：50m</w:t>
      </w:r>
      <w:r>
        <w:rPr>
          <w:rFonts w:hint="eastAsia" w:ascii="仿宋_GB2312" w:eastAsia="仿宋_GB2312" w:cs="Times New Roman"/>
          <w:sz w:val="32"/>
          <w:szCs w:val="32"/>
          <w:vertAlign w:val="superscript"/>
          <w:lang w:val="en-US" w:eastAsia="zh-CN"/>
        </w:rPr>
        <w:t>3</w:t>
      </w:r>
      <w:r>
        <w:rPr>
          <w:rFonts w:hint="eastAsia" w:ascii="仿宋_GB2312" w:eastAsia="仿宋_GB2312" w:cs="Times New Roman"/>
          <w:sz w:val="32"/>
          <w:szCs w:val="32"/>
          <w:lang w:val="en-US" w:eastAsia="zh-CN"/>
        </w:rPr>
        <w:t>/d，采用“细格栅+厌氧池+MBR反应池+二沉池+中间水池+过滤+消毒”工艺）回用于绿化、道路冲洗和地下车库冲洗，其余废水直接经污水管网进入石家庄高新技术产业开发区污水处理厂。</w:t>
      </w:r>
    </w:p>
    <w:p>
      <w:pPr>
        <w:pStyle w:val="3"/>
        <w:numPr>
          <w:ilvl w:val="0"/>
          <w:numId w:val="0"/>
        </w:numPr>
        <w:ind w:firstLine="640" w:firstLineChars="200"/>
        <w:jc w:val="both"/>
        <w:rPr>
          <w:rFonts w:hint="eastAsia" w:ascii="仿宋_GB2312" w:hAnsi="Times New Roman" w:eastAsia="仿宋_GB2312" w:cs="Times New Roman"/>
          <w:sz w:val="32"/>
          <w:szCs w:val="32"/>
        </w:rPr>
      </w:pPr>
      <w:r>
        <w:rPr>
          <w:rFonts w:hint="eastAsia" w:ascii="仿宋_GB2312" w:eastAsia="仿宋_GB2312" w:cs="Times New Roman"/>
          <w:sz w:val="32"/>
          <w:szCs w:val="32"/>
          <w:lang w:val="en-US" w:eastAsia="zh-CN"/>
        </w:rPr>
        <w:t>3、</w:t>
      </w:r>
      <w:r>
        <w:rPr>
          <w:rFonts w:hint="eastAsia" w:ascii="仿宋_GB2312" w:eastAsia="仿宋_GB2312" w:cs="Times New Roman"/>
          <w:sz w:val="32"/>
          <w:szCs w:val="32"/>
          <w:lang w:eastAsia="zh-CN"/>
        </w:rPr>
        <w:t>噪声：项目噪声源主要为各类设备噪声、师生活动噪声、机动车噪声等，主要采取选用低噪声设备、安装基础减振、设置隔声罩等措施</w:t>
      </w:r>
      <w:r>
        <w:rPr>
          <w:rFonts w:hint="eastAsia" w:ascii="仿宋_GB2312" w:hAnsi="Times New Roman" w:eastAsia="仿宋_GB2312" w:cs="Times New Roman"/>
          <w:sz w:val="32"/>
          <w:szCs w:val="32"/>
        </w:rPr>
        <w:t>。</w:t>
      </w:r>
    </w:p>
    <w:p>
      <w:pPr>
        <w:ind w:firstLine="640" w:firstLineChars="200"/>
        <w:rPr>
          <w:rFonts w:hint="default" w:ascii="仿宋_GB2312" w:hAnsi="Times New Roman" w:eastAsia="仿宋_GB2312" w:cs="Times New Roman"/>
          <w:sz w:val="32"/>
          <w:szCs w:val="32"/>
          <w:lang w:val="en-US" w:eastAsia="zh-CN"/>
        </w:rPr>
      </w:pPr>
      <w:r>
        <w:rPr>
          <w:rFonts w:hint="eastAsia" w:ascii="仿宋_GB2312" w:eastAsia="仿宋_GB2312" w:cs="Times New Roman"/>
          <w:sz w:val="32"/>
          <w:szCs w:val="32"/>
          <w:lang w:val="en-US" w:eastAsia="zh-CN"/>
        </w:rPr>
        <w:t>4、固废：学校日常生活垃圾和办公垃圾，交由市政环卫人员统一运往环卫部门指定地点作集中处理。食堂产生的餐厨垃圾和隔油池、油烟净化器废油统一收集后单独存放，由专门收运人员收运。中水处理站污泥脱水后定期委托市政环卫部门清运处理。中水处理站活性炭厂家回收利用。废试剂、废试剂瓶、废药品、实验室中和、混凝沉淀产生的污泥、前期清洗废液、废培养基、废活性炭、废电池、废灯管暂存于危废间，统一收集后由有资质单位进行处理。医疗废物暂存医疗废物暂存间，统一收集后由有资质单位进行处理。</w:t>
      </w:r>
      <w:bookmarkStart w:id="2" w:name="_GoBack"/>
      <w:bookmarkEnd w:id="2"/>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2"/>
    <w:family w:val="auto"/>
    <w:pitch w:val="default"/>
    <w:sig w:usb0="E0002AFF" w:usb1="C0007841" w:usb2="00000009" w:usb3="00000000" w:csb0="400001FF" w:csb1="FFFF0000"/>
  </w:font>
  <w:font w:name="宋体">
    <w:panose1 w:val="02010600030101010101"/>
    <w:charset w:val="22"/>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仿宋_GB2312">
    <w:altName w:val="仿宋"/>
    <w:panose1 w:val="00000000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B5F64DE"/>
    <w:multiLevelType w:val="singleLevel"/>
    <w:tmpl w:val="DB5F64DE"/>
    <w:lvl w:ilvl="0" w:tentative="0">
      <w:start w:val="1"/>
      <w:numFmt w:val="decimal"/>
      <w:suff w:val="nothing"/>
      <w:lvlText w:val="%1、"/>
      <w:lvlJc w:val="left"/>
    </w:lvl>
  </w:abstractNum>
  <w:abstractNum w:abstractNumId="1">
    <w:nsid w:val="E0A0A73B"/>
    <w:multiLevelType w:val="singleLevel"/>
    <w:tmpl w:val="E0A0A73B"/>
    <w:lvl w:ilvl="0" w:tentative="0">
      <w:start w:val="2"/>
      <w:numFmt w:val="chineseCounting"/>
      <w:suff w:val="nothing"/>
      <w:lvlText w:val="%1、"/>
      <w:lvlJc w:val="left"/>
      <w:rPr>
        <w:rFonts w:hint="eastAsia"/>
      </w:rPr>
    </w:lvl>
  </w:abstractNum>
  <w:abstractNum w:abstractNumId="2">
    <w:nsid w:val="1FDCBE5E"/>
    <w:multiLevelType w:val="singleLevel"/>
    <w:tmpl w:val="1FDCBE5E"/>
    <w:lvl w:ilvl="0" w:tentative="0">
      <w:start w:val="1"/>
      <w:numFmt w:val="bullet"/>
      <w:pStyle w:val="15"/>
      <w:lvlText w:val=""/>
      <w:lvlJc w:val="left"/>
      <w:pPr>
        <w:tabs>
          <w:tab w:val="left" w:pos="2040"/>
        </w:tabs>
        <w:ind w:left="2040" w:hanging="360"/>
      </w:pPr>
      <w:rPr>
        <w:rFonts w:hint="default" w:ascii="Wingdings" w:hAnsi="Wingdings"/>
      </w:rPr>
    </w:lvl>
  </w:abstractNum>
  <w:abstractNum w:abstractNumId="3">
    <w:nsid w:val="234D01BB"/>
    <w:multiLevelType w:val="singleLevel"/>
    <w:tmpl w:val="234D01BB"/>
    <w:lvl w:ilvl="0" w:tentative="0">
      <w:start w:val="1"/>
      <w:numFmt w:val="chineseCounting"/>
      <w:suff w:val="nothing"/>
      <w:lvlText w:val="%1、"/>
      <w:lvlJc w:val="left"/>
      <w:pPr>
        <w:ind w:left="600" w:leftChars="0" w:firstLine="0" w:firstLineChars="0"/>
      </w:pPr>
      <w:rPr>
        <w:rFonts w:hint="eastAsia"/>
      </w:rPr>
    </w:lvl>
  </w:abstractNum>
  <w:abstractNum w:abstractNumId="4">
    <w:nsid w:val="785803F3"/>
    <w:multiLevelType w:val="singleLevel"/>
    <w:tmpl w:val="785803F3"/>
    <w:lvl w:ilvl="0" w:tentative="0">
      <w:start w:val="1"/>
      <w:numFmt w:val="decimal"/>
      <w:suff w:val="nothing"/>
      <w:lvlText w:val="%1、"/>
      <w:lvlJc w:val="left"/>
    </w:lvl>
  </w:abstractNum>
  <w:num w:numId="1">
    <w:abstractNumId w:val="2"/>
  </w:num>
  <w:num w:numId="2">
    <w:abstractNumId w:val="3"/>
  </w:num>
  <w:num w:numId="3">
    <w:abstractNumId w:val="1"/>
  </w:num>
  <w:num w:numId="4">
    <w:abstractNumId w:val="0"/>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MyMDIwMGFjZGYxZjFmZjlkMGU5NTUyOWQ5OTNiNjAifQ=="/>
  </w:docVars>
  <w:rsids>
    <w:rsidRoot w:val="00172A27"/>
    <w:rsid w:val="00022F87"/>
    <w:rsid w:val="000931F6"/>
    <w:rsid w:val="000A7F71"/>
    <w:rsid w:val="000C66A9"/>
    <w:rsid w:val="00121ECC"/>
    <w:rsid w:val="00135D1B"/>
    <w:rsid w:val="00172A27"/>
    <w:rsid w:val="00192517"/>
    <w:rsid w:val="002057AF"/>
    <w:rsid w:val="0024546D"/>
    <w:rsid w:val="00265BBC"/>
    <w:rsid w:val="00314FFB"/>
    <w:rsid w:val="0032486C"/>
    <w:rsid w:val="00330762"/>
    <w:rsid w:val="00373A34"/>
    <w:rsid w:val="003A3A2B"/>
    <w:rsid w:val="003C333B"/>
    <w:rsid w:val="003E184D"/>
    <w:rsid w:val="00412DF5"/>
    <w:rsid w:val="00451DF1"/>
    <w:rsid w:val="004C45A7"/>
    <w:rsid w:val="00515623"/>
    <w:rsid w:val="00520A5F"/>
    <w:rsid w:val="00534C0C"/>
    <w:rsid w:val="00552068"/>
    <w:rsid w:val="005571C5"/>
    <w:rsid w:val="00574D42"/>
    <w:rsid w:val="005E5A2D"/>
    <w:rsid w:val="00632DDB"/>
    <w:rsid w:val="00682CAE"/>
    <w:rsid w:val="00692780"/>
    <w:rsid w:val="00693F9C"/>
    <w:rsid w:val="00786480"/>
    <w:rsid w:val="00796569"/>
    <w:rsid w:val="007D2AA5"/>
    <w:rsid w:val="00826B35"/>
    <w:rsid w:val="00891627"/>
    <w:rsid w:val="008A00AC"/>
    <w:rsid w:val="008E5BA2"/>
    <w:rsid w:val="00934D6D"/>
    <w:rsid w:val="009F21C2"/>
    <w:rsid w:val="00A64338"/>
    <w:rsid w:val="00A86832"/>
    <w:rsid w:val="00B02E3E"/>
    <w:rsid w:val="00B204F6"/>
    <w:rsid w:val="00B667DF"/>
    <w:rsid w:val="00B85634"/>
    <w:rsid w:val="00BF6314"/>
    <w:rsid w:val="00C1045D"/>
    <w:rsid w:val="00C41F0C"/>
    <w:rsid w:val="00C44C48"/>
    <w:rsid w:val="00C84190"/>
    <w:rsid w:val="00DA46EE"/>
    <w:rsid w:val="00DE43AF"/>
    <w:rsid w:val="00F50C95"/>
    <w:rsid w:val="00F71797"/>
    <w:rsid w:val="016E0524"/>
    <w:rsid w:val="01813B4E"/>
    <w:rsid w:val="01D87778"/>
    <w:rsid w:val="0214411F"/>
    <w:rsid w:val="027F2F56"/>
    <w:rsid w:val="02B44EE1"/>
    <w:rsid w:val="02FB31F7"/>
    <w:rsid w:val="033162F5"/>
    <w:rsid w:val="03864AD5"/>
    <w:rsid w:val="03AF01E2"/>
    <w:rsid w:val="042B0D7C"/>
    <w:rsid w:val="045C0B52"/>
    <w:rsid w:val="04F25A54"/>
    <w:rsid w:val="065B0CC2"/>
    <w:rsid w:val="06642AF7"/>
    <w:rsid w:val="06C57F44"/>
    <w:rsid w:val="06F445C4"/>
    <w:rsid w:val="07500070"/>
    <w:rsid w:val="07CD7683"/>
    <w:rsid w:val="07DE5786"/>
    <w:rsid w:val="083C1E43"/>
    <w:rsid w:val="08613B83"/>
    <w:rsid w:val="08E1753D"/>
    <w:rsid w:val="092203F6"/>
    <w:rsid w:val="094628A0"/>
    <w:rsid w:val="09933609"/>
    <w:rsid w:val="0A4A78FD"/>
    <w:rsid w:val="0A5751B1"/>
    <w:rsid w:val="0ABA1F25"/>
    <w:rsid w:val="0B1D5B16"/>
    <w:rsid w:val="0B225FB8"/>
    <w:rsid w:val="0B8D33CA"/>
    <w:rsid w:val="0B940862"/>
    <w:rsid w:val="0B9F654A"/>
    <w:rsid w:val="0C830F61"/>
    <w:rsid w:val="0CD10461"/>
    <w:rsid w:val="0D637787"/>
    <w:rsid w:val="0D6C7246"/>
    <w:rsid w:val="0DE35523"/>
    <w:rsid w:val="0DE57389"/>
    <w:rsid w:val="0DFD3706"/>
    <w:rsid w:val="0E8518F4"/>
    <w:rsid w:val="0EB42BDC"/>
    <w:rsid w:val="0EC052EE"/>
    <w:rsid w:val="0F123727"/>
    <w:rsid w:val="0F252619"/>
    <w:rsid w:val="0FCF5951"/>
    <w:rsid w:val="0FDE0733"/>
    <w:rsid w:val="0FF267BE"/>
    <w:rsid w:val="10244941"/>
    <w:rsid w:val="107E06F7"/>
    <w:rsid w:val="115B40DB"/>
    <w:rsid w:val="11692C11"/>
    <w:rsid w:val="126807D9"/>
    <w:rsid w:val="12683A21"/>
    <w:rsid w:val="130B50C0"/>
    <w:rsid w:val="134A4E93"/>
    <w:rsid w:val="137C36B1"/>
    <w:rsid w:val="140F4C4C"/>
    <w:rsid w:val="149B0605"/>
    <w:rsid w:val="14D01E46"/>
    <w:rsid w:val="152024E4"/>
    <w:rsid w:val="15F625C0"/>
    <w:rsid w:val="16391017"/>
    <w:rsid w:val="16627CFC"/>
    <w:rsid w:val="167A0961"/>
    <w:rsid w:val="16A36D39"/>
    <w:rsid w:val="1708590D"/>
    <w:rsid w:val="17533466"/>
    <w:rsid w:val="17555EC7"/>
    <w:rsid w:val="17E97730"/>
    <w:rsid w:val="18380BCB"/>
    <w:rsid w:val="18AA59E6"/>
    <w:rsid w:val="18E06634"/>
    <w:rsid w:val="199003FF"/>
    <w:rsid w:val="19DE2414"/>
    <w:rsid w:val="19FE4C5D"/>
    <w:rsid w:val="1A1C3900"/>
    <w:rsid w:val="1A7B6249"/>
    <w:rsid w:val="1AE97FE8"/>
    <w:rsid w:val="1B0B1DB0"/>
    <w:rsid w:val="1B141A9A"/>
    <w:rsid w:val="1B783E2D"/>
    <w:rsid w:val="1C0A6048"/>
    <w:rsid w:val="1C61720D"/>
    <w:rsid w:val="1CCD2A83"/>
    <w:rsid w:val="1D1E0C70"/>
    <w:rsid w:val="1DE358D0"/>
    <w:rsid w:val="1E1A7F95"/>
    <w:rsid w:val="1E476780"/>
    <w:rsid w:val="1E953955"/>
    <w:rsid w:val="1FCC65BC"/>
    <w:rsid w:val="20BD49FC"/>
    <w:rsid w:val="20BE542E"/>
    <w:rsid w:val="215723F8"/>
    <w:rsid w:val="216F396E"/>
    <w:rsid w:val="21941B21"/>
    <w:rsid w:val="21A158BC"/>
    <w:rsid w:val="230C27FF"/>
    <w:rsid w:val="234277DD"/>
    <w:rsid w:val="23C47AFD"/>
    <w:rsid w:val="23F14F78"/>
    <w:rsid w:val="24043BE2"/>
    <w:rsid w:val="241F298B"/>
    <w:rsid w:val="24684470"/>
    <w:rsid w:val="2491525D"/>
    <w:rsid w:val="250E3258"/>
    <w:rsid w:val="252D0733"/>
    <w:rsid w:val="25A931E1"/>
    <w:rsid w:val="25BB6910"/>
    <w:rsid w:val="25F478D0"/>
    <w:rsid w:val="2611159E"/>
    <w:rsid w:val="26873886"/>
    <w:rsid w:val="26A41BD3"/>
    <w:rsid w:val="26A65CDD"/>
    <w:rsid w:val="26AF6DDF"/>
    <w:rsid w:val="26C73B47"/>
    <w:rsid w:val="26F121F0"/>
    <w:rsid w:val="274A407C"/>
    <w:rsid w:val="2888114B"/>
    <w:rsid w:val="289E31CB"/>
    <w:rsid w:val="28FE1D69"/>
    <w:rsid w:val="29CE3FD6"/>
    <w:rsid w:val="2A684DB2"/>
    <w:rsid w:val="2A9627F5"/>
    <w:rsid w:val="2B5D06C2"/>
    <w:rsid w:val="2CDA6F21"/>
    <w:rsid w:val="2CE463C7"/>
    <w:rsid w:val="2D7A041F"/>
    <w:rsid w:val="2DC73151"/>
    <w:rsid w:val="2E1435AD"/>
    <w:rsid w:val="2E241C91"/>
    <w:rsid w:val="2FDF3DF3"/>
    <w:rsid w:val="2FFD69CA"/>
    <w:rsid w:val="30407A02"/>
    <w:rsid w:val="30856D2E"/>
    <w:rsid w:val="30875B00"/>
    <w:rsid w:val="30B532A3"/>
    <w:rsid w:val="30B56301"/>
    <w:rsid w:val="30F66CDA"/>
    <w:rsid w:val="316B552D"/>
    <w:rsid w:val="32070475"/>
    <w:rsid w:val="321D37AA"/>
    <w:rsid w:val="324902C9"/>
    <w:rsid w:val="325D4B69"/>
    <w:rsid w:val="334C21B9"/>
    <w:rsid w:val="338D0333"/>
    <w:rsid w:val="33D3437C"/>
    <w:rsid w:val="35984167"/>
    <w:rsid w:val="35A912D8"/>
    <w:rsid w:val="35E02C48"/>
    <w:rsid w:val="37695FB2"/>
    <w:rsid w:val="37935240"/>
    <w:rsid w:val="379B59B0"/>
    <w:rsid w:val="37D73EB9"/>
    <w:rsid w:val="380E4716"/>
    <w:rsid w:val="38C77EC3"/>
    <w:rsid w:val="398B17E8"/>
    <w:rsid w:val="3ACB4899"/>
    <w:rsid w:val="3AD82751"/>
    <w:rsid w:val="3BFD7FDB"/>
    <w:rsid w:val="3C320447"/>
    <w:rsid w:val="3C4648D7"/>
    <w:rsid w:val="3CAE05D4"/>
    <w:rsid w:val="3D771E7C"/>
    <w:rsid w:val="3DB64F42"/>
    <w:rsid w:val="3E171CC6"/>
    <w:rsid w:val="3EFC7BDA"/>
    <w:rsid w:val="3F272E49"/>
    <w:rsid w:val="3F3E5531"/>
    <w:rsid w:val="3F9A42C5"/>
    <w:rsid w:val="3FDC2B18"/>
    <w:rsid w:val="402850DA"/>
    <w:rsid w:val="408F7318"/>
    <w:rsid w:val="41463646"/>
    <w:rsid w:val="414B4622"/>
    <w:rsid w:val="41AD4111"/>
    <w:rsid w:val="41B86DE1"/>
    <w:rsid w:val="41DF194E"/>
    <w:rsid w:val="41ED4B35"/>
    <w:rsid w:val="422A2602"/>
    <w:rsid w:val="42FA2FFE"/>
    <w:rsid w:val="430A53DF"/>
    <w:rsid w:val="458E64AD"/>
    <w:rsid w:val="45B357DB"/>
    <w:rsid w:val="45C4203E"/>
    <w:rsid w:val="462A632B"/>
    <w:rsid w:val="46366DB9"/>
    <w:rsid w:val="46CC7E93"/>
    <w:rsid w:val="4700217B"/>
    <w:rsid w:val="47080041"/>
    <w:rsid w:val="471624BA"/>
    <w:rsid w:val="473F5530"/>
    <w:rsid w:val="477140C4"/>
    <w:rsid w:val="493A24D0"/>
    <w:rsid w:val="4A7047E4"/>
    <w:rsid w:val="4CC65390"/>
    <w:rsid w:val="4D6A3B5F"/>
    <w:rsid w:val="4D950F26"/>
    <w:rsid w:val="4DB10454"/>
    <w:rsid w:val="4E6815C1"/>
    <w:rsid w:val="4EB80667"/>
    <w:rsid w:val="4EC47B2D"/>
    <w:rsid w:val="4F2F0721"/>
    <w:rsid w:val="4F4B2615"/>
    <w:rsid w:val="4F915E71"/>
    <w:rsid w:val="503001B4"/>
    <w:rsid w:val="509A2E5F"/>
    <w:rsid w:val="50FA16AF"/>
    <w:rsid w:val="514E08E2"/>
    <w:rsid w:val="51D058C8"/>
    <w:rsid w:val="52026A0D"/>
    <w:rsid w:val="52187BF1"/>
    <w:rsid w:val="5228363E"/>
    <w:rsid w:val="523A42F7"/>
    <w:rsid w:val="526C0CE6"/>
    <w:rsid w:val="52C91A68"/>
    <w:rsid w:val="53036CC3"/>
    <w:rsid w:val="53217704"/>
    <w:rsid w:val="53423403"/>
    <w:rsid w:val="540E5323"/>
    <w:rsid w:val="54286CFC"/>
    <w:rsid w:val="54906BFB"/>
    <w:rsid w:val="5498526F"/>
    <w:rsid w:val="54F956CF"/>
    <w:rsid w:val="55504A16"/>
    <w:rsid w:val="55544C4E"/>
    <w:rsid w:val="55D16179"/>
    <w:rsid w:val="561A117D"/>
    <w:rsid w:val="56772383"/>
    <w:rsid w:val="56905938"/>
    <w:rsid w:val="5714472D"/>
    <w:rsid w:val="574A4152"/>
    <w:rsid w:val="578F67C8"/>
    <w:rsid w:val="57D815DE"/>
    <w:rsid w:val="58823EF8"/>
    <w:rsid w:val="595607D1"/>
    <w:rsid w:val="59956767"/>
    <w:rsid w:val="5A001279"/>
    <w:rsid w:val="5A5E3277"/>
    <w:rsid w:val="5B6A5AE9"/>
    <w:rsid w:val="5BA06707"/>
    <w:rsid w:val="5BE63DF2"/>
    <w:rsid w:val="5C2120EE"/>
    <w:rsid w:val="5C4A4928"/>
    <w:rsid w:val="5C6B3190"/>
    <w:rsid w:val="5CAD15F8"/>
    <w:rsid w:val="5CBC763A"/>
    <w:rsid w:val="5D716BFF"/>
    <w:rsid w:val="5D733D8D"/>
    <w:rsid w:val="5DDC260A"/>
    <w:rsid w:val="5EBB3562"/>
    <w:rsid w:val="5F647FA3"/>
    <w:rsid w:val="5FFC1E36"/>
    <w:rsid w:val="60155622"/>
    <w:rsid w:val="62323836"/>
    <w:rsid w:val="625C68EC"/>
    <w:rsid w:val="633F4A17"/>
    <w:rsid w:val="63407341"/>
    <w:rsid w:val="637C0EFD"/>
    <w:rsid w:val="64330C07"/>
    <w:rsid w:val="64591D19"/>
    <w:rsid w:val="64D60A4F"/>
    <w:rsid w:val="65827969"/>
    <w:rsid w:val="65CA1AD1"/>
    <w:rsid w:val="66392961"/>
    <w:rsid w:val="66DE0D17"/>
    <w:rsid w:val="671C7AD0"/>
    <w:rsid w:val="67817FB0"/>
    <w:rsid w:val="67DD3134"/>
    <w:rsid w:val="6810223E"/>
    <w:rsid w:val="685E2658"/>
    <w:rsid w:val="68C24C98"/>
    <w:rsid w:val="695A7B64"/>
    <w:rsid w:val="69891DC2"/>
    <w:rsid w:val="69F30B3D"/>
    <w:rsid w:val="6A944FF8"/>
    <w:rsid w:val="6AC86CED"/>
    <w:rsid w:val="6B896422"/>
    <w:rsid w:val="6BA06997"/>
    <w:rsid w:val="6C041EB5"/>
    <w:rsid w:val="6C5C1FAD"/>
    <w:rsid w:val="6CB92B50"/>
    <w:rsid w:val="6CC026BD"/>
    <w:rsid w:val="6D430BC4"/>
    <w:rsid w:val="6D46145F"/>
    <w:rsid w:val="6DB862DE"/>
    <w:rsid w:val="6DD2439B"/>
    <w:rsid w:val="6E1F4BFC"/>
    <w:rsid w:val="6E3B0FB7"/>
    <w:rsid w:val="6E6C2864"/>
    <w:rsid w:val="6EAD142D"/>
    <w:rsid w:val="6EE22D4E"/>
    <w:rsid w:val="6F1D1AF9"/>
    <w:rsid w:val="6F6C7A2E"/>
    <w:rsid w:val="70A83C51"/>
    <w:rsid w:val="714123C2"/>
    <w:rsid w:val="717D44A9"/>
    <w:rsid w:val="71E340F8"/>
    <w:rsid w:val="71F53485"/>
    <w:rsid w:val="726D7F49"/>
    <w:rsid w:val="742C1224"/>
    <w:rsid w:val="742C150F"/>
    <w:rsid w:val="74992FC0"/>
    <w:rsid w:val="755E741F"/>
    <w:rsid w:val="75A70181"/>
    <w:rsid w:val="762052F3"/>
    <w:rsid w:val="765F27E9"/>
    <w:rsid w:val="76992D4A"/>
    <w:rsid w:val="76CE7F17"/>
    <w:rsid w:val="76E134A8"/>
    <w:rsid w:val="76FC7C04"/>
    <w:rsid w:val="776564EF"/>
    <w:rsid w:val="7770685D"/>
    <w:rsid w:val="777E5A14"/>
    <w:rsid w:val="77CD29D9"/>
    <w:rsid w:val="78297AB5"/>
    <w:rsid w:val="787C29C5"/>
    <w:rsid w:val="78B43059"/>
    <w:rsid w:val="79105564"/>
    <w:rsid w:val="79D423A6"/>
    <w:rsid w:val="7A77520D"/>
    <w:rsid w:val="7A9418FB"/>
    <w:rsid w:val="7A9A6350"/>
    <w:rsid w:val="7ABE23D6"/>
    <w:rsid w:val="7ABF1C82"/>
    <w:rsid w:val="7AEE0661"/>
    <w:rsid w:val="7B053770"/>
    <w:rsid w:val="7B5467AB"/>
    <w:rsid w:val="7B7C6467"/>
    <w:rsid w:val="7B8A15B0"/>
    <w:rsid w:val="7CDD44D5"/>
    <w:rsid w:val="7CED5108"/>
    <w:rsid w:val="7D4D0564"/>
    <w:rsid w:val="7DE04BD6"/>
    <w:rsid w:val="7E045438"/>
    <w:rsid w:val="7F681AF7"/>
    <w:rsid w:val="7FFF09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0" w:name="index 1"/>
    <w:lsdException w:unhideWhenUsed="0" w:uiPriority="0" w:semiHidden="0" w:name="index 2"/>
    <w:lsdException w:unhideWhenUsed="0" w:uiPriority="0" w:semiHidden="0" w:name="index 3"/>
    <w:lsdException w:unhideWhenUsed="0" w:uiPriority="0" w:semiHidden="0" w:name="index 4"/>
    <w:lsdException w:qFormat="1"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name="annotation text"/>
    <w:lsdException w:qFormat="1" w:unhideWhenUsed="0" w:uiPriority="0" w:semiHidden="0" w:name="header"/>
    <w:lsdException w:qFormat="1" w:unhideWhenUsed="0" w:uiPriority="0" w:semiHidden="0" w:name="footer"/>
    <w:lsdException w:qFormat="1" w:unhideWhenUsed="0" w:uiPriority="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qFormat="1"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4">
    <w:name w:val="heading 1"/>
    <w:basedOn w:val="1"/>
    <w:next w:val="1"/>
    <w:qFormat/>
    <w:uiPriority w:val="0"/>
    <w:pPr>
      <w:keepNext/>
      <w:pageBreakBefore/>
      <w:spacing w:line="480" w:lineRule="exact"/>
      <w:outlineLvl w:val="0"/>
    </w:pPr>
    <w:rPr>
      <w:b/>
      <w:spacing w:val="4"/>
      <w:kern w:val="28"/>
      <w:sz w:val="30"/>
    </w:rPr>
  </w:style>
  <w:style w:type="paragraph" w:styleId="5">
    <w:name w:val="heading 4"/>
    <w:basedOn w:val="1"/>
    <w:next w:val="1"/>
    <w:qFormat/>
    <w:uiPriority w:val="0"/>
    <w:pPr>
      <w:keepNext/>
      <w:keepLines/>
      <w:spacing w:before="280" w:after="290" w:line="376" w:lineRule="auto"/>
      <w:outlineLvl w:val="3"/>
    </w:pPr>
    <w:rPr>
      <w:rFonts w:ascii="Cambria" w:hAnsi="Cambria"/>
      <w:b/>
      <w:bCs/>
      <w:sz w:val="28"/>
      <w:szCs w:val="28"/>
    </w:rPr>
  </w:style>
  <w:style w:type="character" w:default="1" w:styleId="25">
    <w:name w:val="Default Paragraph Font"/>
    <w:semiHidden/>
    <w:unhideWhenUsed/>
    <w:qFormat/>
    <w:uiPriority w:val="1"/>
  </w:style>
  <w:style w:type="table" w:default="1" w:styleId="23">
    <w:name w:val="Normal Table"/>
    <w:semiHidden/>
    <w:unhideWhenUsed/>
    <w:qFormat/>
    <w:uiPriority w:val="99"/>
    <w:tblPr>
      <w:tblCellMar>
        <w:top w:w="0" w:type="dxa"/>
        <w:left w:w="108" w:type="dxa"/>
        <w:bottom w:w="0" w:type="dxa"/>
        <w:right w:w="108" w:type="dxa"/>
      </w:tblCellMar>
    </w:tblPr>
  </w:style>
  <w:style w:type="paragraph" w:styleId="2">
    <w:name w:val="Normal Indent"/>
    <w:basedOn w:val="1"/>
    <w:next w:val="3"/>
    <w:qFormat/>
    <w:uiPriority w:val="0"/>
    <w:pPr>
      <w:ind w:firstLine="420"/>
    </w:pPr>
  </w:style>
  <w:style w:type="paragraph" w:styleId="3">
    <w:name w:val="Note Heading"/>
    <w:basedOn w:val="1"/>
    <w:next w:val="1"/>
    <w:qFormat/>
    <w:uiPriority w:val="0"/>
    <w:pPr>
      <w:jc w:val="center"/>
    </w:pPr>
    <w:rPr>
      <w:rFonts w:hint="eastAsia" w:ascii="宋体"/>
    </w:rPr>
  </w:style>
  <w:style w:type="paragraph" w:styleId="6">
    <w:name w:val="index 5"/>
    <w:basedOn w:val="1"/>
    <w:next w:val="1"/>
    <w:qFormat/>
    <w:uiPriority w:val="0"/>
    <w:pPr>
      <w:ind w:left="1680"/>
    </w:pPr>
  </w:style>
  <w:style w:type="paragraph" w:styleId="7">
    <w:name w:val="Document Map"/>
    <w:basedOn w:val="1"/>
    <w:qFormat/>
    <w:uiPriority w:val="0"/>
    <w:pPr>
      <w:shd w:val="clear" w:color="auto" w:fill="000080"/>
    </w:pPr>
  </w:style>
  <w:style w:type="paragraph" w:styleId="8">
    <w:name w:val="annotation text"/>
    <w:basedOn w:val="1"/>
    <w:semiHidden/>
    <w:qFormat/>
    <w:uiPriority w:val="0"/>
    <w:pPr>
      <w:jc w:val="left"/>
    </w:pPr>
    <w:rPr>
      <w:kern w:val="0"/>
      <w:sz w:val="24"/>
    </w:rPr>
  </w:style>
  <w:style w:type="paragraph" w:styleId="9">
    <w:name w:val="Body Text"/>
    <w:basedOn w:val="1"/>
    <w:next w:val="1"/>
    <w:qFormat/>
    <w:uiPriority w:val="0"/>
    <w:pPr>
      <w:spacing w:after="120"/>
    </w:pPr>
  </w:style>
  <w:style w:type="paragraph" w:styleId="10">
    <w:name w:val="Body Text Indent"/>
    <w:basedOn w:val="1"/>
    <w:next w:val="11"/>
    <w:qFormat/>
    <w:uiPriority w:val="0"/>
    <w:pPr>
      <w:spacing w:after="120"/>
      <w:ind w:left="420" w:leftChars="200"/>
    </w:pPr>
    <w:rPr>
      <w:kern w:val="0"/>
      <w:sz w:val="24"/>
    </w:rPr>
  </w:style>
  <w:style w:type="paragraph" w:styleId="11">
    <w:name w:val="header"/>
    <w:basedOn w:val="1"/>
    <w:next w:val="12"/>
    <w:link w:val="38"/>
    <w:qFormat/>
    <w:uiPriority w:val="0"/>
    <w:pPr>
      <w:pBdr>
        <w:bottom w:val="single" w:color="auto" w:sz="6" w:space="1"/>
      </w:pBdr>
      <w:tabs>
        <w:tab w:val="center" w:pos="4153"/>
        <w:tab w:val="right" w:pos="8306"/>
      </w:tabs>
      <w:snapToGrid w:val="0"/>
      <w:jc w:val="center"/>
    </w:pPr>
    <w:rPr>
      <w:sz w:val="18"/>
      <w:szCs w:val="18"/>
    </w:rPr>
  </w:style>
  <w:style w:type="paragraph" w:customStyle="1" w:styleId="12">
    <w:name w:val="样式5"/>
    <w:basedOn w:val="13"/>
    <w:qFormat/>
    <w:uiPriority w:val="0"/>
    <w:pPr>
      <w:keepNext/>
      <w:spacing w:line="240" w:lineRule="auto"/>
      <w:jc w:val="left"/>
      <w:outlineLvl w:val="0"/>
    </w:pPr>
    <w:rPr>
      <w:rFonts w:ascii="黑体" w:hAnsi="黑体"/>
      <w:spacing w:val="5"/>
      <w:sz w:val="25"/>
      <w:szCs w:val="25"/>
    </w:rPr>
  </w:style>
  <w:style w:type="paragraph" w:customStyle="1" w:styleId="13">
    <w:name w:val="正文1"/>
    <w:basedOn w:val="1"/>
    <w:next w:val="1"/>
    <w:qFormat/>
    <w:uiPriority w:val="99"/>
    <w:pPr>
      <w:adjustRightInd w:val="0"/>
      <w:snapToGrid w:val="0"/>
      <w:spacing w:line="480" w:lineRule="exact"/>
      <w:ind w:firstLine="200" w:firstLineChars="200"/>
    </w:pPr>
    <w:rPr>
      <w:sz w:val="24"/>
    </w:rPr>
  </w:style>
  <w:style w:type="paragraph" w:styleId="14">
    <w:name w:val="Block Text"/>
    <w:basedOn w:val="1"/>
    <w:next w:val="7"/>
    <w:qFormat/>
    <w:uiPriority w:val="0"/>
    <w:pPr>
      <w:ind w:left="113" w:right="113" w:firstLine="595"/>
      <w:jc w:val="left"/>
    </w:pPr>
    <w:rPr>
      <w:sz w:val="28"/>
    </w:rPr>
  </w:style>
  <w:style w:type="paragraph" w:styleId="15">
    <w:name w:val="List Bullet 5"/>
    <w:basedOn w:val="1"/>
    <w:qFormat/>
    <w:uiPriority w:val="0"/>
    <w:pPr>
      <w:numPr>
        <w:ilvl w:val="0"/>
        <w:numId w:val="1"/>
      </w:numPr>
    </w:pPr>
  </w:style>
  <w:style w:type="paragraph" w:styleId="16">
    <w:name w:val="footer"/>
    <w:basedOn w:val="1"/>
    <w:link w:val="37"/>
    <w:qFormat/>
    <w:uiPriority w:val="0"/>
    <w:pPr>
      <w:tabs>
        <w:tab w:val="center" w:pos="4153"/>
        <w:tab w:val="right" w:pos="8306"/>
      </w:tabs>
      <w:snapToGrid w:val="0"/>
      <w:jc w:val="left"/>
    </w:pPr>
    <w:rPr>
      <w:sz w:val="18"/>
      <w:szCs w:val="18"/>
    </w:rPr>
  </w:style>
  <w:style w:type="paragraph" w:styleId="17">
    <w:name w:val="index heading"/>
    <w:basedOn w:val="1"/>
    <w:next w:val="18"/>
    <w:semiHidden/>
    <w:qFormat/>
    <w:uiPriority w:val="0"/>
    <w:rPr>
      <w:rFonts w:ascii="Arial" w:hAnsi="Arial"/>
      <w:b/>
      <w:bCs/>
    </w:rPr>
  </w:style>
  <w:style w:type="paragraph" w:styleId="18">
    <w:name w:val="index 1"/>
    <w:basedOn w:val="1"/>
    <w:next w:val="1"/>
    <w:semiHidden/>
    <w:qFormat/>
    <w:uiPriority w:val="0"/>
    <w:pPr>
      <w:tabs>
        <w:tab w:val="left" w:pos="3150"/>
        <w:tab w:val="center" w:pos="4212"/>
        <w:tab w:val="left" w:pos="5640"/>
      </w:tabs>
      <w:spacing w:line="440" w:lineRule="atLeast"/>
    </w:pPr>
    <w:rPr>
      <w:rFonts w:ascii="宋体" w:hAnsi="宋体"/>
      <w:color w:val="000000"/>
    </w:rPr>
  </w:style>
  <w:style w:type="paragraph" w:styleId="19">
    <w:name w:val="toc 2"/>
    <w:basedOn w:val="1"/>
    <w:next w:val="1"/>
    <w:qFormat/>
    <w:uiPriority w:val="39"/>
    <w:pPr>
      <w:ind w:left="420" w:leftChars="200"/>
    </w:pPr>
  </w:style>
  <w:style w:type="paragraph" w:styleId="20">
    <w:name w:val="Body Text 2"/>
    <w:basedOn w:val="1"/>
    <w:qFormat/>
    <w:uiPriority w:val="0"/>
    <w:pPr>
      <w:spacing w:after="120" w:line="480" w:lineRule="auto"/>
    </w:pPr>
  </w:style>
  <w:style w:type="paragraph" w:styleId="21">
    <w:name w:val="Body Text First Indent"/>
    <w:basedOn w:val="9"/>
    <w:next w:val="1"/>
    <w:qFormat/>
    <w:uiPriority w:val="0"/>
    <w:pPr>
      <w:ind w:firstLine="420" w:firstLineChars="100"/>
    </w:pPr>
    <w:rPr>
      <w:szCs w:val="24"/>
    </w:rPr>
  </w:style>
  <w:style w:type="paragraph" w:styleId="22">
    <w:name w:val="Body Text First Indent 2"/>
    <w:basedOn w:val="10"/>
    <w:next w:val="1"/>
    <w:qFormat/>
    <w:uiPriority w:val="0"/>
    <w:pPr>
      <w:ind w:firstLine="420" w:firstLineChars="200"/>
    </w:pPr>
  </w:style>
  <w:style w:type="table" w:styleId="24">
    <w:name w:val="Table Grid"/>
    <w:basedOn w:val="23"/>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6">
    <w:name w:val="page number"/>
    <w:basedOn w:val="25"/>
    <w:qFormat/>
    <w:uiPriority w:val="0"/>
  </w:style>
  <w:style w:type="paragraph" w:customStyle="1" w:styleId="27">
    <w:name w:val="Default"/>
    <w:basedOn w:val="28"/>
    <w:next w:val="6"/>
    <w:qFormat/>
    <w:uiPriority w:val="0"/>
    <w:pPr>
      <w:widowControl w:val="0"/>
      <w:autoSpaceDE w:val="0"/>
      <w:autoSpaceDN w:val="0"/>
      <w:adjustRightInd w:val="0"/>
    </w:pPr>
    <w:rPr>
      <w:rFonts w:ascii="宋体" w:hAnsi="宋体" w:eastAsia="宋体" w:cs="宋体"/>
      <w:color w:val="000000"/>
      <w:sz w:val="24"/>
      <w:szCs w:val="24"/>
      <w:lang w:val="en-US" w:eastAsia="zh-CN" w:bidi="ar-SA"/>
    </w:rPr>
  </w:style>
  <w:style w:type="paragraph" w:customStyle="1" w:styleId="28">
    <w:name w:val="表内容@"/>
    <w:basedOn w:val="1"/>
    <w:qFormat/>
    <w:uiPriority w:val="0"/>
    <w:pPr>
      <w:adjustRightInd w:val="0"/>
      <w:spacing w:line="0" w:lineRule="atLeast"/>
      <w:jc w:val="center"/>
    </w:pPr>
    <w:rPr>
      <w:rFonts w:ascii="宋体" w:hAnsi="宋体" w:cs="Arial"/>
      <w:szCs w:val="21"/>
    </w:rPr>
  </w:style>
  <w:style w:type="paragraph" w:customStyle="1" w:styleId="29">
    <w:name w:val="Char Char Char Char Char Char Char Char Char Char Char Char Char"/>
    <w:basedOn w:val="1"/>
    <w:next w:val="30"/>
    <w:qFormat/>
    <w:uiPriority w:val="0"/>
  </w:style>
  <w:style w:type="paragraph" w:customStyle="1" w:styleId="30">
    <w:name w:val="point101"/>
    <w:basedOn w:val="1"/>
    <w:next w:val="1"/>
    <w:qFormat/>
    <w:uiPriority w:val="0"/>
    <w:pPr>
      <w:widowControl/>
      <w:spacing w:before="100" w:beforeAutospacing="1" w:after="100" w:afterAutospacing="1" w:line="390" w:lineRule="atLeast"/>
    </w:pPr>
    <w:rPr>
      <w:rFonts w:ascii="宋体" w:hAnsi="宋体" w:cs="宋体"/>
      <w:spacing w:val="5"/>
      <w:sz w:val="18"/>
      <w:szCs w:val="18"/>
    </w:rPr>
  </w:style>
  <w:style w:type="paragraph" w:customStyle="1" w:styleId="31">
    <w:name w:val="样式 正文文本 + 首行缩进:  2 字符"/>
    <w:basedOn w:val="9"/>
    <w:qFormat/>
    <w:uiPriority w:val="0"/>
    <w:pPr>
      <w:keepNext/>
      <w:spacing w:before="100" w:beforeAutospacing="1" w:after="200" w:line="480" w:lineRule="exact"/>
      <w:ind w:firstLine="480" w:firstLineChars="200"/>
    </w:pPr>
    <w:rPr>
      <w:rFonts w:ascii="Calibri" w:hAnsi="Calibri"/>
    </w:rPr>
  </w:style>
  <w:style w:type="paragraph" w:customStyle="1" w:styleId="32">
    <w:name w:val="样式 样式 样式 四号 左侧:  1.53 厘米 + 首行缩进:  2 字符 + 居中 左侧:  2 字符 首行缩进:  2..."/>
    <w:basedOn w:val="33"/>
    <w:qFormat/>
    <w:uiPriority w:val="0"/>
    <w:pPr>
      <w:jc w:val="center"/>
    </w:pPr>
  </w:style>
  <w:style w:type="paragraph" w:customStyle="1" w:styleId="33">
    <w:name w:val="样式 样式 四号 左侧:  1.53 厘米 + 首行缩进:  2 字符"/>
    <w:basedOn w:val="34"/>
    <w:qFormat/>
    <w:uiPriority w:val="0"/>
    <w:pPr>
      <w:ind w:left="200" w:leftChars="200"/>
    </w:pPr>
    <w:rPr>
      <w:szCs w:val="20"/>
    </w:rPr>
  </w:style>
  <w:style w:type="paragraph" w:customStyle="1" w:styleId="34">
    <w:name w:val="样式 四号 左侧:  1.53 厘米"/>
    <w:basedOn w:val="1"/>
    <w:qFormat/>
    <w:uiPriority w:val="0"/>
    <w:pPr>
      <w:adjustRightInd w:val="0"/>
    </w:pPr>
    <w:rPr>
      <w:w w:val="90"/>
      <w:sz w:val="28"/>
      <w:szCs w:val="28"/>
    </w:rPr>
  </w:style>
  <w:style w:type="character" w:customStyle="1" w:styleId="35">
    <w:name w:val="正文文本缩进 2 Char"/>
    <w:link w:val="36"/>
    <w:semiHidden/>
    <w:qFormat/>
    <w:uiPriority w:val="0"/>
    <w:rPr>
      <w:rFonts w:ascii="宋体" w:hAnsi="Times New Roman" w:eastAsia="宋体" w:cs="Times New Roman"/>
      <w:sz w:val="28"/>
      <w:szCs w:val="20"/>
    </w:rPr>
  </w:style>
  <w:style w:type="paragraph" w:customStyle="1" w:styleId="36">
    <w:name w:val="正文文本缩进 21"/>
    <w:basedOn w:val="1"/>
    <w:link w:val="35"/>
    <w:qFormat/>
    <w:uiPriority w:val="0"/>
    <w:pPr>
      <w:ind w:firstLine="585"/>
    </w:pPr>
    <w:rPr>
      <w:rFonts w:ascii="宋体"/>
      <w:sz w:val="28"/>
    </w:rPr>
  </w:style>
  <w:style w:type="character" w:customStyle="1" w:styleId="37">
    <w:name w:val="页脚 Char"/>
    <w:link w:val="16"/>
    <w:semiHidden/>
    <w:qFormat/>
    <w:uiPriority w:val="0"/>
    <w:rPr>
      <w:rFonts w:ascii="Times New Roman" w:hAnsi="Times New Roman" w:eastAsia="宋体" w:cs="Times New Roman"/>
      <w:sz w:val="18"/>
      <w:szCs w:val="18"/>
    </w:rPr>
  </w:style>
  <w:style w:type="character" w:customStyle="1" w:styleId="38">
    <w:name w:val="页眉 Char"/>
    <w:link w:val="11"/>
    <w:semiHidden/>
    <w:qFormat/>
    <w:uiPriority w:val="0"/>
    <w:rPr>
      <w:rFonts w:ascii="Times New Roman" w:hAnsi="Times New Roman" w:eastAsia="宋体" w:cs="Times New Roman"/>
      <w:sz w:val="18"/>
      <w:szCs w:val="18"/>
    </w:rPr>
  </w:style>
  <w:style w:type="paragraph" w:customStyle="1" w:styleId="39">
    <w:name w:val="普通(网站)1"/>
    <w:basedOn w:val="1"/>
    <w:qFormat/>
    <w:uiPriority w:val="0"/>
    <w:pPr>
      <w:spacing w:beforeAutospacing="1" w:afterAutospacing="1"/>
      <w:jc w:val="left"/>
    </w:pPr>
    <w:rPr>
      <w:kern w:val="0"/>
      <w:sz w:val="24"/>
    </w:rPr>
  </w:style>
  <w:style w:type="paragraph" w:customStyle="1" w:styleId="40">
    <w:name w:val="正文缩进1"/>
    <w:basedOn w:val="1"/>
    <w:qFormat/>
    <w:uiPriority w:val="0"/>
    <w:pPr>
      <w:ind w:firstLine="420"/>
    </w:pPr>
  </w:style>
  <w:style w:type="character" w:customStyle="1" w:styleId="41">
    <w:name w:val="页码1"/>
    <w:basedOn w:val="25"/>
    <w:qFormat/>
    <w:uiPriority w:val="0"/>
  </w:style>
  <w:style w:type="paragraph" w:customStyle="1" w:styleId="42">
    <w:name w:val="报告书正文"/>
    <w:basedOn w:val="21"/>
    <w:qFormat/>
    <w:uiPriority w:val="0"/>
    <w:pPr>
      <w:spacing w:after="0" w:line="360" w:lineRule="auto"/>
      <w:ind w:firstLine="200" w:firstLineChars="200"/>
    </w:pPr>
    <w:rPr>
      <w:sz w:val="24"/>
    </w:rPr>
  </w:style>
  <w:style w:type="paragraph" w:customStyle="1" w:styleId="43">
    <w:name w:val="热电厂正文"/>
    <w:basedOn w:val="1"/>
    <w:qFormat/>
    <w:uiPriority w:val="0"/>
    <w:pPr>
      <w:spacing w:line="440" w:lineRule="exact"/>
      <w:ind w:firstLine="480" w:firstLineChars="200"/>
    </w:pPr>
    <w:rPr>
      <w:sz w:val="24"/>
      <w:szCs w:val="24"/>
    </w:rPr>
  </w:style>
  <w:style w:type="paragraph" w:customStyle="1" w:styleId="44">
    <w:name w:val="样式 样式 样式 样式 样式 正文@ + 首行缩进:  2 字符 字距调整小四 紧缩量  0.2 磅 + 首行缩进:  2 字符..."/>
    <w:basedOn w:val="45"/>
    <w:qFormat/>
    <w:uiPriority w:val="0"/>
    <w:pPr>
      <w:spacing w:line="360" w:lineRule="auto"/>
      <w:ind w:firstLine="200"/>
    </w:pPr>
  </w:style>
  <w:style w:type="paragraph" w:customStyle="1" w:styleId="45">
    <w:name w:val="样式 样式 样式 样式 正文@ + 首行缩进:  2 字符 字距调整小四 紧缩量  0.2 磅 + 首行缩进:  2 字符 + ...1"/>
    <w:basedOn w:val="46"/>
    <w:qFormat/>
    <w:uiPriority w:val="0"/>
    <w:pPr>
      <w:widowControl/>
      <w:spacing w:line="312" w:lineRule="auto"/>
      <w:jc w:val="left"/>
    </w:pPr>
  </w:style>
  <w:style w:type="paragraph" w:customStyle="1" w:styleId="46">
    <w:name w:val="样式 样式 样式 正文@ + 首行缩进:  2 字符 字距调整小四 紧缩量  0.2 磅 + 首行缩进:  2 字符 + 首行缩..."/>
    <w:basedOn w:val="47"/>
    <w:qFormat/>
    <w:uiPriority w:val="0"/>
    <w:pPr>
      <w:ind w:firstLine="438"/>
    </w:pPr>
    <w:rPr>
      <w:szCs w:val="20"/>
    </w:rPr>
  </w:style>
  <w:style w:type="paragraph" w:customStyle="1" w:styleId="47">
    <w:name w:val="样式 样式 正文@ + 首行缩进:  2 字符 字距调整小四 紧缩量  0.2 磅 + 首行缩进:  2 字符"/>
    <w:basedOn w:val="1"/>
    <w:qFormat/>
    <w:uiPriority w:val="0"/>
    <w:pPr>
      <w:spacing w:line="360" w:lineRule="auto"/>
      <w:ind w:firstLine="480" w:firstLineChars="200"/>
    </w:pPr>
    <w:rPr>
      <w:rFonts w:ascii="宋体" w:hAnsi="宋体" w:cs="宋体"/>
      <w:kern w:val="24"/>
      <w:sz w:val="24"/>
      <w:szCs w:val="24"/>
    </w:rPr>
  </w:style>
  <w:style w:type="paragraph" w:customStyle="1" w:styleId="48">
    <w:name w:val="哼"/>
    <w:basedOn w:val="1"/>
    <w:qFormat/>
    <w:uiPriority w:val="0"/>
    <w:pPr>
      <w:spacing w:line="480" w:lineRule="exact"/>
      <w:ind w:firstLine="1440" w:firstLineChars="200"/>
    </w:pPr>
    <w:rPr>
      <w:sz w:val="24"/>
    </w:rPr>
  </w:style>
  <w:style w:type="paragraph" w:customStyle="1" w:styleId="49">
    <w:name w:val="Normal_28"/>
    <w:qFormat/>
    <w:uiPriority w:val="0"/>
    <w:pPr>
      <w:spacing w:before="120" w:after="240"/>
      <w:jc w:val="both"/>
    </w:pPr>
    <w:rPr>
      <w:rFonts w:ascii="Calibri" w:hAnsi="Calibri" w:eastAsia="宋体" w:cs="Times New Roman"/>
      <w:sz w:val="22"/>
      <w:szCs w:val="22"/>
      <w:lang w:val="en-US" w:eastAsia="en-US"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6</Pages>
  <Words>866</Words>
  <Characters>4937</Characters>
  <Lines>41</Lines>
  <Paragraphs>11</Paragraphs>
  <TotalTime>1</TotalTime>
  <ScaleCrop>false</ScaleCrop>
  <LinksUpToDate>false</LinksUpToDate>
  <CharactersWithSpaces>5792</CharactersWithSpaces>
  <Application>WPS Office_11.8.2.12287_F1E327BC-269C-435d-A152-05C5408002CA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2022-09-15T08:06:00Z</dcterms:created>
  <dc:creator>Windows 用户</dc:creator>
  <cp:lastModifiedBy>ff8080815fae1ec2015fb3382cfa094c</cp:lastModifiedBy>
  <cp:lastPrinted>2024-08-14T03:14:00Z</cp:lastPrinted>
  <dcterms:modified xsi:type="dcterms:W3CDTF">2025-03-25T07:23:38Z</dcterms:modified>
  <dc:title>han</dc:title>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2052-11.8.2.12287</vt:lpwstr>
  </property>
  <property fmtid="{D5CDD505-2E9C-101B-9397-08002B2CF9AE}" pid="3" name="ICV">
    <vt:lpwstr>BA696A9AA7264D0787AEF629B0120A63</vt:lpwstr>
  </property>
</Properties>
</file>