
<file path=[Content_Types].xml><?xml version="1.0" encoding="utf-8"?>
<Types xmlns="http://schemas.openxmlformats.org/package/2006/content-types">
  <Default Extension="xml" ContentType="application/xml"/>
  <Default Extension="bin" ContentType="application/vnd.openxmlformats-officedocument.oleObject"/>
  <Default Extension="jpeg" ContentType="image/jpeg"/>
  <Default Extension="JPG" ContentType="image/.jpg"/>
  <Default Extension="png" ContentType="image/png"/>
  <Default Extension="emf" ContentType="image/x-emf"/>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right="46" w:rightChars="19" w:firstLine="0" w:firstLineChars="0"/>
        <w:jc w:val="center"/>
        <w:rPr>
          <w:sz w:val="72"/>
        </w:rPr>
      </w:pPr>
    </w:p>
    <w:p>
      <w:pPr>
        <w:spacing w:line="600" w:lineRule="exact"/>
        <w:ind w:right="46" w:rightChars="19" w:firstLine="0" w:firstLineChars="0"/>
        <w:jc w:val="center"/>
        <w:rPr>
          <w:sz w:val="72"/>
        </w:rPr>
      </w:pPr>
    </w:p>
    <w:p>
      <w:pPr>
        <w:spacing w:line="300" w:lineRule="exact"/>
        <w:ind w:right="46" w:rightChars="19" w:firstLine="0" w:firstLineChars="0"/>
        <w:jc w:val="center"/>
        <w:rPr>
          <w:sz w:val="72"/>
        </w:rPr>
      </w:pPr>
    </w:p>
    <w:p>
      <w:pPr>
        <w:spacing w:line="300" w:lineRule="exact"/>
        <w:ind w:right="46" w:rightChars="19" w:firstLine="0" w:firstLineChars="0"/>
        <w:jc w:val="center"/>
        <w:rPr>
          <w:sz w:val="72"/>
        </w:rPr>
      </w:pPr>
    </w:p>
    <w:p>
      <w:pPr>
        <w:spacing w:line="300" w:lineRule="exact"/>
        <w:ind w:right="46" w:rightChars="19" w:firstLine="0" w:firstLineChars="0"/>
        <w:jc w:val="center"/>
        <w:rPr>
          <w:sz w:val="72"/>
        </w:rPr>
      </w:pPr>
    </w:p>
    <w:p>
      <w:pPr>
        <w:spacing w:line="360" w:lineRule="auto"/>
        <w:ind w:right="46" w:rightChars="19" w:firstLine="0" w:firstLineChars="0"/>
        <w:jc w:val="center"/>
        <w:rPr>
          <w:sz w:val="72"/>
        </w:rPr>
      </w:pPr>
      <w:r>
        <w:rPr>
          <w:sz w:val="72"/>
        </w:rPr>
        <w:t>建设项目环境影响报告表</w:t>
      </w:r>
    </w:p>
    <w:p>
      <w:pPr>
        <w:ind w:right="46" w:rightChars="19" w:firstLine="0" w:firstLineChars="0"/>
        <w:jc w:val="center"/>
        <w:rPr>
          <w:sz w:val="36"/>
          <w:szCs w:val="36"/>
        </w:rPr>
      </w:pPr>
      <w:r>
        <w:rPr>
          <w:rFonts w:hint="eastAsia"/>
          <w:sz w:val="36"/>
          <w:szCs w:val="36"/>
        </w:rPr>
        <w:t>（污染影响类）</w:t>
      </w:r>
    </w:p>
    <w:p>
      <w:pPr>
        <w:ind w:right="46" w:rightChars="19" w:firstLine="560"/>
        <w:rPr>
          <w:sz w:val="28"/>
        </w:rPr>
      </w:pPr>
    </w:p>
    <w:p>
      <w:pPr>
        <w:ind w:right="46" w:rightChars="19" w:firstLine="560"/>
        <w:rPr>
          <w:sz w:val="28"/>
        </w:rPr>
      </w:pPr>
    </w:p>
    <w:p>
      <w:pPr>
        <w:ind w:right="46" w:rightChars="19" w:firstLine="560"/>
        <w:rPr>
          <w:sz w:val="28"/>
        </w:rPr>
      </w:pPr>
    </w:p>
    <w:p>
      <w:pPr>
        <w:ind w:right="46" w:rightChars="19" w:firstLine="560"/>
        <w:rPr>
          <w:sz w:val="28"/>
        </w:rPr>
      </w:pPr>
    </w:p>
    <w:p>
      <w:pPr>
        <w:spacing w:line="240" w:lineRule="auto"/>
        <w:ind w:right="46" w:rightChars="19" w:firstLine="0" w:firstLineChars="0"/>
        <w:rPr>
          <w:sz w:val="28"/>
        </w:rPr>
      </w:pPr>
    </w:p>
    <w:p>
      <w:pPr>
        <w:spacing w:line="240" w:lineRule="auto"/>
        <w:ind w:right="46" w:rightChars="19" w:firstLine="560"/>
        <w:rPr>
          <w:sz w:val="28"/>
        </w:rPr>
      </w:pPr>
    </w:p>
    <w:p>
      <w:pPr>
        <w:spacing w:line="240" w:lineRule="auto"/>
        <w:ind w:right="46" w:rightChars="19" w:firstLine="560"/>
        <w:rPr>
          <w:sz w:val="28"/>
        </w:rPr>
      </w:pPr>
    </w:p>
    <w:p>
      <w:pPr>
        <w:spacing w:line="240" w:lineRule="auto"/>
        <w:ind w:right="46" w:rightChars="19" w:firstLine="560"/>
        <w:rPr>
          <w:sz w:val="28"/>
        </w:rPr>
      </w:pPr>
    </w:p>
    <w:p>
      <w:pPr>
        <w:spacing w:line="240" w:lineRule="auto"/>
        <w:ind w:right="46" w:rightChars="19" w:firstLine="560"/>
        <w:rPr>
          <w:sz w:val="28"/>
        </w:rPr>
      </w:pPr>
    </w:p>
    <w:p>
      <w:pPr>
        <w:ind w:right="46" w:rightChars="19" w:firstLine="560"/>
        <w:rPr>
          <w:sz w:val="28"/>
        </w:rPr>
      </w:pPr>
    </w:p>
    <w:tbl>
      <w:tblPr>
        <w:tblStyle w:val="16"/>
        <w:tblW w:w="6524" w:type="dxa"/>
        <w:jc w:val="center"/>
        <w:tblLayout w:type="autofit"/>
        <w:tblCellMar>
          <w:top w:w="0" w:type="dxa"/>
          <w:left w:w="0" w:type="dxa"/>
          <w:bottom w:w="0" w:type="dxa"/>
          <w:right w:w="0" w:type="dxa"/>
        </w:tblCellMar>
      </w:tblPr>
      <w:tblGrid>
        <w:gridCol w:w="1445"/>
        <w:gridCol w:w="1033"/>
        <w:gridCol w:w="4046"/>
      </w:tblGrid>
      <w:tr>
        <w:tblPrEx>
          <w:tblCellMar>
            <w:top w:w="0" w:type="dxa"/>
            <w:left w:w="0" w:type="dxa"/>
            <w:bottom w:w="0" w:type="dxa"/>
            <w:right w:w="0" w:type="dxa"/>
          </w:tblCellMar>
        </w:tblPrEx>
        <w:trPr>
          <w:trHeight w:val="737" w:hRule="exact"/>
          <w:jc w:val="center"/>
        </w:trPr>
        <w:tc>
          <w:tcPr>
            <w:tcW w:w="1445" w:type="dxa"/>
            <w:shd w:val="clear" w:color="auto" w:fill="auto"/>
            <w:vAlign w:val="bottom"/>
          </w:tcPr>
          <w:p>
            <w:pPr>
              <w:spacing w:line="240" w:lineRule="auto"/>
              <w:ind w:right="46" w:rightChars="19" w:firstLine="0" w:firstLineChars="0"/>
              <w:rPr>
                <w:sz w:val="30"/>
                <w:szCs w:val="30"/>
              </w:rPr>
            </w:pPr>
            <w:r>
              <w:rPr>
                <w:sz w:val="30"/>
                <w:szCs w:val="30"/>
              </w:rPr>
              <w:t>项目名称：</w:t>
            </w:r>
          </w:p>
        </w:tc>
        <w:tc>
          <w:tcPr>
            <w:tcW w:w="5079" w:type="dxa"/>
            <w:gridSpan w:val="2"/>
            <w:tcBorders>
              <w:bottom w:val="single" w:color="auto" w:sz="4" w:space="0"/>
            </w:tcBorders>
            <w:shd w:val="clear" w:color="auto" w:fill="auto"/>
            <w:vAlign w:val="bottom"/>
          </w:tcPr>
          <w:p>
            <w:pPr>
              <w:spacing w:line="240" w:lineRule="auto"/>
              <w:ind w:right="46" w:rightChars="19" w:firstLine="0" w:firstLineChars="0"/>
              <w:jc w:val="center"/>
              <w:rPr>
                <w:sz w:val="28"/>
              </w:rPr>
            </w:pPr>
            <w:r>
              <w:rPr>
                <w:rFonts w:hint="eastAsia"/>
                <w:sz w:val="30"/>
                <w:szCs w:val="30"/>
              </w:rPr>
              <w:t>石家庄慈爱中医医院建设项目</w:t>
            </w:r>
          </w:p>
        </w:tc>
      </w:tr>
      <w:tr>
        <w:tblPrEx>
          <w:tblCellMar>
            <w:top w:w="0" w:type="dxa"/>
            <w:left w:w="0" w:type="dxa"/>
            <w:bottom w:w="0" w:type="dxa"/>
            <w:right w:w="0" w:type="dxa"/>
          </w:tblCellMar>
        </w:tblPrEx>
        <w:trPr>
          <w:trHeight w:val="737" w:hRule="exact"/>
          <w:jc w:val="center"/>
        </w:trPr>
        <w:tc>
          <w:tcPr>
            <w:tcW w:w="2478" w:type="dxa"/>
            <w:gridSpan w:val="2"/>
            <w:shd w:val="clear" w:color="auto" w:fill="auto"/>
            <w:vAlign w:val="bottom"/>
          </w:tcPr>
          <w:p>
            <w:pPr>
              <w:spacing w:line="240" w:lineRule="auto"/>
              <w:ind w:right="46" w:rightChars="19" w:firstLine="0" w:firstLineChars="0"/>
              <w:rPr>
                <w:sz w:val="30"/>
                <w:szCs w:val="30"/>
              </w:rPr>
            </w:pPr>
            <w:r>
              <w:rPr>
                <w:sz w:val="30"/>
                <w:szCs w:val="30"/>
              </w:rPr>
              <w:t>建设单位（盖章）：</w:t>
            </w:r>
          </w:p>
        </w:tc>
        <w:tc>
          <w:tcPr>
            <w:tcW w:w="4046" w:type="dxa"/>
            <w:tcBorders>
              <w:bottom w:val="single" w:color="auto" w:sz="4" w:space="0"/>
            </w:tcBorders>
            <w:shd w:val="clear" w:color="auto" w:fill="auto"/>
            <w:vAlign w:val="bottom"/>
          </w:tcPr>
          <w:p>
            <w:pPr>
              <w:spacing w:line="240" w:lineRule="auto"/>
              <w:ind w:right="46" w:rightChars="19" w:firstLine="0" w:firstLineChars="0"/>
              <w:jc w:val="center"/>
              <w:rPr>
                <w:sz w:val="30"/>
                <w:szCs w:val="30"/>
              </w:rPr>
            </w:pPr>
            <w:r>
              <w:rPr>
                <w:rFonts w:hint="eastAsia"/>
                <w:sz w:val="30"/>
                <w:szCs w:val="30"/>
              </w:rPr>
              <w:t>石家庄慈爱中医医院有限公司</w:t>
            </w:r>
          </w:p>
        </w:tc>
      </w:tr>
      <w:tr>
        <w:tblPrEx>
          <w:tblCellMar>
            <w:top w:w="0" w:type="dxa"/>
            <w:left w:w="0" w:type="dxa"/>
            <w:bottom w:w="0" w:type="dxa"/>
            <w:right w:w="0" w:type="dxa"/>
          </w:tblCellMar>
        </w:tblPrEx>
        <w:trPr>
          <w:trHeight w:val="737" w:hRule="atLeast"/>
          <w:jc w:val="center"/>
        </w:trPr>
        <w:tc>
          <w:tcPr>
            <w:tcW w:w="1445" w:type="dxa"/>
            <w:shd w:val="clear" w:color="auto" w:fill="auto"/>
            <w:vAlign w:val="bottom"/>
          </w:tcPr>
          <w:p>
            <w:pPr>
              <w:spacing w:line="240" w:lineRule="auto"/>
              <w:ind w:right="46" w:rightChars="19" w:firstLine="0" w:firstLineChars="0"/>
              <w:rPr>
                <w:sz w:val="30"/>
                <w:szCs w:val="30"/>
              </w:rPr>
            </w:pPr>
            <w:r>
              <w:rPr>
                <w:sz w:val="30"/>
                <w:szCs w:val="30"/>
              </w:rPr>
              <w:t>编制日期：</w:t>
            </w:r>
          </w:p>
        </w:tc>
        <w:tc>
          <w:tcPr>
            <w:tcW w:w="5079" w:type="dxa"/>
            <w:gridSpan w:val="2"/>
            <w:tcBorders>
              <w:bottom w:val="single" w:color="auto" w:sz="4" w:space="0"/>
            </w:tcBorders>
            <w:shd w:val="clear" w:color="auto" w:fill="auto"/>
            <w:vAlign w:val="bottom"/>
          </w:tcPr>
          <w:p>
            <w:pPr>
              <w:spacing w:line="240" w:lineRule="auto"/>
              <w:ind w:right="46" w:rightChars="19" w:firstLine="0" w:firstLineChars="0"/>
              <w:jc w:val="center"/>
              <w:rPr>
                <w:sz w:val="30"/>
                <w:szCs w:val="30"/>
              </w:rPr>
            </w:pPr>
            <w:r>
              <w:rPr>
                <w:sz w:val="30"/>
                <w:szCs w:val="30"/>
              </w:rPr>
              <w:t>202</w:t>
            </w:r>
            <w:r>
              <w:rPr>
                <w:rFonts w:hint="eastAsia"/>
                <w:sz w:val="30"/>
                <w:szCs w:val="30"/>
              </w:rPr>
              <w:t xml:space="preserve">5 </w:t>
            </w:r>
            <w:r>
              <w:rPr>
                <w:sz w:val="30"/>
                <w:szCs w:val="30"/>
              </w:rPr>
              <w:t>年</w:t>
            </w:r>
            <w:r>
              <w:rPr>
                <w:rFonts w:hint="eastAsia"/>
                <w:sz w:val="30"/>
                <w:szCs w:val="30"/>
              </w:rPr>
              <w:t xml:space="preserve"> 3 月</w:t>
            </w:r>
          </w:p>
        </w:tc>
      </w:tr>
    </w:tbl>
    <w:p>
      <w:pPr>
        <w:ind w:right="46" w:rightChars="19" w:firstLine="560"/>
        <w:rPr>
          <w:sz w:val="28"/>
        </w:rPr>
      </w:pPr>
    </w:p>
    <w:p>
      <w:pPr>
        <w:ind w:right="46" w:rightChars="19" w:firstLine="0" w:firstLineChars="0"/>
        <w:jc w:val="center"/>
        <w:rPr>
          <w:sz w:val="30"/>
        </w:rPr>
        <w:sectPr>
          <w:headerReference r:id="rId7" w:type="first"/>
          <w:footerReference r:id="rId10" w:type="first"/>
          <w:headerReference r:id="rId5" w:type="default"/>
          <w:footerReference r:id="rId8" w:type="default"/>
          <w:headerReference r:id="rId6" w:type="even"/>
          <w:footerReference r:id="rId9" w:type="even"/>
          <w:pgSz w:w="11906" w:h="16838"/>
          <w:pgMar w:top="1440" w:right="1800" w:bottom="1440" w:left="1800" w:header="851" w:footer="992" w:gutter="0"/>
          <w:cols w:space="425" w:num="1"/>
          <w:docGrid w:type="lines" w:linePitch="312" w:charSpace="0"/>
        </w:sectPr>
      </w:pPr>
      <w:r>
        <w:rPr>
          <w:sz w:val="30"/>
        </w:rPr>
        <w:t>中华人民共和国生态环境部制</w:t>
      </w:r>
    </w:p>
    <w:p>
      <w:pPr>
        <w:ind w:right="46" w:rightChars="19" w:firstLine="600"/>
        <w:jc w:val="center"/>
        <w:rPr>
          <w:sz w:val="30"/>
        </w:rPr>
        <w:sectPr>
          <w:pgSz w:w="11906" w:h="16838"/>
          <w:pgMar w:top="1440" w:right="1800" w:bottom="1440" w:left="1800" w:header="851" w:footer="992" w:gutter="0"/>
          <w:cols w:space="425" w:num="1"/>
          <w:docGrid w:type="lines" w:linePitch="312" w:charSpace="0"/>
        </w:sectPr>
      </w:pPr>
    </w:p>
    <w:p>
      <w:pPr>
        <w:pStyle w:val="2"/>
        <w:ind w:right="46" w:rightChars="19"/>
      </w:pPr>
      <w:r>
        <w:rPr>
          <w:rFonts w:hint="eastAsia"/>
        </w:rPr>
        <w:t>一、建设项目基本情况</w:t>
      </w:r>
    </w:p>
    <w:tbl>
      <w:tblPr>
        <w:tblStyle w:val="17"/>
        <w:tblW w:w="567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650"/>
        <w:gridCol w:w="912"/>
        <w:gridCol w:w="2619"/>
        <w:gridCol w:w="1428"/>
        <w:gridCol w:w="38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jc w:val="center"/>
        </w:trPr>
        <w:tc>
          <w:tcPr>
            <w:tcW w:w="827" w:type="pct"/>
            <w:gridSpan w:val="2"/>
            <w:vAlign w:val="center"/>
          </w:tcPr>
          <w:p>
            <w:pPr>
              <w:spacing w:line="440" w:lineRule="exact"/>
              <w:ind w:right="46" w:rightChars="19" w:firstLine="0" w:firstLineChars="0"/>
              <w:jc w:val="center"/>
            </w:pPr>
            <w:r>
              <w:t>建设项目名称</w:t>
            </w:r>
          </w:p>
        </w:tc>
        <w:tc>
          <w:tcPr>
            <w:tcW w:w="4173" w:type="pct"/>
            <w:gridSpan w:val="3"/>
            <w:vAlign w:val="center"/>
          </w:tcPr>
          <w:p>
            <w:pPr>
              <w:spacing w:line="440" w:lineRule="exact"/>
              <w:ind w:right="46" w:rightChars="19" w:firstLine="0" w:firstLineChars="0"/>
              <w:jc w:val="center"/>
            </w:pPr>
            <w:r>
              <w:rPr>
                <w:rFonts w:hint="eastAsia"/>
              </w:rPr>
              <w:t>石家庄慈爱中医医院建设项目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37" w:hRule="atLeast"/>
          <w:jc w:val="center"/>
        </w:trPr>
        <w:tc>
          <w:tcPr>
            <w:tcW w:w="827" w:type="pct"/>
            <w:gridSpan w:val="2"/>
            <w:vAlign w:val="center"/>
          </w:tcPr>
          <w:p>
            <w:pPr>
              <w:spacing w:line="440" w:lineRule="exact"/>
              <w:ind w:right="46" w:rightChars="19" w:firstLine="0" w:firstLineChars="0"/>
              <w:jc w:val="center"/>
            </w:pPr>
            <w:r>
              <w:t>项目代码</w:t>
            </w:r>
          </w:p>
        </w:tc>
        <w:tc>
          <w:tcPr>
            <w:tcW w:w="4173" w:type="pct"/>
            <w:gridSpan w:val="3"/>
            <w:vAlign w:val="center"/>
          </w:tcPr>
          <w:p>
            <w:pPr>
              <w:spacing w:line="440" w:lineRule="exact"/>
              <w:ind w:right="46" w:rightChars="19" w:firstLine="0" w:firstLineChars="0"/>
              <w:jc w:val="center"/>
            </w:pPr>
            <w:r>
              <w:rPr>
                <w:rFonts w:hint="eastAsia"/>
              </w:rPr>
              <w:t>2412-130171-89-01-525407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37" w:hRule="atLeast"/>
          <w:jc w:val="center"/>
        </w:trPr>
        <w:tc>
          <w:tcPr>
            <w:tcW w:w="827" w:type="pct"/>
            <w:gridSpan w:val="2"/>
            <w:vAlign w:val="center"/>
          </w:tcPr>
          <w:p>
            <w:pPr>
              <w:spacing w:line="440" w:lineRule="exact"/>
              <w:ind w:right="46" w:rightChars="19" w:firstLine="0" w:firstLineChars="0"/>
              <w:jc w:val="center"/>
              <w:rPr>
                <w:highlight w:val="yellow"/>
              </w:rPr>
            </w:pPr>
            <w:r>
              <w:t>建设单位联系人</w:t>
            </w:r>
          </w:p>
        </w:tc>
        <w:tc>
          <w:tcPr>
            <w:tcW w:w="1387" w:type="pct"/>
            <w:vAlign w:val="center"/>
          </w:tcPr>
          <w:p>
            <w:pPr>
              <w:spacing w:line="440" w:lineRule="exact"/>
              <w:ind w:right="46" w:rightChars="19" w:firstLine="0" w:firstLineChars="0"/>
              <w:jc w:val="center"/>
            </w:pPr>
            <w:r>
              <w:rPr>
                <w:rFonts w:hint="eastAsia"/>
              </w:rPr>
              <w:t>王保晶</w:t>
            </w:r>
          </w:p>
        </w:tc>
        <w:tc>
          <w:tcPr>
            <w:tcW w:w="756" w:type="pct"/>
            <w:vAlign w:val="center"/>
          </w:tcPr>
          <w:p>
            <w:pPr>
              <w:spacing w:line="440" w:lineRule="exact"/>
              <w:ind w:right="46" w:rightChars="19" w:firstLine="0" w:firstLineChars="0"/>
              <w:jc w:val="center"/>
              <w:rPr>
                <w:highlight w:val="yellow"/>
              </w:rPr>
            </w:pPr>
            <w:r>
              <w:t>联系方式</w:t>
            </w:r>
          </w:p>
        </w:tc>
        <w:tc>
          <w:tcPr>
            <w:tcW w:w="2030" w:type="pct"/>
            <w:vAlign w:val="center"/>
          </w:tcPr>
          <w:p>
            <w:pPr>
              <w:spacing w:line="440" w:lineRule="exact"/>
              <w:ind w:right="46" w:rightChars="19" w:firstLine="0" w:firstLineChars="0"/>
              <w:jc w:val="center"/>
            </w:pPr>
            <w:r>
              <w:t>15130173296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37" w:hRule="atLeast"/>
          <w:jc w:val="center"/>
        </w:trPr>
        <w:tc>
          <w:tcPr>
            <w:tcW w:w="827" w:type="pct"/>
            <w:gridSpan w:val="2"/>
            <w:vAlign w:val="center"/>
          </w:tcPr>
          <w:p>
            <w:pPr>
              <w:spacing w:line="440" w:lineRule="exact"/>
              <w:ind w:right="46" w:rightChars="19" w:firstLine="0" w:firstLineChars="0"/>
              <w:jc w:val="center"/>
            </w:pPr>
            <w:r>
              <w:t>建设地点</w:t>
            </w:r>
          </w:p>
        </w:tc>
        <w:tc>
          <w:tcPr>
            <w:tcW w:w="4173" w:type="pct"/>
            <w:gridSpan w:val="3"/>
            <w:vAlign w:val="center"/>
          </w:tcPr>
          <w:p>
            <w:pPr>
              <w:spacing w:line="440" w:lineRule="exact"/>
              <w:ind w:right="46" w:rightChars="19" w:firstLine="0" w:firstLineChars="0"/>
              <w:jc w:val="center"/>
            </w:pPr>
            <w:r>
              <w:rPr>
                <w:rFonts w:hint="eastAsia"/>
              </w:rPr>
              <w:t>河北省石家庄市高新区学苑路30号副6号傲湖小区1号商业楼01-204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37" w:hRule="atLeast"/>
          <w:jc w:val="center"/>
        </w:trPr>
        <w:tc>
          <w:tcPr>
            <w:tcW w:w="827" w:type="pct"/>
            <w:gridSpan w:val="2"/>
            <w:vAlign w:val="center"/>
          </w:tcPr>
          <w:p>
            <w:pPr>
              <w:spacing w:line="440" w:lineRule="exact"/>
              <w:ind w:right="46" w:rightChars="19" w:firstLine="0" w:firstLineChars="0"/>
              <w:jc w:val="center"/>
            </w:pPr>
            <w:r>
              <w:t>地理坐标</w:t>
            </w:r>
          </w:p>
        </w:tc>
        <w:tc>
          <w:tcPr>
            <w:tcW w:w="4173" w:type="pct"/>
            <w:gridSpan w:val="3"/>
            <w:vAlign w:val="center"/>
          </w:tcPr>
          <w:p>
            <w:pPr>
              <w:spacing w:line="440" w:lineRule="exact"/>
              <w:ind w:right="46" w:rightChars="19" w:firstLine="0" w:firstLineChars="0"/>
              <w:jc w:val="center"/>
            </w:pPr>
            <w:r>
              <w:rPr>
                <w:rFonts w:hint="eastAsia"/>
              </w:rPr>
              <w:t>东经：</w:t>
            </w:r>
            <w:r>
              <w:rPr>
                <w:rFonts w:hint="eastAsia"/>
                <w:u w:val="single"/>
              </w:rPr>
              <w:t xml:space="preserve"> 114 </w:t>
            </w:r>
            <w:r>
              <w:rPr>
                <w:rFonts w:hint="eastAsia"/>
              </w:rPr>
              <w:t>度</w:t>
            </w:r>
            <w:r>
              <w:rPr>
                <w:rFonts w:hint="eastAsia"/>
                <w:u w:val="single"/>
              </w:rPr>
              <w:t xml:space="preserve"> 35 </w:t>
            </w:r>
            <w:r>
              <w:rPr>
                <w:rFonts w:hint="eastAsia"/>
              </w:rPr>
              <w:t>分</w:t>
            </w:r>
            <w:r>
              <w:rPr>
                <w:rFonts w:hint="eastAsia"/>
                <w:u w:val="single"/>
              </w:rPr>
              <w:t xml:space="preserve"> 18.812 </w:t>
            </w:r>
            <w:r>
              <w:rPr>
                <w:rFonts w:hint="eastAsia"/>
              </w:rPr>
              <w:t>秒，北纬：</w:t>
            </w:r>
            <w:r>
              <w:rPr>
                <w:rFonts w:hint="eastAsia"/>
                <w:u w:val="single"/>
              </w:rPr>
              <w:t xml:space="preserve"> 38 </w:t>
            </w:r>
            <w:r>
              <w:rPr>
                <w:rFonts w:hint="eastAsia"/>
              </w:rPr>
              <w:t>度</w:t>
            </w:r>
            <w:r>
              <w:rPr>
                <w:rFonts w:hint="eastAsia"/>
                <w:u w:val="single"/>
              </w:rPr>
              <w:t xml:space="preserve"> 0 </w:t>
            </w:r>
            <w:r>
              <w:rPr>
                <w:rFonts w:hint="eastAsia"/>
              </w:rPr>
              <w:t>分</w:t>
            </w:r>
            <w:r>
              <w:rPr>
                <w:rFonts w:hint="eastAsia"/>
                <w:u w:val="single"/>
              </w:rPr>
              <w:t xml:space="preserve"> 38.336 </w:t>
            </w:r>
            <w:r>
              <w:rPr>
                <w:rFonts w:hint="eastAsia"/>
              </w:rPr>
              <w:t>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37" w:hRule="atLeast"/>
          <w:jc w:val="center"/>
        </w:trPr>
        <w:tc>
          <w:tcPr>
            <w:tcW w:w="827" w:type="pct"/>
            <w:gridSpan w:val="2"/>
            <w:vAlign w:val="center"/>
          </w:tcPr>
          <w:p>
            <w:pPr>
              <w:spacing w:line="440" w:lineRule="exact"/>
              <w:ind w:right="46" w:rightChars="19" w:firstLine="0" w:firstLineChars="0"/>
              <w:jc w:val="center"/>
            </w:pPr>
            <w:r>
              <w:t>国民经济行业类别</w:t>
            </w:r>
          </w:p>
        </w:tc>
        <w:tc>
          <w:tcPr>
            <w:tcW w:w="1387" w:type="pct"/>
            <w:vAlign w:val="center"/>
          </w:tcPr>
          <w:p>
            <w:pPr>
              <w:spacing w:line="440" w:lineRule="exact"/>
              <w:ind w:right="46" w:rightChars="19" w:firstLine="0" w:firstLineChars="0"/>
              <w:jc w:val="center"/>
            </w:pPr>
            <w:r>
              <w:rPr>
                <w:rFonts w:hint="eastAsia"/>
              </w:rPr>
              <w:t>Q-8412中医医院</w:t>
            </w:r>
          </w:p>
        </w:tc>
        <w:tc>
          <w:tcPr>
            <w:tcW w:w="756" w:type="pct"/>
            <w:vAlign w:val="center"/>
          </w:tcPr>
          <w:p>
            <w:pPr>
              <w:spacing w:line="460" w:lineRule="exact"/>
              <w:ind w:right="46" w:rightChars="19" w:firstLine="0" w:firstLineChars="0"/>
              <w:jc w:val="center"/>
            </w:pPr>
            <w:r>
              <w:t>建设项目行业类别</w:t>
            </w:r>
          </w:p>
        </w:tc>
        <w:tc>
          <w:tcPr>
            <w:tcW w:w="2030" w:type="pct"/>
            <w:vAlign w:val="center"/>
          </w:tcPr>
          <w:p>
            <w:pPr>
              <w:spacing w:line="460" w:lineRule="exact"/>
              <w:ind w:right="46" w:rightChars="19" w:firstLine="0" w:firstLineChars="0"/>
              <w:jc w:val="left"/>
            </w:pPr>
            <w:r>
              <w:t>四十</w:t>
            </w:r>
            <w:r>
              <w:rPr>
                <w:rFonts w:hint="eastAsia"/>
              </w:rPr>
              <w:t>九 卫生 84-108医院841-其他（住院床位20张以下的除外）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37" w:hRule="atLeast"/>
          <w:jc w:val="center"/>
        </w:trPr>
        <w:tc>
          <w:tcPr>
            <w:tcW w:w="827" w:type="pct"/>
            <w:gridSpan w:val="2"/>
            <w:vAlign w:val="center"/>
          </w:tcPr>
          <w:p>
            <w:pPr>
              <w:spacing w:line="440" w:lineRule="exact"/>
              <w:ind w:right="46" w:rightChars="19" w:firstLine="0" w:firstLineChars="0"/>
              <w:jc w:val="center"/>
            </w:pPr>
            <w:r>
              <w:t>建设性质</w:t>
            </w:r>
          </w:p>
        </w:tc>
        <w:tc>
          <w:tcPr>
            <w:tcW w:w="1387" w:type="pct"/>
            <w:vAlign w:val="center"/>
          </w:tcPr>
          <w:p>
            <w:pPr>
              <w:spacing w:line="440" w:lineRule="exact"/>
              <w:ind w:right="46" w:rightChars="19" w:firstLine="480"/>
              <w:jc w:val="left"/>
            </w:pPr>
            <w:r>
              <w:rPr/>
              <w:sym w:font="Wingdings 2" w:char="F052"/>
            </w:r>
            <w:r>
              <w:t>新建（迁建）</w:t>
            </w:r>
          </w:p>
          <w:p>
            <w:pPr>
              <w:spacing w:line="440" w:lineRule="exact"/>
              <w:ind w:right="46" w:rightChars="19" w:firstLine="480"/>
              <w:jc w:val="left"/>
            </w:pPr>
            <w:r>
              <w:t>□改建</w:t>
            </w:r>
          </w:p>
          <w:p>
            <w:pPr>
              <w:spacing w:line="440" w:lineRule="exact"/>
              <w:ind w:right="46" w:rightChars="19" w:firstLine="480"/>
              <w:jc w:val="left"/>
            </w:pPr>
            <w:r>
              <w:t>□扩建</w:t>
            </w:r>
          </w:p>
          <w:p>
            <w:pPr>
              <w:spacing w:line="440" w:lineRule="exact"/>
              <w:ind w:right="46" w:rightChars="19" w:firstLine="480"/>
              <w:jc w:val="left"/>
            </w:pPr>
            <w:r>
              <w:t>□技术改造</w:t>
            </w:r>
          </w:p>
        </w:tc>
        <w:tc>
          <w:tcPr>
            <w:tcW w:w="756" w:type="pct"/>
            <w:vAlign w:val="center"/>
          </w:tcPr>
          <w:p>
            <w:pPr>
              <w:spacing w:line="460" w:lineRule="exact"/>
              <w:ind w:right="46" w:rightChars="19" w:firstLine="0" w:firstLineChars="0"/>
              <w:jc w:val="center"/>
            </w:pPr>
            <w:r>
              <w:t>建设项目</w:t>
            </w:r>
          </w:p>
          <w:p>
            <w:pPr>
              <w:spacing w:line="460" w:lineRule="exact"/>
              <w:ind w:right="46" w:rightChars="19" w:firstLine="0" w:firstLineChars="0"/>
              <w:jc w:val="center"/>
            </w:pPr>
            <w:r>
              <w:t>申报情形</w:t>
            </w:r>
          </w:p>
        </w:tc>
        <w:tc>
          <w:tcPr>
            <w:tcW w:w="2030" w:type="pct"/>
            <w:vAlign w:val="center"/>
          </w:tcPr>
          <w:p>
            <w:pPr>
              <w:spacing w:line="460" w:lineRule="exact"/>
              <w:ind w:right="46" w:rightChars="19" w:firstLine="480"/>
              <w:jc w:val="left"/>
            </w:pPr>
            <w:r>
              <w:rPr>
                <w:kern w:val="0"/>
              </w:rPr>
              <w:sym w:font="Wingdings 2" w:char="F052"/>
            </w:r>
            <w:r>
              <w:t xml:space="preserve">首次申报项目             </w:t>
            </w:r>
          </w:p>
          <w:p>
            <w:pPr>
              <w:spacing w:line="460" w:lineRule="exact"/>
              <w:ind w:right="46" w:rightChars="19" w:firstLine="480"/>
              <w:jc w:val="left"/>
            </w:pPr>
            <w:r>
              <w:t>□不予批准后再次申报项目</w:t>
            </w:r>
          </w:p>
          <w:p>
            <w:pPr>
              <w:spacing w:line="460" w:lineRule="exact"/>
              <w:ind w:right="46" w:rightChars="19" w:firstLine="480"/>
              <w:jc w:val="left"/>
            </w:pPr>
            <w:r>
              <w:t xml:space="preserve">□超五年重新审核项目     </w:t>
            </w:r>
          </w:p>
          <w:p>
            <w:pPr>
              <w:spacing w:line="460" w:lineRule="exact"/>
              <w:ind w:right="46" w:rightChars="19" w:firstLine="480"/>
              <w:jc w:val="left"/>
            </w:pPr>
            <w:r>
              <w:t>□重大变动重新报批项目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37" w:hRule="atLeast"/>
          <w:jc w:val="center"/>
        </w:trPr>
        <w:tc>
          <w:tcPr>
            <w:tcW w:w="827" w:type="pct"/>
            <w:gridSpan w:val="2"/>
            <w:vAlign w:val="center"/>
          </w:tcPr>
          <w:p>
            <w:pPr>
              <w:spacing w:line="440" w:lineRule="exact"/>
              <w:ind w:right="46" w:rightChars="19" w:firstLine="0" w:firstLineChars="0"/>
              <w:jc w:val="center"/>
            </w:pPr>
            <w:r>
              <w:t>项目审批</w:t>
            </w:r>
          </w:p>
          <w:p>
            <w:pPr>
              <w:spacing w:line="440" w:lineRule="exact"/>
              <w:ind w:right="46" w:rightChars="19" w:firstLine="0" w:firstLineChars="0"/>
              <w:jc w:val="center"/>
            </w:pPr>
            <w:r>
              <w:t>（核准）部门</w:t>
            </w:r>
          </w:p>
        </w:tc>
        <w:tc>
          <w:tcPr>
            <w:tcW w:w="1387" w:type="pct"/>
            <w:vAlign w:val="center"/>
          </w:tcPr>
          <w:p>
            <w:pPr>
              <w:spacing w:line="440" w:lineRule="exact"/>
              <w:ind w:right="46" w:rightChars="19" w:firstLine="0" w:firstLineChars="0"/>
              <w:jc w:val="left"/>
            </w:pPr>
            <w:r>
              <w:rPr>
                <w:rFonts w:hint="eastAsia"/>
              </w:rPr>
              <w:t>石家庄高新区行政审批局</w:t>
            </w:r>
          </w:p>
        </w:tc>
        <w:tc>
          <w:tcPr>
            <w:tcW w:w="756" w:type="pct"/>
            <w:vAlign w:val="center"/>
          </w:tcPr>
          <w:p>
            <w:pPr>
              <w:spacing w:line="460" w:lineRule="exact"/>
              <w:ind w:right="46" w:rightChars="19" w:firstLine="0" w:firstLineChars="0"/>
              <w:jc w:val="center"/>
            </w:pPr>
            <w:r>
              <w:t>项目审批</w:t>
            </w:r>
          </w:p>
          <w:p>
            <w:pPr>
              <w:spacing w:line="460" w:lineRule="exact"/>
              <w:ind w:right="46" w:rightChars="19" w:firstLine="0" w:firstLineChars="0"/>
              <w:jc w:val="center"/>
            </w:pPr>
            <w:r>
              <w:t>（核准）文号</w:t>
            </w:r>
          </w:p>
        </w:tc>
        <w:tc>
          <w:tcPr>
            <w:tcW w:w="2030" w:type="pct"/>
            <w:vAlign w:val="center"/>
          </w:tcPr>
          <w:p>
            <w:pPr>
              <w:spacing w:line="460" w:lineRule="exact"/>
              <w:ind w:right="46" w:rightChars="19" w:firstLine="0" w:firstLineChars="0"/>
              <w:jc w:val="center"/>
              <w:rPr>
                <w:highlight w:val="yellow"/>
              </w:rPr>
            </w:pPr>
            <w:r>
              <w:rPr>
                <w:rFonts w:hint="eastAsia"/>
              </w:rPr>
              <w:t>石高行审投资备字〔2024〕224号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37" w:hRule="atLeast"/>
          <w:jc w:val="center"/>
        </w:trPr>
        <w:tc>
          <w:tcPr>
            <w:tcW w:w="827" w:type="pct"/>
            <w:gridSpan w:val="2"/>
            <w:vAlign w:val="center"/>
          </w:tcPr>
          <w:p>
            <w:pPr>
              <w:spacing w:line="440" w:lineRule="exact"/>
              <w:ind w:right="46" w:rightChars="19" w:firstLine="0" w:firstLineChars="0"/>
              <w:jc w:val="center"/>
            </w:pPr>
            <w:r>
              <w:t>总投资</w:t>
            </w:r>
          </w:p>
          <w:p>
            <w:pPr>
              <w:spacing w:line="440" w:lineRule="exact"/>
              <w:ind w:right="46" w:rightChars="19" w:firstLine="0" w:firstLineChars="0"/>
              <w:jc w:val="center"/>
            </w:pPr>
            <w:r>
              <w:t>（万元）</w:t>
            </w:r>
          </w:p>
        </w:tc>
        <w:tc>
          <w:tcPr>
            <w:tcW w:w="1387" w:type="pct"/>
            <w:vAlign w:val="center"/>
          </w:tcPr>
          <w:p>
            <w:pPr>
              <w:spacing w:line="440" w:lineRule="exact"/>
              <w:ind w:right="46" w:rightChars="19" w:firstLine="0" w:firstLineChars="0"/>
              <w:jc w:val="center"/>
            </w:pPr>
            <w:r>
              <w:rPr>
                <w:rFonts w:hint="eastAsia"/>
              </w:rPr>
              <w:t>95</w:t>
            </w:r>
          </w:p>
        </w:tc>
        <w:tc>
          <w:tcPr>
            <w:tcW w:w="756" w:type="pct"/>
            <w:vAlign w:val="center"/>
          </w:tcPr>
          <w:p>
            <w:pPr>
              <w:spacing w:line="460" w:lineRule="exact"/>
              <w:ind w:right="46" w:rightChars="19" w:firstLine="0" w:firstLineChars="0"/>
              <w:jc w:val="center"/>
            </w:pPr>
            <w:r>
              <w:t>环保投资</w:t>
            </w:r>
          </w:p>
          <w:p>
            <w:pPr>
              <w:spacing w:line="460" w:lineRule="exact"/>
              <w:ind w:right="46" w:rightChars="19" w:firstLine="0" w:firstLineChars="0"/>
              <w:jc w:val="center"/>
            </w:pPr>
            <w:r>
              <w:t>（万元）</w:t>
            </w:r>
          </w:p>
        </w:tc>
        <w:tc>
          <w:tcPr>
            <w:tcW w:w="2030" w:type="pct"/>
            <w:vAlign w:val="center"/>
          </w:tcPr>
          <w:p>
            <w:pPr>
              <w:spacing w:line="460" w:lineRule="exact"/>
              <w:ind w:right="46" w:rightChars="19" w:firstLine="0" w:firstLineChars="0"/>
              <w:jc w:val="center"/>
            </w:pPr>
            <w:r>
              <w:rPr>
                <w:rFonts w:hint="eastAsia"/>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37" w:hRule="atLeast"/>
          <w:jc w:val="center"/>
        </w:trPr>
        <w:tc>
          <w:tcPr>
            <w:tcW w:w="827" w:type="pct"/>
            <w:gridSpan w:val="2"/>
            <w:vAlign w:val="center"/>
          </w:tcPr>
          <w:p>
            <w:pPr>
              <w:spacing w:line="440" w:lineRule="exact"/>
              <w:ind w:right="46" w:rightChars="19" w:firstLine="0" w:firstLineChars="0"/>
              <w:jc w:val="center"/>
            </w:pPr>
            <w:r>
              <w:t>环保投资占比（%）</w:t>
            </w:r>
          </w:p>
        </w:tc>
        <w:tc>
          <w:tcPr>
            <w:tcW w:w="1387" w:type="pct"/>
            <w:vAlign w:val="center"/>
          </w:tcPr>
          <w:p>
            <w:pPr>
              <w:spacing w:line="440" w:lineRule="exact"/>
              <w:ind w:right="46" w:rightChars="19" w:firstLine="0" w:firstLineChars="0"/>
              <w:jc w:val="center"/>
            </w:pPr>
            <w:r>
              <w:rPr>
                <w:rFonts w:hint="eastAsia"/>
              </w:rPr>
              <w:t>7.4</w:t>
            </w:r>
          </w:p>
        </w:tc>
        <w:tc>
          <w:tcPr>
            <w:tcW w:w="756" w:type="pct"/>
            <w:vAlign w:val="center"/>
          </w:tcPr>
          <w:p>
            <w:pPr>
              <w:spacing w:line="460" w:lineRule="exact"/>
              <w:ind w:right="46" w:rightChars="19" w:firstLine="0" w:firstLineChars="0"/>
              <w:jc w:val="center"/>
            </w:pPr>
            <w:r>
              <w:t>施工工期</w:t>
            </w:r>
          </w:p>
        </w:tc>
        <w:tc>
          <w:tcPr>
            <w:tcW w:w="2030" w:type="pct"/>
            <w:vAlign w:val="center"/>
          </w:tcPr>
          <w:p>
            <w:pPr>
              <w:spacing w:line="460" w:lineRule="exact"/>
              <w:ind w:right="46" w:rightChars="19" w:firstLine="0" w:firstLineChars="0"/>
              <w:jc w:val="center"/>
            </w:pPr>
            <w:r>
              <w:rPr>
                <w:rFonts w:hint="eastAsia"/>
              </w:rPr>
              <w:t>3</w:t>
            </w:r>
            <w:r>
              <w:t>个月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37" w:hRule="atLeast"/>
          <w:jc w:val="center"/>
        </w:trPr>
        <w:tc>
          <w:tcPr>
            <w:tcW w:w="827" w:type="pct"/>
            <w:gridSpan w:val="2"/>
            <w:vAlign w:val="center"/>
          </w:tcPr>
          <w:p>
            <w:pPr>
              <w:spacing w:line="440" w:lineRule="exact"/>
              <w:ind w:right="46" w:rightChars="19" w:firstLine="0" w:firstLineChars="0"/>
              <w:jc w:val="center"/>
            </w:pPr>
            <w:r>
              <w:t>是否开工建设</w:t>
            </w:r>
          </w:p>
        </w:tc>
        <w:tc>
          <w:tcPr>
            <w:tcW w:w="1387" w:type="pct"/>
            <w:vAlign w:val="center"/>
          </w:tcPr>
          <w:p>
            <w:pPr>
              <w:adjustRightInd w:val="0"/>
              <w:snapToGrid w:val="0"/>
              <w:spacing w:line="440" w:lineRule="exact"/>
              <w:ind w:right="46" w:rightChars="19" w:firstLine="0" w:firstLineChars="0"/>
            </w:pPr>
            <w:r>
              <w:rPr/>
              <w:sym w:font="Wingdings 2" w:char="F052"/>
            </w:r>
            <w:r>
              <w:t>否</w:t>
            </w:r>
          </w:p>
          <w:p>
            <w:pPr>
              <w:spacing w:line="440" w:lineRule="exact"/>
              <w:ind w:right="46" w:rightChars="19" w:firstLine="0" w:firstLineChars="0"/>
              <w:jc w:val="left"/>
            </w:pPr>
            <w:r>
              <w:rPr/>
              <w:sym w:font="Wingdings 2" w:char="00A3"/>
            </w:r>
            <w:r>
              <w:t>是：</w:t>
            </w:r>
            <w:r>
              <w:rPr>
                <w:u w:val="single"/>
              </w:rPr>
              <w:t xml:space="preserve">          </w:t>
            </w:r>
          </w:p>
        </w:tc>
        <w:tc>
          <w:tcPr>
            <w:tcW w:w="756" w:type="pct"/>
            <w:vAlign w:val="center"/>
          </w:tcPr>
          <w:p>
            <w:pPr>
              <w:adjustRightInd w:val="0"/>
              <w:snapToGrid w:val="0"/>
              <w:spacing w:line="460" w:lineRule="exact"/>
              <w:ind w:right="46" w:rightChars="19" w:firstLine="0" w:firstLineChars="0"/>
              <w:jc w:val="center"/>
              <w:rPr>
                <w:spacing w:val="-6"/>
              </w:rPr>
            </w:pPr>
            <w:r>
              <w:rPr>
                <w:spacing w:val="-6"/>
              </w:rPr>
              <w:t>用地（用海）</w:t>
            </w:r>
          </w:p>
          <w:p>
            <w:pPr>
              <w:spacing w:line="460" w:lineRule="exact"/>
              <w:ind w:right="46" w:rightChars="19" w:firstLine="0" w:firstLineChars="0"/>
              <w:jc w:val="center"/>
            </w:pPr>
            <w:r>
              <w:rPr>
                <w:spacing w:val="-6"/>
              </w:rPr>
              <w:t>面积（m</w:t>
            </w:r>
            <w:r>
              <w:rPr>
                <w:spacing w:val="-6"/>
                <w:vertAlign w:val="superscript"/>
              </w:rPr>
              <w:t>2</w:t>
            </w:r>
            <w:r>
              <w:rPr>
                <w:spacing w:val="-6"/>
              </w:rPr>
              <w:t>）</w:t>
            </w:r>
          </w:p>
        </w:tc>
        <w:tc>
          <w:tcPr>
            <w:tcW w:w="2030" w:type="pct"/>
            <w:vAlign w:val="center"/>
          </w:tcPr>
          <w:p>
            <w:pPr>
              <w:spacing w:line="460" w:lineRule="exact"/>
              <w:ind w:right="46" w:rightChars="19" w:firstLine="0" w:firstLineChars="0"/>
              <w:jc w:val="center"/>
            </w:pPr>
            <w:r>
              <w:rPr>
                <w:rFonts w:hint="eastAsia"/>
              </w:rPr>
              <w:t>2327.99</w:t>
            </w:r>
            <w:r>
              <w:t>m</w:t>
            </w:r>
            <w:r>
              <w:rPr>
                <w:vertAlign w:val="superscript"/>
              </w:rPr>
              <w:t>2</w:t>
            </w:r>
            <w:r>
              <w:rPr>
                <w:rFonts w:hint="eastAsia"/>
              </w:rPr>
              <w:t>（租用建筑面积）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021" w:hRule="atLeast"/>
          <w:jc w:val="center"/>
        </w:trPr>
        <w:tc>
          <w:tcPr>
            <w:tcW w:w="827" w:type="pct"/>
            <w:gridSpan w:val="2"/>
            <w:vAlign w:val="center"/>
          </w:tcPr>
          <w:p>
            <w:pPr>
              <w:spacing w:line="440" w:lineRule="exact"/>
              <w:ind w:right="46" w:rightChars="19" w:firstLine="0" w:firstLineChars="0"/>
              <w:jc w:val="center"/>
            </w:pPr>
            <w:r>
              <w:t>专项评价设置情况</w:t>
            </w:r>
          </w:p>
        </w:tc>
        <w:tc>
          <w:tcPr>
            <w:tcW w:w="4173" w:type="pct"/>
            <w:gridSpan w:val="3"/>
            <w:vAlign w:val="center"/>
          </w:tcPr>
          <w:p>
            <w:pPr>
              <w:spacing w:line="440" w:lineRule="exact"/>
              <w:ind w:right="46" w:rightChars="19" w:firstLine="480"/>
              <w:jc w:val="left"/>
            </w:pPr>
            <w:r>
              <w:rPr>
                <w:rFonts w:hint="eastAsia"/>
              </w:rPr>
              <w:t>本项目不涉及有毒有害废气污染物排放，不直排废水，生产使用有毒有害和易燃易爆危险物质存储量未超过临界量，不设取水口，不需设专项评价。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57" w:hRule="atLeast"/>
          <w:jc w:val="center"/>
        </w:trPr>
        <w:tc>
          <w:tcPr>
            <w:tcW w:w="827" w:type="pct"/>
            <w:gridSpan w:val="2"/>
            <w:vAlign w:val="center"/>
          </w:tcPr>
          <w:p>
            <w:pPr>
              <w:spacing w:line="440" w:lineRule="exact"/>
              <w:ind w:right="46" w:rightChars="19" w:firstLine="0" w:firstLineChars="0"/>
              <w:jc w:val="center"/>
            </w:pPr>
            <w:r>
              <w:t>规划情况</w:t>
            </w:r>
          </w:p>
        </w:tc>
        <w:tc>
          <w:tcPr>
            <w:tcW w:w="4173" w:type="pct"/>
            <w:gridSpan w:val="3"/>
            <w:vAlign w:val="center"/>
          </w:tcPr>
          <w:p>
            <w:pPr>
              <w:spacing w:line="440" w:lineRule="exact"/>
              <w:ind w:right="46" w:rightChars="19" w:firstLine="240" w:firstLineChars="100"/>
              <w:jc w:val="left"/>
            </w:pPr>
            <w:r>
              <w:rPr>
                <w:rFonts w:hint="eastAsia"/>
              </w:rPr>
              <w:t>规划文件：《石家庄市高新区控制性详细规划（修编）》</w:t>
            </w:r>
          </w:p>
          <w:p>
            <w:pPr>
              <w:spacing w:line="440" w:lineRule="exact"/>
              <w:ind w:right="46" w:rightChars="19" w:firstLine="240" w:firstLineChars="100"/>
              <w:jc w:val="left"/>
            </w:pPr>
            <w:r>
              <w:rPr>
                <w:rFonts w:hint="eastAsia"/>
              </w:rPr>
              <w:t>审批机关：石家庄市人民政府</w:t>
            </w:r>
          </w:p>
          <w:p>
            <w:pPr>
              <w:spacing w:line="440" w:lineRule="exact"/>
              <w:ind w:right="46" w:rightChars="19" w:firstLine="240" w:firstLineChars="100"/>
              <w:jc w:val="left"/>
            </w:pPr>
            <w:r>
              <w:rPr>
                <w:rFonts w:hint="eastAsia"/>
              </w:rPr>
              <w:t>审批文件及文号：《石家庄人民政府关于石家庄市高新区控制性详细规划（修编）的批复》，文号为石政函【2016】14号。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0" w:hRule="atLeast"/>
          <w:jc w:val="center"/>
        </w:trPr>
        <w:tc>
          <w:tcPr>
            <w:tcW w:w="344" w:type="pct"/>
            <w:vAlign w:val="center"/>
          </w:tcPr>
          <w:p>
            <w:pPr>
              <w:adjustRightInd w:val="0"/>
              <w:snapToGrid w:val="0"/>
              <w:spacing w:line="400" w:lineRule="exact"/>
              <w:ind w:right="46" w:rightChars="19" w:firstLine="0" w:firstLineChars="0"/>
              <w:jc w:val="center"/>
            </w:pPr>
            <w:r>
              <w:t>规划环境影响</w:t>
            </w:r>
          </w:p>
          <w:p>
            <w:pPr>
              <w:spacing w:line="400" w:lineRule="exact"/>
              <w:ind w:right="46" w:rightChars="19" w:firstLine="0" w:firstLineChars="0"/>
              <w:jc w:val="center"/>
            </w:pPr>
            <w:r>
              <w:t>评价情况</w:t>
            </w:r>
          </w:p>
        </w:tc>
        <w:tc>
          <w:tcPr>
            <w:tcW w:w="4656" w:type="pct"/>
            <w:gridSpan w:val="4"/>
            <w:vAlign w:val="center"/>
          </w:tcPr>
          <w:p>
            <w:pPr>
              <w:autoSpaceDE w:val="0"/>
              <w:autoSpaceDN w:val="0"/>
              <w:adjustRightInd w:val="0"/>
              <w:snapToGrid w:val="0"/>
              <w:spacing w:line="460" w:lineRule="exact"/>
              <w:ind w:right="120" w:rightChars="50" w:firstLine="480"/>
              <w:contextualSpacing/>
              <w:rPr>
                <w:kern w:val="0"/>
              </w:rPr>
            </w:pPr>
            <w:r>
              <w:rPr>
                <w:rFonts w:hint="eastAsia"/>
                <w:kern w:val="0"/>
              </w:rPr>
              <w:t>1、环评文件：《</w:t>
            </w:r>
            <w:r>
              <w:rPr>
                <w:kern w:val="0"/>
              </w:rPr>
              <w:t>石家庄高新技术产业开发区（东区）扩区规划（2010-2020）环境影响报告书</w:t>
            </w:r>
            <w:r>
              <w:rPr>
                <w:rFonts w:hint="eastAsia"/>
                <w:kern w:val="0"/>
              </w:rPr>
              <w:t>》</w:t>
            </w:r>
          </w:p>
          <w:p>
            <w:pPr>
              <w:autoSpaceDE w:val="0"/>
              <w:autoSpaceDN w:val="0"/>
              <w:adjustRightInd w:val="0"/>
              <w:snapToGrid w:val="0"/>
              <w:spacing w:line="460" w:lineRule="exact"/>
              <w:ind w:right="120" w:rightChars="50" w:firstLine="480"/>
              <w:contextualSpacing/>
              <w:rPr>
                <w:kern w:val="0"/>
              </w:rPr>
            </w:pPr>
            <w:r>
              <w:rPr>
                <w:rFonts w:hint="eastAsia"/>
                <w:kern w:val="0"/>
              </w:rPr>
              <w:t>审查机关：河北省环境保护厅</w:t>
            </w:r>
          </w:p>
          <w:p>
            <w:pPr>
              <w:autoSpaceDE w:val="0"/>
              <w:autoSpaceDN w:val="0"/>
              <w:adjustRightInd w:val="0"/>
              <w:snapToGrid w:val="0"/>
              <w:spacing w:line="460" w:lineRule="exact"/>
              <w:ind w:right="120" w:rightChars="50" w:firstLine="480"/>
              <w:contextualSpacing/>
              <w:rPr>
                <w:kern w:val="0"/>
              </w:rPr>
            </w:pPr>
            <w:r>
              <w:rPr>
                <w:rFonts w:hint="eastAsia"/>
                <w:kern w:val="0"/>
              </w:rPr>
              <w:t>审查文件及文号：《关于</w:t>
            </w:r>
            <w:r>
              <w:rPr>
                <w:kern w:val="0"/>
              </w:rPr>
              <w:t>石家庄高新技术产业开发区（东区）扩区规划（2010-2020）环境影响报告书</w:t>
            </w:r>
            <w:r>
              <w:rPr>
                <w:rFonts w:hint="eastAsia"/>
                <w:kern w:val="0"/>
              </w:rPr>
              <w:t>审查意见的函》（冀环评函〔2011〕127号）</w:t>
            </w:r>
          </w:p>
          <w:p>
            <w:pPr>
              <w:autoSpaceDE w:val="0"/>
              <w:autoSpaceDN w:val="0"/>
              <w:adjustRightInd w:val="0"/>
              <w:snapToGrid w:val="0"/>
              <w:spacing w:line="460" w:lineRule="exact"/>
              <w:ind w:right="120" w:rightChars="50" w:firstLine="480"/>
              <w:contextualSpacing/>
              <w:rPr>
                <w:kern w:val="0"/>
              </w:rPr>
            </w:pPr>
            <w:r>
              <w:rPr>
                <w:rFonts w:hint="eastAsia"/>
                <w:kern w:val="0"/>
              </w:rPr>
              <w:t>2、环评文件：《</w:t>
            </w:r>
            <w:r>
              <w:rPr>
                <w:kern w:val="0"/>
              </w:rPr>
              <w:t>石家庄高新技术产业开发区（东区）扩区规划（2010-2020）环境影响跟踪评价</w:t>
            </w:r>
            <w:r>
              <w:rPr>
                <w:rFonts w:hint="eastAsia"/>
                <w:kern w:val="0"/>
              </w:rPr>
              <w:t>》</w:t>
            </w:r>
          </w:p>
          <w:p>
            <w:pPr>
              <w:autoSpaceDE w:val="0"/>
              <w:autoSpaceDN w:val="0"/>
              <w:adjustRightInd w:val="0"/>
              <w:snapToGrid w:val="0"/>
              <w:spacing w:line="460" w:lineRule="exact"/>
              <w:ind w:right="120" w:rightChars="50" w:firstLine="480"/>
              <w:contextualSpacing/>
              <w:rPr>
                <w:kern w:val="0"/>
              </w:rPr>
            </w:pPr>
            <w:r>
              <w:rPr>
                <w:rFonts w:hint="eastAsia"/>
                <w:kern w:val="0"/>
              </w:rPr>
              <w:t>审查机关：河北省生态环境厅</w:t>
            </w:r>
          </w:p>
          <w:p>
            <w:pPr>
              <w:spacing w:line="460" w:lineRule="exact"/>
              <w:ind w:right="120" w:rightChars="50" w:firstLine="480"/>
              <w:jc w:val="left"/>
            </w:pPr>
            <w:r>
              <w:rPr>
                <w:rFonts w:hint="eastAsia"/>
                <w:kern w:val="0"/>
              </w:rPr>
              <w:t>审查文件及文号：《关于转送</w:t>
            </w:r>
            <w:r>
              <w:rPr>
                <w:kern w:val="0"/>
              </w:rPr>
              <w:t>石家庄高新技术产业开发区（东区）扩区规划</w:t>
            </w:r>
            <w:r>
              <w:rPr>
                <w:rFonts w:hint="eastAsia"/>
                <w:kern w:val="0"/>
              </w:rPr>
              <w:t>环境影响跟踪评价结论的函》（冀环评函〔2020〕1号）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0" w:hRule="atLeast"/>
          <w:jc w:val="center"/>
        </w:trPr>
        <w:tc>
          <w:tcPr>
            <w:tcW w:w="344" w:type="pct"/>
            <w:vAlign w:val="center"/>
          </w:tcPr>
          <w:p>
            <w:pPr>
              <w:autoSpaceDE w:val="0"/>
              <w:autoSpaceDN w:val="0"/>
              <w:adjustRightInd w:val="0"/>
              <w:snapToGrid w:val="0"/>
              <w:spacing w:line="400" w:lineRule="exact"/>
              <w:ind w:right="46" w:rightChars="19" w:firstLine="0" w:firstLineChars="0"/>
              <w:jc w:val="center"/>
            </w:pPr>
            <w:r>
              <w:rPr>
                <w:kern w:val="0"/>
              </w:rPr>
              <w:t>规划及规划环境影响评价符合性分析</w:t>
            </w:r>
          </w:p>
        </w:tc>
        <w:tc>
          <w:tcPr>
            <w:tcW w:w="4656" w:type="pct"/>
            <w:gridSpan w:val="4"/>
            <w:vAlign w:val="center"/>
          </w:tcPr>
          <w:p>
            <w:pPr>
              <w:autoSpaceDE w:val="0"/>
              <w:autoSpaceDN w:val="0"/>
              <w:adjustRightInd w:val="0"/>
              <w:snapToGrid w:val="0"/>
              <w:spacing w:line="460" w:lineRule="exact"/>
              <w:ind w:right="120" w:rightChars="50" w:firstLine="480"/>
              <w:contextualSpacing/>
              <w:rPr>
                <w:kern w:val="0"/>
              </w:rPr>
            </w:pPr>
            <w:r>
              <w:rPr>
                <w:rFonts w:hint="eastAsia"/>
                <w:kern w:val="0"/>
              </w:rPr>
              <w:t>石家庄高新技术产业开发区（石家庄高新区）是1991年3月经国务院批准设立的首批国家级高新区之一，1995年调整为“一区两园”，调整后石家庄高新技术产业开发区分为西区和东区。本项目位于石家庄高新技术产业开发区（东区）。</w:t>
            </w:r>
          </w:p>
          <w:p>
            <w:pPr>
              <w:ind w:left="24" w:leftChars="10" w:right="24" w:rightChars="10" w:firstLine="0" w:firstLineChars="0"/>
              <w:jc w:val="left"/>
              <w:rPr>
                <w:b/>
              </w:rPr>
            </w:pPr>
            <w:r>
              <w:rPr>
                <w:rFonts w:hint="eastAsia"/>
                <w:b/>
              </w:rPr>
              <w:t>1、与石家庄高新技术产业开发区（东区）扩区规划（2010-2020）及规划环评符合性：</w:t>
            </w:r>
          </w:p>
          <w:p>
            <w:pPr>
              <w:ind w:left="24" w:leftChars="10" w:right="24" w:rightChars="10" w:firstLine="480"/>
              <w:jc w:val="left"/>
            </w:pPr>
            <w:r>
              <w:rPr>
                <w:rFonts w:hint="eastAsia"/>
              </w:rPr>
              <w:t>（1）规划范围</w:t>
            </w:r>
          </w:p>
          <w:p>
            <w:pPr>
              <w:autoSpaceDE w:val="0"/>
              <w:autoSpaceDN w:val="0"/>
              <w:adjustRightInd w:val="0"/>
              <w:snapToGrid w:val="0"/>
              <w:ind w:left="24" w:leftChars="10" w:right="24" w:rightChars="10" w:firstLine="480"/>
              <w:rPr>
                <w:rFonts w:hAnsi="宋体"/>
                <w:kern w:val="0"/>
              </w:rPr>
            </w:pPr>
            <w:r>
              <w:rPr>
                <w:rFonts w:hint="eastAsia" w:hAnsi="宋体"/>
                <w:kern w:val="0"/>
              </w:rPr>
              <w:t>石家庄高新技术产业开发区（东区）扩区后的范围：东起石环东路、西至京珠高速公路、南起石环南路、北至307国道辅道之间，除珠江大道、黄山街、学苑路、兴安大街、南二环东延线南规划路与东石环公路围合区域以外的区域。</w:t>
            </w:r>
          </w:p>
          <w:p>
            <w:pPr>
              <w:autoSpaceDE w:val="0"/>
              <w:autoSpaceDN w:val="0"/>
              <w:adjustRightInd w:val="0"/>
              <w:snapToGrid w:val="0"/>
              <w:ind w:left="24" w:leftChars="10" w:right="24" w:rightChars="10" w:firstLine="482"/>
              <w:rPr>
                <w:b/>
              </w:rPr>
            </w:pPr>
            <w:r>
              <w:rPr>
                <w:rFonts w:hint="eastAsia"/>
                <w:b/>
              </w:rPr>
              <w:t>本项目位于石家庄市高新区学苑路30号副6号傲湖小区1号商业楼01-204，在石家庄高新技术产业开发区（东区）规划范围内。</w:t>
            </w:r>
          </w:p>
          <w:p>
            <w:pPr>
              <w:autoSpaceDE w:val="0"/>
              <w:autoSpaceDN w:val="0"/>
              <w:adjustRightInd w:val="0"/>
              <w:snapToGrid w:val="0"/>
              <w:ind w:left="24" w:leftChars="10" w:right="24" w:rightChars="10" w:firstLine="480"/>
              <w:rPr>
                <w:rFonts w:hAnsi="宋体"/>
                <w:kern w:val="0"/>
              </w:rPr>
            </w:pPr>
            <w:r>
              <w:rPr>
                <w:rFonts w:hint="eastAsia" w:hAnsi="宋体"/>
                <w:kern w:val="0"/>
              </w:rPr>
              <w:t>（2）产业发展方向</w:t>
            </w:r>
          </w:p>
          <w:p>
            <w:pPr>
              <w:autoSpaceDE w:val="0"/>
              <w:autoSpaceDN w:val="0"/>
              <w:adjustRightInd w:val="0"/>
              <w:snapToGrid w:val="0"/>
              <w:ind w:left="24" w:leftChars="10" w:right="24" w:rightChars="10" w:firstLine="480"/>
              <w:rPr>
                <w:rFonts w:hAnsi="宋体"/>
                <w:kern w:val="0"/>
              </w:rPr>
            </w:pPr>
            <w:r>
              <w:rPr>
                <w:rFonts w:hint="eastAsia" w:hAnsi="宋体"/>
                <w:kern w:val="0"/>
              </w:rPr>
              <w:t>规划重点发展高端医药产业、信息网络产业、精密装备制造产业和科技服务产业；适度引入无污染或污染较轻的其它类高新技术企业；保留现状服装纺织产业，原则上不再新建。</w:t>
            </w:r>
          </w:p>
          <w:p>
            <w:pPr>
              <w:autoSpaceDE w:val="0"/>
              <w:autoSpaceDN w:val="0"/>
              <w:adjustRightInd w:val="0"/>
              <w:snapToGrid w:val="0"/>
              <w:ind w:firstLine="480"/>
              <w:contextualSpacing/>
              <w:jc w:val="left"/>
              <w:rPr>
                <w:kern w:val="0"/>
              </w:rPr>
            </w:pPr>
            <w:r>
              <w:rPr>
                <w:rFonts w:hint="eastAsia" w:ascii="宋体" w:hAnsi="宋体" w:cs="宋体"/>
                <w:kern w:val="0"/>
              </w:rPr>
              <w:t>①</w:t>
            </w:r>
            <w:r>
              <w:rPr>
                <w:kern w:val="0"/>
              </w:rPr>
              <w:t>高端医药产业</w:t>
            </w:r>
          </w:p>
          <w:p>
            <w:pPr>
              <w:autoSpaceDE w:val="0"/>
              <w:autoSpaceDN w:val="0"/>
              <w:adjustRightInd w:val="0"/>
              <w:snapToGrid w:val="0"/>
              <w:ind w:firstLine="480"/>
              <w:contextualSpacing/>
              <w:jc w:val="left"/>
              <w:rPr>
                <w:kern w:val="0"/>
              </w:rPr>
            </w:pPr>
            <w:r>
              <w:rPr>
                <w:kern w:val="0"/>
              </w:rPr>
              <w:t>根据国内外医药产业发展和竞争趋势，结合石家庄医药产业发展基础和潜力，重点发展创新创业服务、高端制剂、生物制药、现代中药、营养保健品和医疗器械等产业。</w:t>
            </w:r>
          </w:p>
          <w:p>
            <w:pPr>
              <w:autoSpaceDE w:val="0"/>
              <w:autoSpaceDN w:val="0"/>
              <w:adjustRightInd w:val="0"/>
              <w:snapToGrid w:val="0"/>
              <w:ind w:firstLine="480"/>
              <w:contextualSpacing/>
              <w:jc w:val="left"/>
              <w:rPr>
                <w:kern w:val="0"/>
              </w:rPr>
            </w:pPr>
            <w:r>
              <w:rPr>
                <w:kern w:val="0"/>
              </w:rPr>
              <w:t>生物制药：以生物制药技术引进、消化和再创新为切入点，建设国家级抗体药物技术研发及产业化基地。重点建设治疗性抗体药物（基因工程菌或哺乳动物细胞表达）、基因工程疫苗、生物技术药物的化学修饰等高端生物技术药品生产企业。重点建设国内外生物制药企业引进扩能项目、市内自主技术创新产业化项目、国际国内生物产业合作项目。</w:t>
            </w:r>
          </w:p>
          <w:p>
            <w:pPr>
              <w:autoSpaceDE w:val="0"/>
              <w:autoSpaceDN w:val="0"/>
              <w:adjustRightInd w:val="0"/>
              <w:snapToGrid w:val="0"/>
              <w:ind w:firstLine="480"/>
              <w:contextualSpacing/>
              <w:jc w:val="left"/>
              <w:rPr>
                <w:kern w:val="0"/>
              </w:rPr>
            </w:pPr>
            <w:r>
              <w:rPr>
                <w:rFonts w:hint="eastAsia" w:ascii="宋体" w:hAnsi="宋体" w:cs="宋体"/>
                <w:kern w:val="0"/>
              </w:rPr>
              <w:t>②</w:t>
            </w:r>
            <w:r>
              <w:rPr>
                <w:kern w:val="0"/>
              </w:rPr>
              <w:t>信息网络产业</w:t>
            </w:r>
          </w:p>
          <w:p>
            <w:pPr>
              <w:autoSpaceDE w:val="0"/>
              <w:autoSpaceDN w:val="0"/>
              <w:adjustRightInd w:val="0"/>
              <w:snapToGrid w:val="0"/>
              <w:ind w:firstLine="480"/>
              <w:contextualSpacing/>
              <w:jc w:val="left"/>
              <w:rPr>
                <w:kern w:val="0"/>
              </w:rPr>
            </w:pPr>
            <w:r>
              <w:rPr>
                <w:kern w:val="0"/>
              </w:rPr>
              <w:t>以软件外包、软件设计、动漫设计、数字内容服务、新型材料为重点，构建以软件和信息服务业为核心、以高端电子产品加工为特色的信息网络产业。</w:t>
            </w:r>
          </w:p>
          <w:p>
            <w:pPr>
              <w:autoSpaceDE w:val="0"/>
              <w:autoSpaceDN w:val="0"/>
              <w:adjustRightInd w:val="0"/>
              <w:snapToGrid w:val="0"/>
              <w:ind w:firstLine="480"/>
              <w:contextualSpacing/>
              <w:jc w:val="left"/>
              <w:rPr>
                <w:kern w:val="0"/>
              </w:rPr>
            </w:pPr>
            <w:r>
              <w:rPr>
                <w:rFonts w:hint="eastAsia" w:ascii="宋体" w:hAnsi="宋体" w:cs="宋体"/>
                <w:kern w:val="0"/>
              </w:rPr>
              <w:t>③</w:t>
            </w:r>
            <w:r>
              <w:rPr>
                <w:kern w:val="0"/>
              </w:rPr>
              <w:t>精密装备制造产业</w:t>
            </w:r>
          </w:p>
          <w:p>
            <w:pPr>
              <w:autoSpaceDE w:val="0"/>
              <w:autoSpaceDN w:val="0"/>
              <w:adjustRightInd w:val="0"/>
              <w:snapToGrid w:val="0"/>
              <w:ind w:firstLine="480"/>
              <w:contextualSpacing/>
              <w:jc w:val="left"/>
              <w:rPr>
                <w:kern w:val="0"/>
              </w:rPr>
            </w:pPr>
            <w:r>
              <w:rPr>
                <w:kern w:val="0"/>
              </w:rPr>
              <w:t>着力打造通用设备、环境保护设备、系列制冷设备、电力自动化设备、专用工具、压力容器等。</w:t>
            </w:r>
          </w:p>
          <w:p>
            <w:pPr>
              <w:autoSpaceDE w:val="0"/>
              <w:autoSpaceDN w:val="0"/>
              <w:adjustRightInd w:val="0"/>
              <w:snapToGrid w:val="0"/>
              <w:ind w:firstLine="480"/>
              <w:contextualSpacing/>
              <w:jc w:val="left"/>
              <w:rPr>
                <w:kern w:val="0"/>
              </w:rPr>
            </w:pPr>
            <w:r>
              <w:rPr>
                <w:rFonts w:hint="eastAsia" w:ascii="宋体" w:hAnsi="宋体" w:cs="宋体"/>
                <w:kern w:val="0"/>
              </w:rPr>
              <w:t>④</w:t>
            </w:r>
            <w:r>
              <w:rPr>
                <w:kern w:val="0"/>
              </w:rPr>
              <w:t>科技服务产业</w:t>
            </w:r>
          </w:p>
          <w:p>
            <w:pPr>
              <w:autoSpaceDE w:val="0"/>
              <w:autoSpaceDN w:val="0"/>
              <w:adjustRightInd w:val="0"/>
              <w:snapToGrid w:val="0"/>
              <w:ind w:firstLine="480"/>
              <w:contextualSpacing/>
              <w:jc w:val="left"/>
              <w:rPr>
                <w:kern w:val="0"/>
              </w:rPr>
            </w:pPr>
            <w:r>
              <w:rPr>
                <w:kern w:val="0"/>
              </w:rPr>
              <w:t>围绕生物医药、信息网络、精密装备制造等主导产业发展需求，完善各类工程技术中心、重点医院、科技研发中心、技术创新中心等公共科技服务创新平台；同国内外知名科研机构和大专院校开展产学研合作，创新合作机制和模式，共建研发平台和战略联盟，开展和实施一批产学研项目。</w:t>
            </w:r>
          </w:p>
          <w:p>
            <w:pPr>
              <w:autoSpaceDE w:val="0"/>
              <w:autoSpaceDN w:val="0"/>
              <w:adjustRightInd w:val="0"/>
              <w:snapToGrid w:val="0"/>
              <w:ind w:firstLine="480"/>
              <w:contextualSpacing/>
              <w:jc w:val="left"/>
              <w:rPr>
                <w:kern w:val="0"/>
              </w:rPr>
            </w:pPr>
            <w:r>
              <w:rPr>
                <w:rFonts w:hint="eastAsia" w:ascii="宋体" w:hAnsi="宋体" w:cs="宋体"/>
                <w:kern w:val="0"/>
              </w:rPr>
              <w:t>⑤</w:t>
            </w:r>
            <w:r>
              <w:rPr>
                <w:kern w:val="0"/>
              </w:rPr>
              <w:t>服装纺织产业</w:t>
            </w:r>
          </w:p>
          <w:p>
            <w:pPr>
              <w:autoSpaceDE w:val="0"/>
              <w:autoSpaceDN w:val="0"/>
              <w:adjustRightInd w:val="0"/>
              <w:snapToGrid w:val="0"/>
              <w:ind w:firstLine="480"/>
              <w:contextualSpacing/>
              <w:jc w:val="left"/>
              <w:rPr>
                <w:kern w:val="0"/>
              </w:rPr>
            </w:pPr>
            <w:r>
              <w:rPr>
                <w:kern w:val="0"/>
              </w:rPr>
              <w:t>服装纺织主要是保留现有的卓达服装加工产业园，不再规划新建。</w:t>
            </w:r>
            <w:r>
              <w:rPr>
                <w:kern w:val="0"/>
              </w:rPr>
              <w:fldChar w:fldCharType="begin"/>
            </w:r>
            <w:r>
              <w:rPr>
                <w:kern w:val="0"/>
              </w:rPr>
              <w:instrText xml:space="preserve"> LINK Word.Document.12 "E:\\在做环评项目\\高新区药明康德生物\\石家庄高新技术产业开发区（东区）扩区规划（2010-2020）环境影响报告书\\石家庄高新技术产业开发区（东区）扩区规划（2010-2020）环境影响报告书.doc" "OLE_LINK11" \a \r  \* MERGEFORMAT </w:instrText>
            </w:r>
            <w:r>
              <w:rPr>
                <w:kern w:val="0"/>
              </w:rPr>
              <w:fldChar w:fldCharType="end"/>
            </w:r>
            <w:r>
              <w:rPr>
                <w:kern w:val="0"/>
              </w:rPr>
              <w:fldChar w:fldCharType="begin"/>
            </w:r>
            <w:r>
              <w:rPr>
                <w:kern w:val="0"/>
              </w:rPr>
              <w:instrText xml:space="preserve"> LINK Word.Document.12 "E:\\在做环评项目\\高新区药明康德生物\\石家庄高新技术产业开发区（东区）扩区规划（2010-2020）环境影响报告书\\石家庄高新技术产业开发区（东区）扩区规划（2010-2020）环境影响报告书.doc" "OLE_LINK11" \a \r  \* MERGEFORMAT </w:instrText>
            </w:r>
            <w:r>
              <w:rPr>
                <w:kern w:val="0"/>
              </w:rPr>
              <w:fldChar w:fldCharType="end"/>
            </w:r>
          </w:p>
          <w:p>
            <w:pPr>
              <w:autoSpaceDE w:val="0"/>
              <w:autoSpaceDN w:val="0"/>
              <w:adjustRightInd w:val="0"/>
              <w:snapToGrid w:val="0"/>
              <w:ind w:firstLine="480"/>
              <w:contextualSpacing/>
              <w:jc w:val="left"/>
              <w:rPr>
                <w:kern w:val="0"/>
              </w:rPr>
            </w:pPr>
            <w:r>
              <w:rPr>
                <w:rFonts w:hint="eastAsia" w:ascii="宋体" w:hAnsi="宋体" w:cs="宋体"/>
                <w:kern w:val="0"/>
              </w:rPr>
              <w:t>⑥</w:t>
            </w:r>
            <w:r>
              <w:rPr>
                <w:kern w:val="0"/>
              </w:rPr>
              <w:t>其他高新技术产业</w:t>
            </w:r>
          </w:p>
          <w:p>
            <w:pPr>
              <w:autoSpaceDE w:val="0"/>
              <w:autoSpaceDN w:val="0"/>
              <w:adjustRightInd w:val="0"/>
              <w:snapToGrid w:val="0"/>
              <w:ind w:firstLine="480"/>
              <w:contextualSpacing/>
              <w:jc w:val="left"/>
              <w:rPr>
                <w:kern w:val="0"/>
              </w:rPr>
            </w:pPr>
            <w:r>
              <w:rPr>
                <w:kern w:val="0"/>
              </w:rPr>
              <w:t>对于其它拟入区企业，可在规划的工业区内，适度引入一些无污染或污染较轻的、清洁生产水平达到国内先进水平的、符合国家有关产业政策的高新技术企业。</w:t>
            </w:r>
          </w:p>
          <w:p>
            <w:pPr>
              <w:ind w:left="24" w:leftChars="10" w:right="24" w:rightChars="10" w:firstLine="482"/>
              <w:jc w:val="left"/>
              <w:rPr>
                <w:b/>
              </w:rPr>
            </w:pPr>
            <w:r>
              <w:rPr>
                <w:rFonts w:hint="eastAsia"/>
                <w:b/>
              </w:rPr>
              <w:t>本项目为一级医院项目，属于民生类产业，符合高新区产业发展方向。</w:t>
            </w:r>
          </w:p>
          <w:p>
            <w:pPr>
              <w:ind w:left="24" w:leftChars="10" w:right="24" w:rightChars="10" w:firstLine="480"/>
              <w:jc w:val="left"/>
            </w:pPr>
            <w:r>
              <w:rPr>
                <w:rFonts w:hint="eastAsia"/>
              </w:rPr>
              <w:t>（3）基础设施建设及运行情况</w:t>
            </w:r>
          </w:p>
          <w:p>
            <w:pPr>
              <w:ind w:left="24" w:leftChars="10" w:right="24" w:rightChars="10" w:firstLine="480"/>
              <w:jc w:val="left"/>
            </w:pPr>
            <w:r>
              <w:rPr>
                <w:rFonts w:hint="eastAsia"/>
              </w:rPr>
              <w:t>①供水</w:t>
            </w:r>
          </w:p>
          <w:p>
            <w:pPr>
              <w:autoSpaceDE w:val="0"/>
              <w:autoSpaceDN w:val="0"/>
              <w:adjustRightInd w:val="0"/>
              <w:snapToGrid w:val="0"/>
              <w:ind w:firstLine="480"/>
              <w:contextualSpacing/>
              <w:jc w:val="left"/>
              <w:rPr>
                <w:kern w:val="0"/>
              </w:rPr>
            </w:pPr>
            <w:r>
              <w:rPr>
                <w:rFonts w:hint="eastAsia"/>
                <w:kern w:val="0"/>
              </w:rPr>
              <w:t>根据《石家庄东部产业新城总体规划》，保留现状高新区（东区）地下水厂，规模5万m</w:t>
            </w:r>
            <w:r>
              <w:rPr>
                <w:rFonts w:hint="eastAsia"/>
                <w:kern w:val="0"/>
                <w:vertAlign w:val="superscript"/>
              </w:rPr>
              <w:t>3</w:t>
            </w:r>
            <w:r>
              <w:rPr>
                <w:rFonts w:hint="eastAsia"/>
                <w:kern w:val="0"/>
              </w:rPr>
              <w:t>/d，供水范围为高新区内部，不外供；南水北调来水后，利用南水北调分配水量，规划地表水一厂，规模为30万m</w:t>
            </w:r>
            <w:r>
              <w:rPr>
                <w:rFonts w:hint="eastAsia"/>
                <w:kern w:val="0"/>
                <w:vertAlign w:val="superscript"/>
              </w:rPr>
              <w:t>3</w:t>
            </w:r>
            <w:r>
              <w:rPr>
                <w:rFonts w:hint="eastAsia"/>
                <w:kern w:val="0"/>
              </w:rPr>
              <w:t>/d，水源来自南水北调水，现有地下水厂可作为备用水源进行保留。</w:t>
            </w:r>
          </w:p>
          <w:p>
            <w:pPr>
              <w:autoSpaceDE w:val="0"/>
              <w:autoSpaceDN w:val="0"/>
              <w:adjustRightInd w:val="0"/>
              <w:snapToGrid w:val="0"/>
              <w:ind w:firstLine="480"/>
              <w:contextualSpacing/>
              <w:jc w:val="left"/>
              <w:rPr>
                <w:kern w:val="0"/>
              </w:rPr>
            </w:pPr>
            <w:r>
              <w:rPr>
                <w:rFonts w:hint="eastAsia"/>
                <w:kern w:val="0"/>
              </w:rPr>
              <w:t>根据</w:t>
            </w:r>
            <w:r>
              <w:rPr>
                <w:kern w:val="0"/>
              </w:rPr>
              <w:t>《石家庄高新技术产业开发区（东区）扩区规划（2010-2020）环境影响</w:t>
            </w:r>
            <w:r>
              <w:rPr>
                <w:rFonts w:hint="eastAsia"/>
                <w:kern w:val="0"/>
              </w:rPr>
              <w:t>跟踪评价</w:t>
            </w:r>
            <w:r>
              <w:rPr>
                <w:kern w:val="0"/>
              </w:rPr>
              <w:t>》</w:t>
            </w:r>
            <w:r>
              <w:rPr>
                <w:rFonts w:hint="eastAsia"/>
                <w:kern w:val="0"/>
              </w:rPr>
              <w:t>的内容：高新区（东区）规划</w:t>
            </w:r>
            <w:r>
              <w:rPr>
                <w:kern w:val="0"/>
              </w:rPr>
              <w:t>由地下水、南水北调水、再生水三种水源联合供应。规划水源为地下水和南水北调水，此外规划高新区</w:t>
            </w:r>
            <w:r>
              <w:rPr>
                <w:rFonts w:hint="eastAsia"/>
                <w:kern w:val="0"/>
              </w:rPr>
              <w:t>（东区）</w:t>
            </w:r>
            <w:r>
              <w:rPr>
                <w:kern w:val="0"/>
              </w:rPr>
              <w:t>再生水厂和依托外部规划良村南再生水厂，作为工业、园区杂用水、环境景观等用水。保留现状高新区</w:t>
            </w:r>
            <w:r>
              <w:rPr>
                <w:rFonts w:hint="eastAsia"/>
                <w:kern w:val="0"/>
              </w:rPr>
              <w:t>（东区）</w:t>
            </w:r>
            <w:r>
              <w:rPr>
                <w:kern w:val="0"/>
              </w:rPr>
              <w:t>地下水厂，规模5万立方米/日，供水范围为高新区内部，不外供；南水北调来水后，利用南水北调分配水量，规划地表水一厂，规模为30万立方米/日，水源来自南水北调水，现有地下水厂可作为备用水源进行保留</w:t>
            </w:r>
            <w:r>
              <w:rPr>
                <w:rFonts w:hint="eastAsia"/>
                <w:kern w:val="0"/>
              </w:rPr>
              <w:t>。</w:t>
            </w:r>
          </w:p>
          <w:p>
            <w:pPr>
              <w:autoSpaceDE w:val="0"/>
              <w:autoSpaceDN w:val="0"/>
              <w:adjustRightInd w:val="0"/>
              <w:snapToGrid w:val="0"/>
              <w:ind w:firstLine="480"/>
              <w:contextualSpacing/>
              <w:jc w:val="left"/>
              <w:rPr>
                <w:kern w:val="0"/>
              </w:rPr>
            </w:pPr>
            <w:r>
              <w:rPr>
                <w:rFonts w:hint="eastAsia"/>
                <w:kern w:val="0"/>
              </w:rPr>
              <w:t>目前东三环以西规划区域生活及工业用水由高新区北水厂提供，水源为南水北调地表水。南水北调经石津干渠高新区分水口由提升泵站出水分两路分别输至高新区北水厂和南水厂(拟建)。南水北调提升泵站至北水厂间由一根输水管 DN1400、长度约 120米钢管连接。高新区北水厂于2017年8月投入使用，位于高新区黄河大道188号，设计能力15万m</w:t>
            </w:r>
            <w:r>
              <w:rPr>
                <w:rFonts w:hint="eastAsia"/>
                <w:kern w:val="0"/>
                <w:vertAlign w:val="superscript"/>
              </w:rPr>
              <w:t>3</w:t>
            </w:r>
            <w:r>
              <w:rPr>
                <w:rFonts w:hint="eastAsia"/>
                <w:kern w:val="0"/>
              </w:rPr>
              <w:t>/d，服务范围为东三环以西规划区域城镇生活和工业用水。水质净化采用“絮凝沉淀+超滤膜处理+二氧化氯消毒”处理工艺。排泥池污泥经浓缩脱水后外运填埋处置。2020年～2022年实际供水量分别为2248.37万m</w:t>
            </w:r>
            <w:r>
              <w:rPr>
                <w:rFonts w:hint="eastAsia"/>
                <w:kern w:val="0"/>
                <w:vertAlign w:val="superscript"/>
              </w:rPr>
              <w:t>3</w:t>
            </w:r>
            <w:r>
              <w:rPr>
                <w:rFonts w:hint="eastAsia"/>
                <w:kern w:val="0"/>
              </w:rPr>
              <w:t>/a、2300.25万m</w:t>
            </w:r>
            <w:r>
              <w:rPr>
                <w:rFonts w:hint="eastAsia"/>
                <w:kern w:val="0"/>
                <w:vertAlign w:val="superscript"/>
              </w:rPr>
              <w:t>3</w:t>
            </w:r>
            <w:r>
              <w:rPr>
                <w:rFonts w:hint="eastAsia"/>
                <w:kern w:val="0"/>
              </w:rPr>
              <w:t>/a、2385.49万 m</w:t>
            </w:r>
            <w:r>
              <w:rPr>
                <w:rFonts w:hint="eastAsia"/>
                <w:kern w:val="0"/>
                <w:vertAlign w:val="superscript"/>
              </w:rPr>
              <w:t>3</w:t>
            </w:r>
            <w:r>
              <w:rPr>
                <w:rFonts w:hint="eastAsia"/>
                <w:kern w:val="0"/>
              </w:rPr>
              <w:t>/a。</w:t>
            </w:r>
          </w:p>
          <w:p>
            <w:pPr>
              <w:autoSpaceDE w:val="0"/>
              <w:autoSpaceDN w:val="0"/>
              <w:adjustRightInd w:val="0"/>
              <w:snapToGrid w:val="0"/>
              <w:ind w:firstLine="482"/>
              <w:contextualSpacing/>
              <w:jc w:val="left"/>
              <w:rPr>
                <w:rFonts w:hAnsi="宋体"/>
                <w:b/>
                <w:bCs/>
                <w:spacing w:val="6"/>
              </w:rPr>
            </w:pPr>
            <w:r>
              <w:rPr>
                <w:b/>
                <w:kern w:val="0"/>
              </w:rPr>
              <w:t>本项目用水</w:t>
            </w:r>
            <w:r>
              <w:rPr>
                <w:rFonts w:hint="eastAsia"/>
                <w:b/>
                <w:kern w:val="0"/>
              </w:rPr>
              <w:t>依托市政</w:t>
            </w:r>
            <w:r>
              <w:rPr>
                <w:rFonts w:hint="eastAsia"/>
                <w:b/>
                <w:bCs/>
                <w:kern w:val="0"/>
              </w:rPr>
              <w:t>供水管网提供，可以满足医院正常运行需求，项目所在区域属于高新区北水厂供水范围，</w:t>
            </w:r>
            <w:r>
              <w:rPr>
                <w:rFonts w:hint="eastAsia"/>
                <w:b/>
                <w:kern w:val="0"/>
              </w:rPr>
              <w:t>不取用地下水</w:t>
            </w:r>
            <w:r>
              <w:rPr>
                <w:b/>
                <w:kern w:val="0"/>
              </w:rPr>
              <w:t>。</w:t>
            </w:r>
          </w:p>
          <w:p>
            <w:pPr>
              <w:ind w:left="24" w:leftChars="10" w:right="24" w:rightChars="10" w:firstLine="480"/>
              <w:jc w:val="left"/>
            </w:pPr>
            <w:r>
              <w:rPr>
                <w:rFonts w:hint="eastAsia"/>
              </w:rPr>
              <w:t>②供热</w:t>
            </w:r>
          </w:p>
          <w:p>
            <w:pPr>
              <w:ind w:left="24" w:leftChars="10" w:right="24" w:rightChars="10" w:firstLine="480"/>
              <w:jc w:val="left"/>
            </w:pPr>
            <w:r>
              <w:rPr>
                <w:rFonts w:hint="eastAsia"/>
              </w:rPr>
              <w:t>规划保留高新区永泰热电厂（现更名为国家电投集团石家庄高新热电有限公司），不再扩大规模，主要为现有区域（东起石环东路、西至京珠高速公路、南起珠江大道、北至307国道辅道）供热；新增热负荷主要依托规划在建的大良村热电厂（现石家庄良村热电有限公司热电厂）。</w:t>
            </w:r>
          </w:p>
          <w:p>
            <w:pPr>
              <w:autoSpaceDE w:val="0"/>
              <w:autoSpaceDN w:val="0"/>
              <w:adjustRightInd w:val="0"/>
              <w:snapToGrid w:val="0"/>
              <w:ind w:firstLine="480"/>
              <w:contextualSpacing/>
              <w:jc w:val="left"/>
              <w:rPr>
                <w:kern w:val="0"/>
              </w:rPr>
            </w:pPr>
            <w:r>
              <w:rPr>
                <w:kern w:val="0"/>
              </w:rPr>
              <w:t>目前</w:t>
            </w:r>
            <w:r>
              <w:rPr>
                <w:rFonts w:hint="eastAsia"/>
              </w:rPr>
              <w:t>高新区永泰热电厂已拆除，部分已建成</w:t>
            </w:r>
            <w:r>
              <w:rPr>
                <w:rFonts w:hint="eastAsia"/>
                <w:kern w:val="0"/>
              </w:rPr>
              <w:t>供热管网</w:t>
            </w:r>
            <w:r>
              <w:rPr>
                <w:rFonts w:hint="eastAsia"/>
              </w:rPr>
              <w:t>区域由</w:t>
            </w:r>
            <w:r>
              <w:rPr>
                <w:rFonts w:hint="eastAsia"/>
                <w:kern w:val="0"/>
              </w:rPr>
              <w:t>国融安能供热公司石炼余热低温水提供，其余区域由于未铺设管网，未建设供热站等原因没有集中供热，高新区现状未实现向区内全部供热。</w:t>
            </w:r>
          </w:p>
          <w:p>
            <w:pPr>
              <w:autoSpaceDE w:val="0"/>
              <w:autoSpaceDN w:val="0"/>
              <w:adjustRightInd w:val="0"/>
              <w:snapToGrid w:val="0"/>
              <w:ind w:firstLine="482"/>
              <w:contextualSpacing/>
              <w:jc w:val="left"/>
              <w:rPr>
                <w:b/>
                <w:bCs/>
                <w:kern w:val="0"/>
              </w:rPr>
            </w:pPr>
            <w:r>
              <w:rPr>
                <w:rFonts w:hint="eastAsia"/>
                <w:b/>
                <w:bCs/>
                <w:kern w:val="0"/>
              </w:rPr>
              <w:t>项目冬季供暖由市政集中供暖及空调联合提供，能够满足运行需求。</w:t>
            </w:r>
          </w:p>
          <w:p>
            <w:pPr>
              <w:autoSpaceDE w:val="0"/>
              <w:autoSpaceDN w:val="0"/>
              <w:adjustRightInd w:val="0"/>
              <w:snapToGrid w:val="0"/>
              <w:ind w:firstLine="480"/>
              <w:contextualSpacing/>
              <w:jc w:val="left"/>
              <w:rPr>
                <w:kern w:val="0"/>
              </w:rPr>
            </w:pPr>
            <w:r>
              <w:rPr>
                <w:rFonts w:hint="eastAsia"/>
                <w:kern w:val="0"/>
              </w:rPr>
              <w:t>③污水处理厂</w:t>
            </w:r>
          </w:p>
          <w:p>
            <w:pPr>
              <w:autoSpaceDE w:val="0"/>
              <w:autoSpaceDN w:val="0"/>
              <w:adjustRightInd w:val="0"/>
              <w:snapToGrid w:val="0"/>
              <w:ind w:firstLine="480"/>
              <w:contextualSpacing/>
              <w:jc w:val="left"/>
              <w:rPr>
                <w:kern w:val="0"/>
              </w:rPr>
            </w:pPr>
            <w:r>
              <w:rPr>
                <w:kern w:val="0"/>
              </w:rPr>
              <w:t>石家庄高新技术产业开发区污水处理厂位于高新区泰山街8号，于1996年11月筹建，2000年4月开工建设，2003年6月试运行，2006年11月由河北省环境保护局验收，收水范围为整个高新技术产业开发区。石家庄高新区污水处理厂于2008年开始对现有污水处理厂进行升级改造，升级改造工程于2017年10月26日通过验收，设计污水处理能力10万</w:t>
            </w:r>
            <w:r>
              <w:rPr>
                <w:rFonts w:hint="eastAsia"/>
                <w:kern w:val="0"/>
              </w:rPr>
              <w:t>m</w:t>
            </w:r>
            <w:r>
              <w:rPr>
                <w:rFonts w:hint="eastAsia"/>
                <w:kern w:val="0"/>
                <w:vertAlign w:val="superscript"/>
              </w:rPr>
              <w:t>3</w:t>
            </w:r>
            <w:r>
              <w:rPr>
                <w:kern w:val="0"/>
              </w:rPr>
              <w:t>/d，污水处理厂在原有基础上分成8万吨/日综合废水处理和2万吨/日制药废水处理两部分，8万吨/日综合废水一级A升级改造部分采用倒置A/A/O生物脱氮除磷+MBR膜分离组合工艺进行；2万吨/日制药废水处理工艺采用“原水→混凝沉淀池→两级耦合生化系统→斜板沉淀池→两级臭氧生物炭池→产水”，改造后污水处理厂设计进水水质及出水水质见</w:t>
            </w:r>
            <w:r>
              <w:rPr>
                <w:rFonts w:hint="eastAsia"/>
                <w:kern w:val="0"/>
              </w:rPr>
              <w:t>下</w:t>
            </w:r>
            <w:r>
              <w:rPr>
                <w:kern w:val="0"/>
              </w:rPr>
              <w:t>表，设计出水水质满足</w:t>
            </w:r>
            <w:r>
              <w:rPr>
                <w:rFonts w:hint="eastAsia"/>
                <w:kern w:val="0"/>
              </w:rPr>
              <w:t>《城镇污水处理厂污染物排放标准》（GB18918-2002）一级A标准标准要求，同时满足河北地方标准</w:t>
            </w:r>
            <w:r>
              <w:rPr>
                <w:kern w:val="0"/>
              </w:rPr>
              <w:t>《</w:t>
            </w:r>
            <w:r>
              <w:rPr>
                <w:rFonts w:hint="eastAsia"/>
                <w:kern w:val="0"/>
              </w:rPr>
              <w:t>子牙河流域水</w:t>
            </w:r>
            <w:r>
              <w:rPr>
                <w:kern w:val="0"/>
              </w:rPr>
              <w:t>污染物排放标准》（</w:t>
            </w:r>
            <w:r>
              <w:rPr>
                <w:rFonts w:hint="eastAsia"/>
                <w:kern w:val="0"/>
              </w:rPr>
              <w:t>DB13/2796-2018</w:t>
            </w:r>
            <w:r>
              <w:rPr>
                <w:kern w:val="0"/>
              </w:rPr>
              <w:t>）</w:t>
            </w:r>
            <w:r>
              <w:rPr>
                <w:rFonts w:hint="eastAsia"/>
                <w:kern w:val="0"/>
              </w:rPr>
              <w:t>表1水污染物排放浓度限值</w:t>
            </w:r>
            <w:r>
              <w:rPr>
                <w:kern w:val="0"/>
              </w:rPr>
              <w:t>要求。</w:t>
            </w:r>
          </w:p>
          <w:p>
            <w:pPr>
              <w:autoSpaceDE w:val="0"/>
              <w:autoSpaceDN w:val="0"/>
              <w:adjustRightInd w:val="0"/>
              <w:snapToGrid w:val="0"/>
              <w:spacing w:line="480" w:lineRule="exact"/>
              <w:ind w:firstLine="480"/>
              <w:contextualSpacing/>
              <w:jc w:val="left"/>
              <w:rPr>
                <w:kern w:val="0"/>
              </w:rPr>
            </w:pPr>
            <w:r>
              <w:rPr>
                <w:kern w:val="0"/>
              </w:rPr>
              <w:t>石家庄高新技术产业开发区污水处理厂</w:t>
            </w:r>
            <w:r>
              <w:rPr>
                <w:rFonts w:hint="eastAsia"/>
                <w:kern w:val="0"/>
              </w:rPr>
              <w:t>现状日处理水量6.5万m</w:t>
            </w:r>
            <w:r>
              <w:rPr>
                <w:rFonts w:hint="eastAsia"/>
                <w:kern w:val="0"/>
                <w:vertAlign w:val="superscript"/>
              </w:rPr>
              <w:t>3</w:t>
            </w:r>
            <w:r>
              <w:rPr>
                <w:rFonts w:hint="eastAsia"/>
                <w:kern w:val="0"/>
              </w:rPr>
              <w:t>，</w:t>
            </w:r>
            <w:r>
              <w:rPr>
                <w:kern w:val="0"/>
              </w:rPr>
              <w:t>污水处理厂进、出水水质指标见下表。</w:t>
            </w:r>
          </w:p>
          <w:p>
            <w:pPr>
              <w:pStyle w:val="14"/>
            </w:pPr>
            <w:r>
              <w:t>表</w:t>
            </w:r>
            <w:r>
              <w:rPr>
                <w:rFonts w:hint="eastAsia"/>
              </w:rPr>
              <w:t xml:space="preserve">1 </w:t>
            </w:r>
            <w:r>
              <w:t xml:space="preserve"> 污水处理厂进、出水水质指标</w:t>
            </w:r>
          </w:p>
          <w:tbl>
            <w:tblPr>
              <w:tblStyle w:val="16"/>
              <w:tblW w:w="496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942"/>
              <w:gridCol w:w="2196"/>
              <w:gridCol w:w="2818"/>
              <w:gridCol w:w="27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0" w:hRule="atLeast"/>
                <w:jc w:val="center"/>
              </w:trPr>
              <w:tc>
                <w:tcPr>
                  <w:tcW w:w="541" w:type="pct"/>
                  <w:tcBorders>
                    <w:tl2br w:val="nil"/>
                    <w:tr2bl w:val="nil"/>
                  </w:tcBorders>
                  <w:vAlign w:val="center"/>
                </w:tcPr>
                <w:p>
                  <w:pPr>
                    <w:autoSpaceDE w:val="0"/>
                    <w:autoSpaceDN w:val="0"/>
                    <w:adjustRightInd w:val="0"/>
                    <w:spacing w:line="240" w:lineRule="auto"/>
                    <w:ind w:firstLine="0" w:firstLineChars="0"/>
                    <w:jc w:val="center"/>
                    <w:rPr>
                      <w:kern w:val="0"/>
                      <w:sz w:val="21"/>
                      <w:szCs w:val="21"/>
                    </w:rPr>
                  </w:pPr>
                  <w:r>
                    <w:rPr>
                      <w:kern w:val="0"/>
                      <w:sz w:val="21"/>
                      <w:szCs w:val="21"/>
                    </w:rPr>
                    <w:t>序号</w:t>
                  </w:r>
                </w:p>
              </w:tc>
              <w:tc>
                <w:tcPr>
                  <w:tcW w:w="1262" w:type="pct"/>
                  <w:tcBorders>
                    <w:tl2br w:val="nil"/>
                    <w:tr2bl w:val="nil"/>
                  </w:tcBorders>
                  <w:vAlign w:val="center"/>
                </w:tcPr>
                <w:p>
                  <w:pPr>
                    <w:autoSpaceDE w:val="0"/>
                    <w:autoSpaceDN w:val="0"/>
                    <w:adjustRightInd w:val="0"/>
                    <w:spacing w:line="240" w:lineRule="auto"/>
                    <w:ind w:firstLine="0" w:firstLineChars="0"/>
                    <w:jc w:val="center"/>
                    <w:rPr>
                      <w:kern w:val="0"/>
                      <w:sz w:val="21"/>
                      <w:szCs w:val="21"/>
                    </w:rPr>
                  </w:pPr>
                  <w:r>
                    <w:rPr>
                      <w:kern w:val="0"/>
                      <w:sz w:val="21"/>
                      <w:szCs w:val="21"/>
                    </w:rPr>
                    <w:t>基本控制项目</w:t>
                  </w:r>
                </w:p>
              </w:tc>
              <w:tc>
                <w:tcPr>
                  <w:tcW w:w="1619" w:type="pct"/>
                  <w:tcBorders>
                    <w:tl2br w:val="nil"/>
                    <w:tr2bl w:val="nil"/>
                  </w:tcBorders>
                  <w:vAlign w:val="center"/>
                </w:tcPr>
                <w:p>
                  <w:pPr>
                    <w:autoSpaceDE w:val="0"/>
                    <w:autoSpaceDN w:val="0"/>
                    <w:adjustRightInd w:val="0"/>
                    <w:spacing w:line="240" w:lineRule="auto"/>
                    <w:ind w:firstLine="0" w:firstLineChars="0"/>
                    <w:jc w:val="center"/>
                    <w:rPr>
                      <w:kern w:val="0"/>
                      <w:sz w:val="21"/>
                      <w:szCs w:val="21"/>
                    </w:rPr>
                  </w:pPr>
                  <w:r>
                    <w:rPr>
                      <w:kern w:val="0"/>
                      <w:sz w:val="21"/>
                      <w:szCs w:val="21"/>
                    </w:rPr>
                    <w:t>进水浓度</w:t>
                  </w:r>
                </w:p>
              </w:tc>
              <w:tc>
                <w:tcPr>
                  <w:tcW w:w="1579" w:type="pct"/>
                  <w:tcBorders>
                    <w:tl2br w:val="nil"/>
                    <w:tr2bl w:val="nil"/>
                  </w:tcBorders>
                  <w:vAlign w:val="center"/>
                </w:tcPr>
                <w:p>
                  <w:pPr>
                    <w:autoSpaceDE w:val="0"/>
                    <w:autoSpaceDN w:val="0"/>
                    <w:adjustRightInd w:val="0"/>
                    <w:spacing w:line="240" w:lineRule="auto"/>
                    <w:ind w:firstLine="0" w:firstLineChars="0"/>
                    <w:jc w:val="center"/>
                    <w:rPr>
                      <w:kern w:val="0"/>
                      <w:sz w:val="21"/>
                      <w:szCs w:val="21"/>
                    </w:rPr>
                  </w:pPr>
                  <w:r>
                    <w:rPr>
                      <w:kern w:val="0"/>
                      <w:sz w:val="21"/>
                      <w:szCs w:val="21"/>
                    </w:rPr>
                    <w:t>出水浓度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04" w:hRule="atLeast"/>
                <w:jc w:val="center"/>
              </w:trPr>
              <w:tc>
                <w:tcPr>
                  <w:tcW w:w="541" w:type="pct"/>
                  <w:tcBorders>
                    <w:tl2br w:val="nil"/>
                    <w:tr2bl w:val="nil"/>
                  </w:tcBorders>
                  <w:vAlign w:val="center"/>
                </w:tcPr>
                <w:p>
                  <w:pPr>
                    <w:autoSpaceDE w:val="0"/>
                    <w:autoSpaceDN w:val="0"/>
                    <w:adjustRightInd w:val="0"/>
                    <w:spacing w:line="240" w:lineRule="auto"/>
                    <w:ind w:firstLine="0" w:firstLineChars="0"/>
                    <w:jc w:val="center"/>
                    <w:rPr>
                      <w:kern w:val="0"/>
                      <w:sz w:val="21"/>
                      <w:szCs w:val="21"/>
                    </w:rPr>
                  </w:pPr>
                  <w:r>
                    <w:rPr>
                      <w:kern w:val="0"/>
                      <w:sz w:val="21"/>
                      <w:szCs w:val="21"/>
                    </w:rPr>
                    <w:t>1</w:t>
                  </w:r>
                </w:p>
              </w:tc>
              <w:tc>
                <w:tcPr>
                  <w:tcW w:w="1262" w:type="pct"/>
                  <w:tcBorders>
                    <w:tl2br w:val="nil"/>
                    <w:tr2bl w:val="nil"/>
                  </w:tcBorders>
                  <w:vAlign w:val="center"/>
                </w:tcPr>
                <w:p>
                  <w:pPr>
                    <w:autoSpaceDE w:val="0"/>
                    <w:autoSpaceDN w:val="0"/>
                    <w:adjustRightInd w:val="0"/>
                    <w:spacing w:line="240" w:lineRule="auto"/>
                    <w:ind w:firstLine="0" w:firstLineChars="0"/>
                    <w:jc w:val="center"/>
                    <w:rPr>
                      <w:kern w:val="0"/>
                      <w:sz w:val="21"/>
                      <w:szCs w:val="21"/>
                    </w:rPr>
                  </w:pPr>
                  <w:r>
                    <w:rPr>
                      <w:kern w:val="0"/>
                      <w:sz w:val="21"/>
                      <w:szCs w:val="21"/>
                    </w:rPr>
                    <w:t>CODcr</w:t>
                  </w:r>
                </w:p>
              </w:tc>
              <w:tc>
                <w:tcPr>
                  <w:tcW w:w="1619" w:type="pct"/>
                  <w:tcBorders>
                    <w:tl2br w:val="nil"/>
                    <w:tr2bl w:val="nil"/>
                  </w:tcBorders>
                  <w:vAlign w:val="center"/>
                </w:tcPr>
                <w:p>
                  <w:pPr>
                    <w:autoSpaceDE w:val="0"/>
                    <w:autoSpaceDN w:val="0"/>
                    <w:adjustRightInd w:val="0"/>
                    <w:spacing w:line="240" w:lineRule="auto"/>
                    <w:ind w:firstLine="0" w:firstLineChars="0"/>
                    <w:jc w:val="center"/>
                    <w:rPr>
                      <w:kern w:val="0"/>
                      <w:sz w:val="21"/>
                      <w:szCs w:val="21"/>
                    </w:rPr>
                  </w:pPr>
                  <w:r>
                    <w:rPr>
                      <w:kern w:val="0"/>
                      <w:sz w:val="21"/>
                      <w:szCs w:val="21"/>
                    </w:rPr>
                    <w:t>500mg/L</w:t>
                  </w:r>
                </w:p>
              </w:tc>
              <w:tc>
                <w:tcPr>
                  <w:tcW w:w="1579" w:type="pct"/>
                  <w:tcBorders>
                    <w:tl2br w:val="nil"/>
                    <w:tr2bl w:val="nil"/>
                  </w:tcBorders>
                  <w:vAlign w:val="center"/>
                </w:tcPr>
                <w:p>
                  <w:pPr>
                    <w:autoSpaceDE w:val="0"/>
                    <w:autoSpaceDN w:val="0"/>
                    <w:adjustRightInd w:val="0"/>
                    <w:spacing w:line="240" w:lineRule="auto"/>
                    <w:ind w:firstLine="0" w:firstLineChars="0"/>
                    <w:jc w:val="center"/>
                    <w:rPr>
                      <w:kern w:val="0"/>
                      <w:sz w:val="21"/>
                      <w:szCs w:val="21"/>
                    </w:rPr>
                  </w:pPr>
                  <w:r>
                    <w:rPr>
                      <w:rFonts w:hint="eastAsia"/>
                      <w:kern w:val="0"/>
                      <w:sz w:val="21"/>
                      <w:szCs w:val="21"/>
                    </w:rPr>
                    <w:t>40</w:t>
                  </w:r>
                  <w:r>
                    <w:rPr>
                      <w:kern w:val="0"/>
                      <w:sz w:val="21"/>
                      <w:szCs w:val="21"/>
                    </w:rPr>
                    <w:t>mg/L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0" w:hRule="atLeast"/>
                <w:jc w:val="center"/>
              </w:trPr>
              <w:tc>
                <w:tcPr>
                  <w:tcW w:w="541" w:type="pct"/>
                  <w:tcBorders>
                    <w:tl2br w:val="nil"/>
                    <w:tr2bl w:val="nil"/>
                  </w:tcBorders>
                  <w:vAlign w:val="center"/>
                </w:tcPr>
                <w:p>
                  <w:pPr>
                    <w:autoSpaceDE w:val="0"/>
                    <w:autoSpaceDN w:val="0"/>
                    <w:adjustRightInd w:val="0"/>
                    <w:spacing w:line="240" w:lineRule="auto"/>
                    <w:ind w:firstLine="0" w:firstLineChars="0"/>
                    <w:jc w:val="center"/>
                    <w:rPr>
                      <w:kern w:val="0"/>
                      <w:sz w:val="21"/>
                      <w:szCs w:val="21"/>
                    </w:rPr>
                  </w:pPr>
                  <w:r>
                    <w:rPr>
                      <w:kern w:val="0"/>
                      <w:sz w:val="21"/>
                      <w:szCs w:val="21"/>
                    </w:rPr>
                    <w:t>2</w:t>
                  </w:r>
                </w:p>
              </w:tc>
              <w:tc>
                <w:tcPr>
                  <w:tcW w:w="1262" w:type="pct"/>
                  <w:tcBorders>
                    <w:tl2br w:val="nil"/>
                    <w:tr2bl w:val="nil"/>
                  </w:tcBorders>
                  <w:vAlign w:val="center"/>
                </w:tcPr>
                <w:p>
                  <w:pPr>
                    <w:autoSpaceDE w:val="0"/>
                    <w:autoSpaceDN w:val="0"/>
                    <w:adjustRightInd w:val="0"/>
                    <w:spacing w:line="240" w:lineRule="auto"/>
                    <w:ind w:firstLine="0" w:firstLineChars="0"/>
                    <w:jc w:val="center"/>
                    <w:rPr>
                      <w:kern w:val="0"/>
                      <w:sz w:val="21"/>
                      <w:szCs w:val="21"/>
                    </w:rPr>
                  </w:pPr>
                  <w:r>
                    <w:rPr>
                      <w:kern w:val="0"/>
                      <w:sz w:val="21"/>
                      <w:szCs w:val="21"/>
                    </w:rPr>
                    <w:t>BOD</w:t>
                  </w:r>
                  <w:r>
                    <w:rPr>
                      <w:kern w:val="0"/>
                      <w:sz w:val="21"/>
                      <w:szCs w:val="21"/>
                      <w:vertAlign w:val="subscript"/>
                    </w:rPr>
                    <w:t>5</w:t>
                  </w:r>
                </w:p>
              </w:tc>
              <w:tc>
                <w:tcPr>
                  <w:tcW w:w="1619" w:type="pct"/>
                  <w:tcBorders>
                    <w:tl2br w:val="nil"/>
                    <w:tr2bl w:val="nil"/>
                  </w:tcBorders>
                  <w:vAlign w:val="center"/>
                </w:tcPr>
                <w:p>
                  <w:pPr>
                    <w:autoSpaceDE w:val="0"/>
                    <w:autoSpaceDN w:val="0"/>
                    <w:adjustRightInd w:val="0"/>
                    <w:spacing w:line="240" w:lineRule="auto"/>
                    <w:ind w:firstLine="0" w:firstLineChars="0"/>
                    <w:jc w:val="center"/>
                    <w:rPr>
                      <w:kern w:val="0"/>
                      <w:sz w:val="21"/>
                      <w:szCs w:val="21"/>
                    </w:rPr>
                  </w:pPr>
                  <w:r>
                    <w:rPr>
                      <w:kern w:val="0"/>
                      <w:sz w:val="21"/>
                      <w:szCs w:val="21"/>
                    </w:rPr>
                    <w:t>180mg/L</w:t>
                  </w:r>
                </w:p>
              </w:tc>
              <w:tc>
                <w:tcPr>
                  <w:tcW w:w="1579" w:type="pct"/>
                  <w:tcBorders>
                    <w:tl2br w:val="nil"/>
                    <w:tr2bl w:val="nil"/>
                  </w:tcBorders>
                  <w:vAlign w:val="center"/>
                </w:tcPr>
                <w:p>
                  <w:pPr>
                    <w:autoSpaceDE w:val="0"/>
                    <w:autoSpaceDN w:val="0"/>
                    <w:adjustRightInd w:val="0"/>
                    <w:spacing w:line="240" w:lineRule="auto"/>
                    <w:ind w:firstLine="0" w:firstLineChars="0"/>
                    <w:jc w:val="center"/>
                    <w:rPr>
                      <w:kern w:val="0"/>
                      <w:sz w:val="21"/>
                      <w:szCs w:val="21"/>
                    </w:rPr>
                  </w:pPr>
                  <w:r>
                    <w:rPr>
                      <w:kern w:val="0"/>
                      <w:sz w:val="21"/>
                      <w:szCs w:val="21"/>
                    </w:rPr>
                    <w:t>10mg/L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0" w:hRule="atLeast"/>
                <w:jc w:val="center"/>
              </w:trPr>
              <w:tc>
                <w:tcPr>
                  <w:tcW w:w="541" w:type="pct"/>
                  <w:tcBorders>
                    <w:tl2br w:val="nil"/>
                    <w:tr2bl w:val="nil"/>
                  </w:tcBorders>
                  <w:vAlign w:val="center"/>
                </w:tcPr>
                <w:p>
                  <w:pPr>
                    <w:autoSpaceDE w:val="0"/>
                    <w:autoSpaceDN w:val="0"/>
                    <w:adjustRightInd w:val="0"/>
                    <w:spacing w:line="240" w:lineRule="auto"/>
                    <w:ind w:firstLine="0" w:firstLineChars="0"/>
                    <w:jc w:val="center"/>
                    <w:rPr>
                      <w:kern w:val="0"/>
                      <w:sz w:val="21"/>
                      <w:szCs w:val="21"/>
                    </w:rPr>
                  </w:pPr>
                  <w:r>
                    <w:rPr>
                      <w:kern w:val="0"/>
                      <w:sz w:val="21"/>
                      <w:szCs w:val="21"/>
                    </w:rPr>
                    <w:t>3</w:t>
                  </w:r>
                </w:p>
              </w:tc>
              <w:tc>
                <w:tcPr>
                  <w:tcW w:w="1262" w:type="pct"/>
                  <w:tcBorders>
                    <w:tl2br w:val="nil"/>
                    <w:tr2bl w:val="nil"/>
                  </w:tcBorders>
                  <w:vAlign w:val="center"/>
                </w:tcPr>
                <w:p>
                  <w:pPr>
                    <w:autoSpaceDE w:val="0"/>
                    <w:autoSpaceDN w:val="0"/>
                    <w:adjustRightInd w:val="0"/>
                    <w:spacing w:line="240" w:lineRule="auto"/>
                    <w:ind w:firstLine="0" w:firstLineChars="0"/>
                    <w:jc w:val="center"/>
                    <w:rPr>
                      <w:kern w:val="0"/>
                      <w:sz w:val="21"/>
                      <w:szCs w:val="21"/>
                    </w:rPr>
                  </w:pPr>
                  <w:r>
                    <w:rPr>
                      <w:kern w:val="0"/>
                      <w:sz w:val="21"/>
                      <w:szCs w:val="21"/>
                    </w:rPr>
                    <w:t>氨氮</w:t>
                  </w:r>
                </w:p>
              </w:tc>
              <w:tc>
                <w:tcPr>
                  <w:tcW w:w="1619" w:type="pct"/>
                  <w:tcBorders>
                    <w:tl2br w:val="nil"/>
                    <w:tr2bl w:val="nil"/>
                  </w:tcBorders>
                  <w:vAlign w:val="center"/>
                </w:tcPr>
                <w:p>
                  <w:pPr>
                    <w:autoSpaceDE w:val="0"/>
                    <w:autoSpaceDN w:val="0"/>
                    <w:adjustRightInd w:val="0"/>
                    <w:spacing w:line="240" w:lineRule="auto"/>
                    <w:ind w:firstLine="0" w:firstLineChars="0"/>
                    <w:jc w:val="center"/>
                    <w:rPr>
                      <w:kern w:val="0"/>
                      <w:sz w:val="21"/>
                      <w:szCs w:val="21"/>
                    </w:rPr>
                  </w:pPr>
                  <w:r>
                    <w:rPr>
                      <w:kern w:val="0"/>
                      <w:sz w:val="21"/>
                      <w:szCs w:val="21"/>
                    </w:rPr>
                    <w:t>40m</w:t>
                  </w:r>
                  <w:r>
                    <w:rPr>
                      <w:kern w:val="0"/>
                      <w:sz w:val="21"/>
                      <w:szCs w:val="21"/>
                    </w:rPr>
                    <w:cr/>
                  </w:r>
                  <w:r>
                    <w:rPr>
                      <w:kern w:val="0"/>
                      <w:sz w:val="21"/>
                      <w:szCs w:val="21"/>
                    </w:rPr>
                    <w:t>/L</w:t>
                  </w:r>
                </w:p>
              </w:tc>
              <w:tc>
                <w:tcPr>
                  <w:tcW w:w="1579" w:type="pct"/>
                  <w:tcBorders>
                    <w:tl2br w:val="nil"/>
                    <w:tr2bl w:val="nil"/>
                  </w:tcBorders>
                  <w:vAlign w:val="center"/>
                </w:tcPr>
                <w:p>
                  <w:pPr>
                    <w:autoSpaceDE w:val="0"/>
                    <w:autoSpaceDN w:val="0"/>
                    <w:adjustRightInd w:val="0"/>
                    <w:spacing w:line="240" w:lineRule="auto"/>
                    <w:ind w:firstLine="0" w:firstLineChars="0"/>
                    <w:jc w:val="center"/>
                    <w:rPr>
                      <w:kern w:val="0"/>
                      <w:sz w:val="21"/>
                      <w:szCs w:val="21"/>
                    </w:rPr>
                  </w:pPr>
                  <w:r>
                    <w:rPr>
                      <w:rFonts w:hint="eastAsia"/>
                      <w:kern w:val="0"/>
                      <w:sz w:val="21"/>
                      <w:szCs w:val="21"/>
                    </w:rPr>
                    <w:t>2.0（3.5）</w:t>
                  </w:r>
                  <w:r>
                    <w:rPr>
                      <w:kern w:val="0"/>
                      <w:sz w:val="21"/>
                      <w:szCs w:val="21"/>
                    </w:rPr>
                    <w:t>mg/L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0" w:hRule="atLeast"/>
                <w:jc w:val="center"/>
              </w:trPr>
              <w:tc>
                <w:tcPr>
                  <w:tcW w:w="541" w:type="pct"/>
                  <w:tcBorders>
                    <w:tl2br w:val="nil"/>
                    <w:tr2bl w:val="nil"/>
                  </w:tcBorders>
                  <w:vAlign w:val="center"/>
                </w:tcPr>
                <w:p>
                  <w:pPr>
                    <w:autoSpaceDE w:val="0"/>
                    <w:autoSpaceDN w:val="0"/>
                    <w:adjustRightInd w:val="0"/>
                    <w:spacing w:line="240" w:lineRule="auto"/>
                    <w:ind w:firstLine="0" w:firstLineChars="0"/>
                    <w:jc w:val="center"/>
                    <w:rPr>
                      <w:kern w:val="0"/>
                      <w:sz w:val="21"/>
                      <w:szCs w:val="21"/>
                    </w:rPr>
                  </w:pPr>
                  <w:r>
                    <w:rPr>
                      <w:kern w:val="0"/>
                      <w:sz w:val="21"/>
                      <w:szCs w:val="21"/>
                    </w:rPr>
                    <w:t>4</w:t>
                  </w:r>
                </w:p>
              </w:tc>
              <w:tc>
                <w:tcPr>
                  <w:tcW w:w="1262" w:type="pct"/>
                  <w:tcBorders>
                    <w:tl2br w:val="nil"/>
                    <w:tr2bl w:val="nil"/>
                  </w:tcBorders>
                  <w:vAlign w:val="center"/>
                </w:tcPr>
                <w:p>
                  <w:pPr>
                    <w:autoSpaceDE w:val="0"/>
                    <w:autoSpaceDN w:val="0"/>
                    <w:adjustRightInd w:val="0"/>
                    <w:spacing w:line="240" w:lineRule="auto"/>
                    <w:ind w:firstLine="0" w:firstLineChars="0"/>
                    <w:jc w:val="center"/>
                    <w:rPr>
                      <w:kern w:val="0"/>
                      <w:sz w:val="21"/>
                      <w:szCs w:val="21"/>
                    </w:rPr>
                  </w:pPr>
                  <w:r>
                    <w:rPr>
                      <w:kern w:val="0"/>
                      <w:sz w:val="21"/>
                      <w:szCs w:val="21"/>
                    </w:rPr>
                    <w:t>SS</w:t>
                  </w:r>
                </w:p>
              </w:tc>
              <w:tc>
                <w:tcPr>
                  <w:tcW w:w="1619" w:type="pct"/>
                  <w:tcBorders>
                    <w:tl2br w:val="nil"/>
                    <w:tr2bl w:val="nil"/>
                  </w:tcBorders>
                  <w:vAlign w:val="center"/>
                </w:tcPr>
                <w:p>
                  <w:pPr>
                    <w:autoSpaceDE w:val="0"/>
                    <w:autoSpaceDN w:val="0"/>
                    <w:adjustRightInd w:val="0"/>
                    <w:spacing w:line="240" w:lineRule="auto"/>
                    <w:ind w:firstLine="0" w:firstLineChars="0"/>
                    <w:jc w:val="center"/>
                    <w:rPr>
                      <w:kern w:val="0"/>
                      <w:sz w:val="21"/>
                      <w:szCs w:val="21"/>
                    </w:rPr>
                  </w:pPr>
                  <w:r>
                    <w:rPr>
                      <w:kern w:val="0"/>
                      <w:sz w:val="21"/>
                      <w:szCs w:val="21"/>
                    </w:rPr>
                    <w:t>250mg/L</w:t>
                  </w:r>
                </w:p>
              </w:tc>
              <w:tc>
                <w:tcPr>
                  <w:tcW w:w="1579" w:type="pct"/>
                  <w:tcBorders>
                    <w:tl2br w:val="nil"/>
                    <w:tr2bl w:val="nil"/>
                  </w:tcBorders>
                  <w:vAlign w:val="center"/>
                </w:tcPr>
                <w:p>
                  <w:pPr>
                    <w:autoSpaceDE w:val="0"/>
                    <w:autoSpaceDN w:val="0"/>
                    <w:adjustRightInd w:val="0"/>
                    <w:spacing w:line="240" w:lineRule="auto"/>
                    <w:ind w:firstLine="0" w:firstLineChars="0"/>
                    <w:jc w:val="center"/>
                    <w:rPr>
                      <w:kern w:val="0"/>
                      <w:sz w:val="21"/>
                      <w:szCs w:val="21"/>
                    </w:rPr>
                  </w:pPr>
                  <w:r>
                    <w:rPr>
                      <w:kern w:val="0"/>
                      <w:sz w:val="21"/>
                      <w:szCs w:val="21"/>
                    </w:rPr>
                    <w:t>10mg/L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2" w:hRule="atLeast"/>
                <w:jc w:val="center"/>
              </w:trPr>
              <w:tc>
                <w:tcPr>
                  <w:tcW w:w="541" w:type="pct"/>
                  <w:tcBorders>
                    <w:tl2br w:val="nil"/>
                    <w:tr2bl w:val="nil"/>
                  </w:tcBorders>
                  <w:vAlign w:val="center"/>
                </w:tcPr>
                <w:p>
                  <w:pPr>
                    <w:autoSpaceDE w:val="0"/>
                    <w:autoSpaceDN w:val="0"/>
                    <w:adjustRightInd w:val="0"/>
                    <w:spacing w:line="240" w:lineRule="auto"/>
                    <w:ind w:firstLine="0" w:firstLineChars="0"/>
                    <w:jc w:val="center"/>
                    <w:rPr>
                      <w:kern w:val="0"/>
                      <w:sz w:val="21"/>
                      <w:szCs w:val="21"/>
                    </w:rPr>
                  </w:pPr>
                  <w:r>
                    <w:rPr>
                      <w:kern w:val="0"/>
                      <w:sz w:val="21"/>
                      <w:szCs w:val="21"/>
                    </w:rPr>
                    <w:t>5</w:t>
                  </w:r>
                </w:p>
              </w:tc>
              <w:tc>
                <w:tcPr>
                  <w:tcW w:w="1262" w:type="pct"/>
                  <w:tcBorders>
                    <w:tl2br w:val="nil"/>
                    <w:tr2bl w:val="nil"/>
                  </w:tcBorders>
                  <w:vAlign w:val="center"/>
                </w:tcPr>
                <w:p>
                  <w:pPr>
                    <w:autoSpaceDE w:val="0"/>
                    <w:autoSpaceDN w:val="0"/>
                    <w:adjustRightInd w:val="0"/>
                    <w:spacing w:line="240" w:lineRule="auto"/>
                    <w:ind w:firstLine="0" w:firstLineChars="0"/>
                    <w:jc w:val="center"/>
                    <w:rPr>
                      <w:kern w:val="0"/>
                      <w:sz w:val="21"/>
                      <w:szCs w:val="21"/>
                    </w:rPr>
                  </w:pPr>
                  <w:r>
                    <w:rPr>
                      <w:kern w:val="0"/>
                      <w:sz w:val="21"/>
                      <w:szCs w:val="21"/>
                    </w:rPr>
                    <w:t>总氮</w:t>
                  </w:r>
                </w:p>
              </w:tc>
              <w:tc>
                <w:tcPr>
                  <w:tcW w:w="1619" w:type="pct"/>
                  <w:tcBorders>
                    <w:tl2br w:val="nil"/>
                    <w:tr2bl w:val="nil"/>
                  </w:tcBorders>
                  <w:vAlign w:val="center"/>
                </w:tcPr>
                <w:p>
                  <w:pPr>
                    <w:autoSpaceDE w:val="0"/>
                    <w:autoSpaceDN w:val="0"/>
                    <w:adjustRightInd w:val="0"/>
                    <w:spacing w:line="240" w:lineRule="auto"/>
                    <w:ind w:firstLine="0" w:firstLineChars="0"/>
                    <w:jc w:val="center"/>
                    <w:rPr>
                      <w:kern w:val="0"/>
                      <w:sz w:val="21"/>
                      <w:szCs w:val="21"/>
                    </w:rPr>
                  </w:pPr>
                  <w:r>
                    <w:rPr>
                      <w:kern w:val="0"/>
                      <w:sz w:val="21"/>
                      <w:szCs w:val="21"/>
                    </w:rPr>
                    <w:t>50mg/L</w:t>
                  </w:r>
                </w:p>
              </w:tc>
              <w:tc>
                <w:tcPr>
                  <w:tcW w:w="1579" w:type="pct"/>
                  <w:tcBorders>
                    <w:tl2br w:val="nil"/>
                    <w:tr2bl w:val="nil"/>
                  </w:tcBorders>
                  <w:vAlign w:val="center"/>
                </w:tcPr>
                <w:p>
                  <w:pPr>
                    <w:autoSpaceDE w:val="0"/>
                    <w:autoSpaceDN w:val="0"/>
                    <w:adjustRightInd w:val="0"/>
                    <w:spacing w:line="240" w:lineRule="auto"/>
                    <w:ind w:firstLine="0" w:firstLineChars="0"/>
                    <w:jc w:val="center"/>
                    <w:rPr>
                      <w:kern w:val="0"/>
                      <w:sz w:val="21"/>
                      <w:szCs w:val="21"/>
                    </w:rPr>
                  </w:pPr>
                  <w:r>
                    <w:rPr>
                      <w:kern w:val="0"/>
                      <w:sz w:val="21"/>
                      <w:szCs w:val="21"/>
                    </w:rPr>
                    <w:t>15mg/L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0" w:hRule="atLeast"/>
                <w:jc w:val="center"/>
              </w:trPr>
              <w:tc>
                <w:tcPr>
                  <w:tcW w:w="541" w:type="pct"/>
                  <w:tcBorders>
                    <w:tl2br w:val="nil"/>
                    <w:tr2bl w:val="nil"/>
                  </w:tcBorders>
                  <w:vAlign w:val="center"/>
                </w:tcPr>
                <w:p>
                  <w:pPr>
                    <w:autoSpaceDE w:val="0"/>
                    <w:autoSpaceDN w:val="0"/>
                    <w:adjustRightInd w:val="0"/>
                    <w:spacing w:line="240" w:lineRule="auto"/>
                    <w:ind w:firstLine="0" w:firstLineChars="0"/>
                    <w:jc w:val="center"/>
                    <w:rPr>
                      <w:kern w:val="0"/>
                      <w:sz w:val="21"/>
                      <w:szCs w:val="21"/>
                    </w:rPr>
                  </w:pPr>
                  <w:r>
                    <w:rPr>
                      <w:kern w:val="0"/>
                      <w:sz w:val="21"/>
                      <w:szCs w:val="21"/>
                    </w:rPr>
                    <w:t>6</w:t>
                  </w:r>
                </w:p>
              </w:tc>
              <w:tc>
                <w:tcPr>
                  <w:tcW w:w="1262" w:type="pct"/>
                  <w:tcBorders>
                    <w:tl2br w:val="nil"/>
                    <w:tr2bl w:val="nil"/>
                  </w:tcBorders>
                  <w:vAlign w:val="center"/>
                </w:tcPr>
                <w:p>
                  <w:pPr>
                    <w:autoSpaceDE w:val="0"/>
                    <w:autoSpaceDN w:val="0"/>
                    <w:adjustRightInd w:val="0"/>
                    <w:spacing w:line="240" w:lineRule="auto"/>
                    <w:ind w:firstLine="0" w:firstLineChars="0"/>
                    <w:jc w:val="center"/>
                    <w:rPr>
                      <w:kern w:val="0"/>
                      <w:sz w:val="21"/>
                      <w:szCs w:val="21"/>
                    </w:rPr>
                  </w:pPr>
                  <w:r>
                    <w:rPr>
                      <w:kern w:val="0"/>
                      <w:sz w:val="21"/>
                      <w:szCs w:val="21"/>
                    </w:rPr>
                    <w:t>总磷</w:t>
                  </w:r>
                </w:p>
              </w:tc>
              <w:tc>
                <w:tcPr>
                  <w:tcW w:w="1619" w:type="pct"/>
                  <w:tcBorders>
                    <w:tl2br w:val="nil"/>
                    <w:tr2bl w:val="nil"/>
                  </w:tcBorders>
                  <w:vAlign w:val="center"/>
                </w:tcPr>
                <w:p>
                  <w:pPr>
                    <w:autoSpaceDE w:val="0"/>
                    <w:autoSpaceDN w:val="0"/>
                    <w:adjustRightInd w:val="0"/>
                    <w:spacing w:line="240" w:lineRule="auto"/>
                    <w:ind w:firstLine="0" w:firstLineChars="0"/>
                    <w:jc w:val="center"/>
                    <w:rPr>
                      <w:kern w:val="0"/>
                      <w:sz w:val="21"/>
                      <w:szCs w:val="21"/>
                    </w:rPr>
                  </w:pPr>
                  <w:r>
                    <w:rPr>
                      <w:kern w:val="0"/>
                      <w:sz w:val="21"/>
                      <w:szCs w:val="21"/>
                    </w:rPr>
                    <w:t>4mg/L</w:t>
                  </w:r>
                </w:p>
              </w:tc>
              <w:tc>
                <w:tcPr>
                  <w:tcW w:w="1579" w:type="pct"/>
                  <w:tcBorders>
                    <w:tl2br w:val="nil"/>
                    <w:tr2bl w:val="nil"/>
                  </w:tcBorders>
                  <w:vAlign w:val="center"/>
                </w:tcPr>
                <w:p>
                  <w:pPr>
                    <w:autoSpaceDE w:val="0"/>
                    <w:autoSpaceDN w:val="0"/>
                    <w:adjustRightInd w:val="0"/>
                    <w:spacing w:line="240" w:lineRule="auto"/>
                    <w:ind w:firstLine="0" w:firstLineChars="0"/>
                    <w:jc w:val="center"/>
                    <w:rPr>
                      <w:kern w:val="0"/>
                      <w:sz w:val="21"/>
                      <w:szCs w:val="21"/>
                    </w:rPr>
                  </w:pPr>
                  <w:r>
                    <w:rPr>
                      <w:rFonts w:hint="eastAsia"/>
                      <w:kern w:val="0"/>
                      <w:sz w:val="21"/>
                      <w:szCs w:val="21"/>
                    </w:rPr>
                    <w:t>0.4</w:t>
                  </w:r>
                  <w:r>
                    <w:rPr>
                      <w:kern w:val="0"/>
                      <w:sz w:val="21"/>
                      <w:szCs w:val="21"/>
                    </w:rPr>
                    <w:t>mg/L</w:t>
                  </w:r>
                </w:p>
              </w:tc>
            </w:tr>
          </w:tbl>
          <w:p>
            <w:pPr>
              <w:autoSpaceDE w:val="0"/>
              <w:autoSpaceDN w:val="0"/>
              <w:adjustRightInd w:val="0"/>
              <w:snapToGrid w:val="0"/>
              <w:ind w:firstLine="482"/>
              <w:contextualSpacing/>
              <w:jc w:val="left"/>
              <w:rPr>
                <w:b/>
                <w:bCs/>
                <w:kern w:val="0"/>
              </w:rPr>
            </w:pPr>
            <w:r>
              <w:rPr>
                <w:rFonts w:hint="eastAsia"/>
                <w:b/>
                <w:bCs/>
                <w:kern w:val="0"/>
              </w:rPr>
              <w:t>本项目废水主要有病房患者排放的生活污水、门诊患者排放的生活污水、医务人员排放的生活污水、检验仪器清洗废水、煎药设备清洗废水、空调冷却系统排污水、软水制备系统排污水，检验仪器清洗废水经酸碱中和处理后与其他污水共同经化粪池+一体化污水处理设施处理后，出水满足《医疗机构水污染物排放标准》(GB18466-2005)表2预处理标准和石家庄高新区污水处理厂纳水协议水质标准后，经市政管网排入石家庄高新区污水处理厂进一步处理。</w:t>
            </w:r>
          </w:p>
          <w:p>
            <w:pPr>
              <w:autoSpaceDE w:val="0"/>
              <w:autoSpaceDN w:val="0"/>
              <w:adjustRightInd w:val="0"/>
              <w:snapToGrid w:val="0"/>
              <w:ind w:firstLine="482"/>
              <w:contextualSpacing/>
              <w:jc w:val="left"/>
              <w:rPr>
                <w:b/>
                <w:bCs/>
                <w:kern w:val="0"/>
              </w:rPr>
            </w:pPr>
            <w:r>
              <w:rPr>
                <w:rFonts w:hint="eastAsia"/>
                <w:b/>
                <w:bCs/>
                <w:kern w:val="0"/>
              </w:rPr>
              <w:t>综上所述，本项目位于石家庄高新技术产业开发区（东区）规划范围内；符合高新区产业定位；供水、供电及排水等市政设施能够满足项目需求，项目建设符合高新区总体规划及规划环境影响评价要求。</w:t>
            </w:r>
          </w:p>
          <w:p>
            <w:pPr>
              <w:ind w:left="24" w:leftChars="10" w:right="24" w:rightChars="10" w:firstLine="0" w:firstLineChars="0"/>
              <w:jc w:val="left"/>
              <w:rPr>
                <w:b/>
              </w:rPr>
            </w:pPr>
            <w:r>
              <w:rPr>
                <w:rFonts w:hint="eastAsia"/>
                <w:b/>
              </w:rPr>
              <w:t>2、规划环评结论及审查意见符合性分析</w:t>
            </w:r>
          </w:p>
          <w:p>
            <w:pPr>
              <w:autoSpaceDE w:val="0"/>
              <w:autoSpaceDN w:val="0"/>
              <w:adjustRightInd w:val="0"/>
              <w:snapToGrid w:val="0"/>
              <w:ind w:firstLine="480"/>
              <w:contextualSpacing/>
              <w:jc w:val="left"/>
              <w:rPr>
                <w:kern w:val="0"/>
              </w:rPr>
            </w:pPr>
            <w:r>
              <w:rPr>
                <w:rFonts w:hint="eastAsia"/>
                <w:kern w:val="0"/>
              </w:rPr>
              <w:t>（1）规划环评审查意见要求符合性分析</w:t>
            </w:r>
          </w:p>
          <w:p>
            <w:pPr>
              <w:autoSpaceDE w:val="0"/>
              <w:autoSpaceDN w:val="0"/>
              <w:adjustRightInd w:val="0"/>
              <w:snapToGrid w:val="0"/>
              <w:ind w:firstLine="480"/>
              <w:contextualSpacing/>
              <w:jc w:val="left"/>
              <w:rPr>
                <w:kern w:val="0"/>
              </w:rPr>
            </w:pPr>
            <w:r>
              <w:rPr>
                <w:rFonts w:hint="eastAsia"/>
                <w:kern w:val="0"/>
              </w:rPr>
              <w:t>根据《石家庄高新技术产业开发区（东区）扩区规划（2010-2020 年）环境影响报告书》及《关于石家庄高新技术产业开发区（东区）扩区规划（2010-2020）环境影响报告书审查意见的函》（冀环评函[2011]127号），本项目建设与该审查意见的符合性分析如下：</w:t>
            </w:r>
          </w:p>
          <w:p>
            <w:pPr>
              <w:autoSpaceDE w:val="0"/>
              <w:autoSpaceDN w:val="0"/>
              <w:adjustRightInd w:val="0"/>
              <w:snapToGrid w:val="0"/>
              <w:ind w:firstLine="480"/>
              <w:contextualSpacing/>
              <w:jc w:val="left"/>
              <w:rPr>
                <w:kern w:val="0"/>
              </w:rPr>
            </w:pPr>
            <w:r>
              <w:rPr>
                <w:rFonts w:hint="eastAsia"/>
                <w:kern w:val="0"/>
              </w:rPr>
              <w:t>①审查意见要求：规划重点发展高端医药产业、信息网络产业、精密装备制造产业和科技服务产业，适度引入其它类高新技术企业，原则上不再新建服装纺织产业。</w:t>
            </w:r>
          </w:p>
          <w:p>
            <w:pPr>
              <w:autoSpaceDE w:val="0"/>
              <w:autoSpaceDN w:val="0"/>
              <w:adjustRightInd w:val="0"/>
              <w:snapToGrid w:val="0"/>
              <w:ind w:firstLine="482"/>
              <w:contextualSpacing/>
              <w:jc w:val="left"/>
              <w:rPr>
                <w:b/>
                <w:kern w:val="0"/>
              </w:rPr>
            </w:pPr>
            <w:r>
              <w:rPr>
                <w:rFonts w:hint="eastAsia"/>
                <w:b/>
                <w:kern w:val="0"/>
              </w:rPr>
              <w:t>本项目为一级医院建设项目，属于民生行业，符合审查意见要求。</w:t>
            </w:r>
          </w:p>
          <w:p>
            <w:pPr>
              <w:autoSpaceDE w:val="0"/>
              <w:autoSpaceDN w:val="0"/>
              <w:adjustRightInd w:val="0"/>
              <w:snapToGrid w:val="0"/>
              <w:ind w:firstLine="480"/>
              <w:contextualSpacing/>
              <w:jc w:val="left"/>
              <w:rPr>
                <w:kern w:val="0"/>
              </w:rPr>
            </w:pPr>
            <w:r>
              <w:rPr>
                <w:rFonts w:hint="eastAsia"/>
                <w:kern w:val="0"/>
              </w:rPr>
              <w:t>②审查意见要求：工业区边界与周围环境敏感点应按照相关要求设置卫生防护距离和绿化带，卫生防护距离内不得建设永久性居民住宅和其他环境敏感点。</w:t>
            </w:r>
          </w:p>
          <w:p>
            <w:pPr>
              <w:autoSpaceDE w:val="0"/>
              <w:autoSpaceDN w:val="0"/>
              <w:adjustRightInd w:val="0"/>
              <w:snapToGrid w:val="0"/>
              <w:ind w:firstLine="482"/>
              <w:contextualSpacing/>
              <w:jc w:val="left"/>
              <w:rPr>
                <w:b/>
                <w:kern w:val="0"/>
              </w:rPr>
            </w:pPr>
            <w:r>
              <w:rPr>
                <w:rFonts w:hint="eastAsia"/>
                <w:b/>
                <w:kern w:val="0"/>
              </w:rPr>
              <w:t>本项目位于石家庄高新技术产业开发区学苑路30号副6号傲湖小区1号商业楼，不属于工业区边界。</w:t>
            </w:r>
          </w:p>
          <w:p>
            <w:pPr>
              <w:autoSpaceDE w:val="0"/>
              <w:autoSpaceDN w:val="0"/>
              <w:adjustRightInd w:val="0"/>
              <w:snapToGrid w:val="0"/>
              <w:ind w:firstLine="480"/>
              <w:contextualSpacing/>
              <w:jc w:val="left"/>
              <w:rPr>
                <w:kern w:val="0"/>
              </w:rPr>
            </w:pPr>
            <w:r>
              <w:rPr>
                <w:rFonts w:hint="eastAsia"/>
                <w:kern w:val="0"/>
              </w:rPr>
              <w:t>③审查意见要求：严格执行《基本农田保护条例》规定，按土地管理部门要求，合理调整土地使用规划，确保项目占地符合国家相关要求。</w:t>
            </w:r>
          </w:p>
          <w:p>
            <w:pPr>
              <w:autoSpaceDE w:val="0"/>
              <w:autoSpaceDN w:val="0"/>
              <w:adjustRightInd w:val="0"/>
              <w:snapToGrid w:val="0"/>
              <w:ind w:firstLine="482"/>
              <w:contextualSpacing/>
              <w:jc w:val="left"/>
              <w:rPr>
                <w:kern w:val="0"/>
              </w:rPr>
            </w:pPr>
            <w:r>
              <w:rPr>
                <w:rFonts w:hint="eastAsia"/>
                <w:b/>
                <w:kern w:val="0"/>
              </w:rPr>
              <w:t>本项目租用学苑路30号副6号傲湖小区1号商业楼，为现有商业建筑，不新增占地，符合审查意见要求。</w:t>
            </w:r>
          </w:p>
          <w:p>
            <w:pPr>
              <w:autoSpaceDE w:val="0"/>
              <w:autoSpaceDN w:val="0"/>
              <w:adjustRightInd w:val="0"/>
              <w:snapToGrid w:val="0"/>
              <w:ind w:firstLine="480"/>
              <w:contextualSpacing/>
              <w:jc w:val="left"/>
              <w:rPr>
                <w:kern w:val="0"/>
              </w:rPr>
            </w:pPr>
            <w:r>
              <w:rPr>
                <w:rFonts w:hint="eastAsia"/>
                <w:kern w:val="0"/>
              </w:rPr>
              <w:t>④审查意见要求：统筹规划并优先建设开发区（东区）扩区配套的供水、供气、道路、污水处理及中水回用等设施。规划保留高新区永泰热电厂，为现有区域供热。扩区新增区域供热依托大良村热电厂，2011年实现集中供热后，扩区各企业分散锅炉须拆除，不得自建锅炉。2014年南水北调实施后，利用南水北调供水。规划现有区域废水排入高新区污水处理厂，扩区新增区域产生的废水排入大良村南污水处理厂。</w:t>
            </w:r>
          </w:p>
          <w:p>
            <w:pPr>
              <w:autoSpaceDE w:val="0"/>
              <w:autoSpaceDN w:val="0"/>
              <w:adjustRightInd w:val="0"/>
              <w:snapToGrid w:val="0"/>
              <w:ind w:firstLine="482"/>
              <w:contextualSpacing/>
              <w:jc w:val="left"/>
              <w:rPr>
                <w:b/>
                <w:kern w:val="0"/>
              </w:rPr>
            </w:pPr>
            <w:r>
              <w:rPr>
                <w:rFonts w:hint="eastAsia"/>
                <w:b/>
                <w:kern w:val="0"/>
              </w:rPr>
              <w:t>本项目使用自来水依托现有供水管网，由高新区市政给水管网提供，能够满足生产生活需要。高新区污水处理厂处理规模为10万m</w:t>
            </w:r>
            <w:r>
              <w:rPr>
                <w:rFonts w:hint="eastAsia"/>
                <w:b/>
                <w:kern w:val="0"/>
                <w:vertAlign w:val="superscript"/>
              </w:rPr>
              <w:t>3</w:t>
            </w:r>
            <w:r>
              <w:rPr>
                <w:rFonts w:hint="eastAsia"/>
                <w:b/>
                <w:kern w:val="0"/>
              </w:rPr>
              <w:t>/d，实际处理水量约8.0万m</w:t>
            </w:r>
            <w:r>
              <w:rPr>
                <w:rFonts w:hint="eastAsia"/>
                <w:b/>
                <w:kern w:val="0"/>
                <w:vertAlign w:val="superscript"/>
              </w:rPr>
              <w:t>3</w:t>
            </w:r>
            <w:r>
              <w:rPr>
                <w:rFonts w:hint="eastAsia"/>
                <w:b/>
                <w:kern w:val="0"/>
              </w:rPr>
              <w:t>/d，尚有一定的余量，可以满足本项目排水需求。项目冬季采暖由市政供暖和空调联合提供</w:t>
            </w:r>
            <w:r>
              <w:rPr>
                <w:rFonts w:hint="eastAsia"/>
                <w:b/>
                <w:bCs/>
                <w:kern w:val="0"/>
                <w:lang w:bidi="ar"/>
              </w:rPr>
              <w:t>，符合规划要求</w:t>
            </w:r>
            <w:r>
              <w:rPr>
                <w:rFonts w:hint="eastAsia"/>
                <w:b/>
                <w:kern w:val="0"/>
              </w:rPr>
              <w:t>。</w:t>
            </w:r>
          </w:p>
          <w:p>
            <w:pPr>
              <w:autoSpaceDE w:val="0"/>
              <w:autoSpaceDN w:val="0"/>
              <w:adjustRightInd w:val="0"/>
              <w:snapToGrid w:val="0"/>
              <w:ind w:firstLine="482"/>
              <w:contextualSpacing/>
              <w:jc w:val="left"/>
              <w:rPr>
                <w:b/>
                <w:kern w:val="0"/>
              </w:rPr>
            </w:pPr>
            <w:r>
              <w:rPr>
                <w:rFonts w:hint="eastAsia"/>
                <w:b/>
                <w:kern w:val="0"/>
              </w:rPr>
              <w:t>综上所述，本项目符合开发区规划环评结论及审查意见要求。</w:t>
            </w:r>
          </w:p>
          <w:p>
            <w:pPr>
              <w:autoSpaceDE w:val="0"/>
              <w:autoSpaceDN w:val="0"/>
              <w:adjustRightInd w:val="0"/>
              <w:snapToGrid w:val="0"/>
              <w:ind w:firstLine="480"/>
              <w:contextualSpacing/>
              <w:jc w:val="left"/>
              <w:rPr>
                <w:kern w:val="0"/>
              </w:rPr>
            </w:pPr>
            <w:r>
              <w:rPr>
                <w:rFonts w:hint="eastAsia"/>
                <w:kern w:val="0"/>
              </w:rPr>
              <w:t>（2）环境影响跟踪评价结论及环境影响跟踪评价结论的函符合性分析</w:t>
            </w:r>
          </w:p>
          <w:p>
            <w:pPr>
              <w:autoSpaceDE w:val="0"/>
              <w:autoSpaceDN w:val="0"/>
              <w:adjustRightInd w:val="0"/>
              <w:snapToGrid w:val="0"/>
              <w:ind w:firstLine="480"/>
              <w:contextualSpacing/>
              <w:jc w:val="left"/>
              <w:rPr>
                <w:kern w:val="0"/>
              </w:rPr>
            </w:pPr>
            <w:r>
              <w:rPr>
                <w:rFonts w:hint="eastAsia"/>
                <w:kern w:val="0"/>
              </w:rPr>
              <w:t>根据《石家庄高新技术产业开发区（东区）扩区规划（2010-2020 年）环境影响跟踪评价》及《关于转送石家庄高新技术产业开发区（东区）扩区规划环境影响跟踪评价结论的函》（冀环环评函[2020]1号）中要求进行对比符合性分析：</w:t>
            </w:r>
          </w:p>
          <w:p>
            <w:pPr>
              <w:autoSpaceDE w:val="0"/>
              <w:autoSpaceDN w:val="0"/>
              <w:adjustRightInd w:val="0"/>
              <w:snapToGrid w:val="0"/>
              <w:ind w:firstLine="480"/>
              <w:contextualSpacing/>
              <w:jc w:val="left"/>
              <w:rPr>
                <w:kern w:val="0"/>
              </w:rPr>
            </w:pPr>
            <w:r>
              <w:rPr>
                <w:rFonts w:hint="eastAsia"/>
                <w:kern w:val="0"/>
              </w:rPr>
              <w:t>①加强现有企业环境管理水平。跟踪评价结果表明开发区（东区）所在区域环境空气 PM</w:t>
            </w:r>
            <w:r>
              <w:rPr>
                <w:rFonts w:hint="eastAsia"/>
                <w:kern w:val="0"/>
                <w:vertAlign w:val="subscript"/>
              </w:rPr>
              <w:t>10</w:t>
            </w:r>
            <w:r>
              <w:rPr>
                <w:rFonts w:hint="eastAsia"/>
                <w:kern w:val="0"/>
              </w:rPr>
              <w:t>、PM</w:t>
            </w:r>
            <w:r>
              <w:rPr>
                <w:rFonts w:hint="eastAsia"/>
                <w:kern w:val="0"/>
                <w:vertAlign w:val="subscript"/>
              </w:rPr>
              <w:t>2.5</w:t>
            </w:r>
            <w:r>
              <w:rPr>
                <w:rFonts w:hint="eastAsia"/>
                <w:kern w:val="0"/>
              </w:rPr>
              <w:t>、NO</w:t>
            </w:r>
            <w:r>
              <w:rPr>
                <w:rFonts w:hint="eastAsia"/>
                <w:kern w:val="0"/>
                <w:vertAlign w:val="subscript"/>
              </w:rPr>
              <w:t>2</w:t>
            </w:r>
            <w:r>
              <w:rPr>
                <w:rFonts w:hint="eastAsia"/>
                <w:kern w:val="0"/>
              </w:rPr>
              <w:t>年均浓度不满足环境空气质量二级标准要求，开发区管委会应针对现有问题制定切实可行的整改方案，加强对现有企业的环境监管力度，在污染源稳定达标排放的基础上，减少污染物排放总量，确保区域环境质量改善。</w:t>
            </w:r>
          </w:p>
          <w:p>
            <w:pPr>
              <w:autoSpaceDE w:val="0"/>
              <w:autoSpaceDN w:val="0"/>
              <w:adjustRightInd w:val="0"/>
              <w:snapToGrid w:val="0"/>
              <w:ind w:firstLine="482"/>
              <w:contextualSpacing/>
              <w:jc w:val="left"/>
              <w:rPr>
                <w:kern w:val="0"/>
              </w:rPr>
            </w:pPr>
            <w:r>
              <w:rPr>
                <w:rFonts w:hint="eastAsia"/>
                <w:b/>
                <w:kern w:val="0"/>
              </w:rPr>
              <w:t>本项目废气主要为煎药室煎煮中药产生的异味及污水处理过程产生的恶臭，在废气产生节点设置废气收集装置，收集的废气经两级活性炭吸附装置处理后排放，有效地减少了污染物排放，对区域大气环境无明显的影响。医院内制定有完善的环境管理制度，设置有专门的环境管理人员，环境管理水平较高。</w:t>
            </w:r>
          </w:p>
          <w:p>
            <w:pPr>
              <w:autoSpaceDE w:val="0"/>
              <w:autoSpaceDN w:val="0"/>
              <w:adjustRightInd w:val="0"/>
              <w:snapToGrid w:val="0"/>
              <w:ind w:firstLine="480"/>
              <w:contextualSpacing/>
              <w:jc w:val="left"/>
              <w:rPr>
                <w:kern w:val="0"/>
              </w:rPr>
            </w:pPr>
            <w:r>
              <w:rPr>
                <w:rFonts w:hint="eastAsia"/>
                <w:kern w:val="0"/>
              </w:rPr>
              <w:t>②加快基础设施建设进度。开发区（东区）应于2020年完成地表水源置换管网建设工程，在实现地表水集中供给前，不得增加地下水开采量，不得建设新增工业用水项目；应按要求完成现有自备锅炉燃气改造或超低排放改造，2020年前实现集中供热，之前不得建设新增用热项目；再生水处理设施及中水管网应于2020年建设完成，投运前不得建设以中水为水源的项目。</w:t>
            </w:r>
          </w:p>
          <w:p>
            <w:pPr>
              <w:autoSpaceDE w:val="0"/>
              <w:autoSpaceDN w:val="0"/>
              <w:adjustRightInd w:val="0"/>
              <w:snapToGrid w:val="0"/>
              <w:ind w:firstLine="482"/>
              <w:contextualSpacing/>
              <w:jc w:val="left"/>
              <w:rPr>
                <w:b/>
                <w:kern w:val="0"/>
              </w:rPr>
            </w:pPr>
            <w:r>
              <w:rPr>
                <w:rFonts w:hint="eastAsia"/>
                <w:b/>
                <w:kern w:val="0"/>
              </w:rPr>
              <w:t>项目用水由开发区供水管网供给；冬季采暖采用集中供热及空调联合提供。项目产生的污水经化粪池+污水处理系统处理，达标后排入石家庄高新区污水处理厂进一步处理。开发区基础设施满足项目建设需求。</w:t>
            </w:r>
          </w:p>
          <w:p>
            <w:pPr>
              <w:autoSpaceDE w:val="0"/>
              <w:autoSpaceDN w:val="0"/>
              <w:adjustRightInd w:val="0"/>
              <w:snapToGrid w:val="0"/>
              <w:ind w:firstLine="480"/>
              <w:contextualSpacing/>
              <w:jc w:val="left"/>
              <w:rPr>
                <w:kern w:val="0"/>
              </w:rPr>
            </w:pPr>
            <w:r>
              <w:rPr>
                <w:rFonts w:hint="eastAsia"/>
                <w:kern w:val="0"/>
              </w:rPr>
              <w:t>③严格落实环境跟踪监测要求。有序推进村庄搬迁安置工作。开发区应严格落实环境跟踪监测相关要求，确保大气、水、土壤等实现定期监测。根据开发区建设情况以及搬迁安置方案，有序推进村庄搬迁安置工作，确保社会稳定和开发区高质量发展。</w:t>
            </w:r>
          </w:p>
          <w:p>
            <w:pPr>
              <w:autoSpaceDE w:val="0"/>
              <w:autoSpaceDN w:val="0"/>
              <w:adjustRightInd w:val="0"/>
              <w:snapToGrid w:val="0"/>
              <w:ind w:firstLine="482"/>
              <w:contextualSpacing/>
              <w:jc w:val="left"/>
              <w:rPr>
                <w:b/>
                <w:kern w:val="0"/>
              </w:rPr>
            </w:pPr>
            <w:r>
              <w:rPr>
                <w:rFonts w:hint="eastAsia"/>
                <w:b/>
                <w:kern w:val="0"/>
              </w:rPr>
              <w:t>本项目将根据排污许可证申请与核发技术规范及排污单位自行监测技术指南，制定完善的自行监测方案，并按方案认真落实。</w:t>
            </w:r>
          </w:p>
          <w:p>
            <w:pPr>
              <w:autoSpaceDE w:val="0"/>
              <w:autoSpaceDN w:val="0"/>
              <w:adjustRightInd w:val="0"/>
              <w:snapToGrid w:val="0"/>
              <w:ind w:firstLine="482"/>
              <w:contextualSpacing/>
              <w:jc w:val="left"/>
              <w:rPr>
                <w:b/>
                <w:kern w:val="0"/>
              </w:rPr>
            </w:pPr>
            <w:r>
              <w:rPr>
                <w:rFonts w:hint="eastAsia"/>
                <w:b/>
                <w:kern w:val="0"/>
              </w:rPr>
              <w:t>综上所述，本项目符合环境影响跟踪评价结论及环境影响跟踪评价结论的函的要求。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344" w:type="pct"/>
            <w:vAlign w:val="center"/>
          </w:tcPr>
          <w:p>
            <w:pPr>
              <w:spacing w:line="240" w:lineRule="auto"/>
              <w:ind w:right="46" w:rightChars="19" w:firstLine="0" w:firstLineChars="0"/>
              <w:jc w:val="center"/>
            </w:pPr>
            <w:r>
              <w:rPr>
                <w:rFonts w:hint="eastAsia"/>
              </w:rPr>
              <w:t>其他符合性分析</w:t>
            </w:r>
          </w:p>
        </w:tc>
        <w:tc>
          <w:tcPr>
            <w:tcW w:w="4656" w:type="pct"/>
            <w:gridSpan w:val="4"/>
            <w:vAlign w:val="center"/>
          </w:tcPr>
          <w:p>
            <w:pPr>
              <w:ind w:left="24" w:leftChars="10" w:right="24" w:rightChars="10" w:firstLine="0" w:firstLineChars="0"/>
              <w:jc w:val="left"/>
              <w:rPr>
                <w:b/>
              </w:rPr>
            </w:pPr>
            <w:r>
              <w:rPr>
                <w:b/>
              </w:rPr>
              <w:t>1、产业政策符合性分析</w:t>
            </w:r>
          </w:p>
          <w:p>
            <w:pPr>
              <w:ind w:left="24" w:leftChars="10" w:right="24" w:rightChars="10" w:firstLine="480"/>
              <w:jc w:val="left"/>
            </w:pPr>
            <w:r>
              <w:t>本项目</w:t>
            </w:r>
            <w:r>
              <w:rPr>
                <w:rFonts w:hint="eastAsia"/>
              </w:rPr>
              <w:t>属于</w:t>
            </w:r>
            <w:r>
              <w:t>《产业结构调整指导目录（</w:t>
            </w:r>
            <w:r>
              <w:rPr>
                <w:rFonts w:hint="eastAsia"/>
              </w:rPr>
              <w:t>2024</w:t>
            </w:r>
            <w:r>
              <w:t>年本）》</w:t>
            </w:r>
            <w:r>
              <w:rPr>
                <w:rFonts w:hint="eastAsia"/>
              </w:rPr>
              <w:t>中“三十七、卫生健康--1、医疗卫生服务设施建设”，为鼓励类中项目，符合国家产业政策。</w:t>
            </w:r>
          </w:p>
          <w:p>
            <w:pPr>
              <w:ind w:left="24" w:leftChars="10" w:right="24" w:rightChars="10" w:firstLine="480"/>
              <w:jc w:val="left"/>
            </w:pPr>
            <w:r>
              <w:t>对照国家发展改革委、商务部关于印发《市场准入负面清单（2022年版）》的通知</w:t>
            </w:r>
            <w:r>
              <w:rPr>
                <w:rFonts w:hint="eastAsia"/>
              </w:rPr>
              <w:t>（</w:t>
            </w:r>
            <w:r>
              <w:t>发改体改规【2022】397号</w:t>
            </w:r>
            <w:r>
              <w:rPr>
                <w:rFonts w:hint="eastAsia"/>
              </w:rPr>
              <w:t>）</w:t>
            </w:r>
            <w:r>
              <w:t>，本项目不属于禁止类项目，</w:t>
            </w:r>
            <w:r>
              <w:rPr>
                <w:rFonts w:hint="eastAsia"/>
              </w:rPr>
              <w:t>符合市场准入要求</w:t>
            </w:r>
            <w:r>
              <w:t>。</w:t>
            </w:r>
          </w:p>
          <w:p>
            <w:pPr>
              <w:ind w:left="24" w:leftChars="10" w:right="24" w:rightChars="10" w:firstLine="480"/>
              <w:jc w:val="left"/>
            </w:pPr>
            <w:r>
              <w:rPr>
                <w:rFonts w:hint="eastAsia"/>
              </w:rPr>
              <w:t>本项目于</w:t>
            </w:r>
            <w:r>
              <w:t>202</w:t>
            </w:r>
            <w:r>
              <w:rPr>
                <w:rFonts w:hint="eastAsia"/>
              </w:rPr>
              <w:t>4</w:t>
            </w:r>
            <w:r>
              <w:t>年</w:t>
            </w:r>
            <w:r>
              <w:rPr>
                <w:rFonts w:hint="eastAsia"/>
              </w:rPr>
              <w:t>12</w:t>
            </w:r>
            <w:r>
              <w:t>月</w:t>
            </w:r>
            <w:r>
              <w:rPr>
                <w:rFonts w:hint="eastAsia"/>
              </w:rPr>
              <w:t>20</w:t>
            </w:r>
            <w:r>
              <w:t>日</w:t>
            </w:r>
            <w:r>
              <w:rPr>
                <w:rFonts w:hint="eastAsia"/>
              </w:rPr>
              <w:t>通过了石家庄高新区行政审批局企业投资项目备案，备案编号：石高行审投资备字〔2024〕224号。</w:t>
            </w:r>
          </w:p>
          <w:p>
            <w:pPr>
              <w:ind w:left="24" w:leftChars="10" w:right="24" w:rightChars="10" w:firstLine="480"/>
              <w:jc w:val="left"/>
            </w:pPr>
            <w:r>
              <w:t>综上本项目符合国家及地方产业政策。</w:t>
            </w:r>
          </w:p>
          <w:p>
            <w:pPr>
              <w:ind w:left="24" w:leftChars="10" w:right="24" w:rightChars="10" w:firstLine="0" w:firstLineChars="0"/>
              <w:jc w:val="left"/>
              <w:rPr>
                <w:b/>
              </w:rPr>
            </w:pPr>
            <w:r>
              <w:rPr>
                <w:rFonts w:hint="eastAsia"/>
                <w:b/>
              </w:rPr>
              <w:t>2</w:t>
            </w:r>
            <w:r>
              <w:rPr>
                <w:b/>
              </w:rPr>
              <w:t>、选址符合性分析</w:t>
            </w:r>
          </w:p>
          <w:p>
            <w:pPr>
              <w:ind w:left="24" w:leftChars="10" w:right="24" w:rightChars="10" w:firstLine="480"/>
              <w:rPr>
                <w:kern w:val="0"/>
              </w:rPr>
            </w:pPr>
            <w:r>
              <w:rPr>
                <w:rFonts w:hint="eastAsia"/>
              </w:rPr>
              <w:t>根据石家庄高新技术产业开发区产业引导图，本项目位于高新区产业集聚区内，符合园区产业布局要求。根据石家庄高新技术产业开发区（东区）扩区规划，开发区重点发展高端医药产业、信息网络产业、精密装备制造产业和科技服务产业，本项目属于民生行业，不违背高新区产业发展方向。</w:t>
            </w:r>
          </w:p>
          <w:p>
            <w:pPr>
              <w:ind w:left="24" w:leftChars="10" w:right="24" w:rightChars="10" w:firstLine="480"/>
            </w:pPr>
            <w:r>
              <w:rPr>
                <w:rFonts w:hint="eastAsia"/>
              </w:rPr>
              <w:t>本目厂址附近无国家公园、自然保护区、风景名胜区、世界文化和自然遗产地、海洋特别保护区、饮用水水源保护区、生态保护红线管控范围等环境敏感区，所在地交通较为便利，电力、通讯等基础设施配套状况良好。项目最近敏感点为东侧10m的傲湖小区，对其影响较小。项目产生的废气、废水和固废均得到合理处置，项目建成后不会对周围环境产生明显影响。</w:t>
            </w:r>
          </w:p>
          <w:p>
            <w:pPr>
              <w:ind w:left="24" w:leftChars="10" w:right="24" w:rightChars="10" w:firstLine="480"/>
            </w:pPr>
            <w:r>
              <w:t>因此，本项目的选址可行。</w:t>
            </w:r>
          </w:p>
          <w:p>
            <w:pPr>
              <w:ind w:left="24" w:leftChars="10" w:right="24" w:rightChars="10" w:firstLine="480"/>
            </w:pPr>
          </w:p>
          <w:p>
            <w:pPr>
              <w:ind w:left="24" w:leftChars="10" w:right="24" w:rightChars="10" w:firstLine="0" w:firstLineChars="0"/>
              <w:jc w:val="left"/>
              <w:rPr>
                <w:b/>
              </w:rPr>
            </w:pPr>
            <w:r>
              <w:rPr>
                <w:rFonts w:hint="eastAsia"/>
                <w:b/>
              </w:rPr>
              <w:t>3</w:t>
            </w:r>
            <w:r>
              <w:rPr>
                <w:b/>
              </w:rPr>
              <w:t>、“三线一单”符合性分析</w:t>
            </w:r>
          </w:p>
          <w:p>
            <w:pPr>
              <w:ind w:left="24" w:leftChars="10" w:right="24" w:rightChars="10" w:firstLine="480"/>
            </w:pPr>
            <w:r>
              <w:rPr>
                <w:rFonts w:hint="eastAsia"/>
              </w:rPr>
              <w:t>（1）生态保护红线</w:t>
            </w:r>
          </w:p>
          <w:p>
            <w:pPr>
              <w:spacing w:line="240" w:lineRule="auto"/>
              <w:ind w:left="12" w:leftChars="5" w:right="12" w:rightChars="5" w:firstLine="0" w:firstLineChars="0"/>
              <w:jc w:val="center"/>
            </w:pPr>
            <w:r>
              <w:drawing>
                <wp:inline distT="0" distB="0" distL="0" distR="0">
                  <wp:extent cx="5219065" cy="3695700"/>
                  <wp:effectExtent l="0" t="0" r="635" b="0"/>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pic:cNvPicPr>
                            <a:picLocks noChangeAspect="1" noChangeArrowheads="1"/>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221792" cy="3697486"/>
                          </a:xfrm>
                          <a:prstGeom prst="rect">
                            <a:avLst/>
                          </a:prstGeom>
                          <a:noFill/>
                          <a:ln>
                            <a:noFill/>
                          </a:ln>
                        </pic:spPr>
                      </pic:pic>
                    </a:graphicData>
                  </a:graphic>
                </wp:inline>
              </w:drawing>
            </w:r>
          </w:p>
          <w:p>
            <w:pPr>
              <w:pStyle w:val="14"/>
            </w:pPr>
            <w:r>
              <w:rPr>
                <w:rFonts w:hint="eastAsia"/>
              </w:rPr>
              <w:t>图1   项目与生态保护红线位置关系图</w:t>
            </w:r>
          </w:p>
          <w:p>
            <w:pPr>
              <w:ind w:left="24" w:leftChars="10" w:right="24" w:rightChars="10" w:firstLine="480"/>
            </w:pPr>
            <w:r>
              <w:rPr>
                <w:rFonts w:hint="eastAsia"/>
                <w:bCs/>
              </w:rPr>
              <w:t>由上图可知，</w:t>
            </w:r>
            <w:r>
              <w:rPr>
                <w:bCs/>
              </w:rPr>
              <w:t>项目</w:t>
            </w:r>
            <w:r>
              <w:rPr>
                <w:rFonts w:hint="eastAsia"/>
                <w:bCs/>
              </w:rPr>
              <w:t>未触及生态保护红线。</w:t>
            </w:r>
          </w:p>
          <w:p>
            <w:pPr>
              <w:ind w:left="24" w:leftChars="10" w:right="24" w:rightChars="10" w:firstLine="480"/>
            </w:pPr>
            <w:r>
              <w:rPr>
                <w:rFonts w:hint="eastAsia"/>
              </w:rPr>
              <w:t>（2）环境质量底线</w:t>
            </w:r>
          </w:p>
          <w:p>
            <w:pPr>
              <w:ind w:left="24" w:leftChars="10" w:right="24" w:rightChars="10" w:firstLine="480"/>
            </w:pPr>
            <w:r>
              <w:rPr>
                <w:rFonts w:hint="eastAsia"/>
              </w:rPr>
              <w:t>本项目所在区域环境质量底线分别为：大气环境质量目标为《环境空气质量标准》(GB3095-2012)中的二级标准；区域地下水环境质量目标为《地下水质量标准》(GB/T14848-2017)Ⅲ类标准；声环境质量目标为《声环境质量标准》（GB3096-2008）中的1类标准。</w:t>
            </w:r>
          </w:p>
          <w:p>
            <w:pPr>
              <w:spacing w:line="500" w:lineRule="exact"/>
              <w:ind w:left="24" w:leftChars="10" w:right="24" w:rightChars="10" w:firstLine="480"/>
            </w:pPr>
            <w:r>
              <w:rPr>
                <w:rFonts w:hint="eastAsia"/>
              </w:rPr>
              <w:t>项目产生的废水、废气、噪声、固废等污染物均采取了严格的治理和处理、处置措施，污染物均能达标排放。项目建成后对周围环境质量影响较小，项目采取的污染防治措施可行，能够确保污染物达标排放。</w:t>
            </w:r>
          </w:p>
          <w:p>
            <w:pPr>
              <w:spacing w:line="500" w:lineRule="exact"/>
              <w:ind w:left="24" w:leftChars="10" w:right="24" w:rightChars="10" w:firstLine="480"/>
            </w:pPr>
            <w:r>
              <w:rPr>
                <w:rFonts w:hint="eastAsia"/>
              </w:rPr>
              <w:t>（3）资料利用上线</w:t>
            </w:r>
          </w:p>
          <w:p>
            <w:pPr>
              <w:spacing w:line="500" w:lineRule="exact"/>
              <w:ind w:left="24" w:leftChars="10" w:right="24" w:rightChars="10" w:firstLine="480"/>
            </w:pPr>
            <w:r>
              <w:rPr>
                <w:rFonts w:hint="eastAsia"/>
              </w:rPr>
              <w:t>资源是环境的载体，资源利用上线是各地区能源、水、土地等资源消耗不得突破的“天花板”。</w:t>
            </w:r>
          </w:p>
          <w:p>
            <w:pPr>
              <w:spacing w:line="500" w:lineRule="exact"/>
              <w:ind w:left="24" w:leftChars="10" w:right="24" w:rightChars="10" w:firstLine="480"/>
            </w:pPr>
            <w:r>
              <w:rPr>
                <w:rFonts w:hint="eastAsia"/>
              </w:rPr>
              <w:t>项目运行过程将消耗一定量的电力、水资源等资源，消耗的电力、水资源均由市政相关系统集中供给，资源消耗量相对区域资源利用总量较小，符合资源利用上线要求。</w:t>
            </w:r>
          </w:p>
          <w:p>
            <w:pPr>
              <w:spacing w:line="500" w:lineRule="exact"/>
              <w:ind w:left="24" w:leftChars="10" w:right="24" w:rightChars="10" w:firstLine="480"/>
            </w:pPr>
            <w:r>
              <w:rPr>
                <w:rFonts w:hint="eastAsia"/>
              </w:rPr>
              <w:t>（4）环境准入负面清单</w:t>
            </w:r>
          </w:p>
          <w:p>
            <w:pPr>
              <w:spacing w:line="500" w:lineRule="exact"/>
              <w:ind w:left="24" w:leftChars="10" w:right="24" w:rightChars="10" w:firstLine="480"/>
            </w:pPr>
            <w:r>
              <w:rPr>
                <w:rFonts w:hint="eastAsia"/>
              </w:rPr>
              <w:t>环境准入负面清单是基于生态保护红线、环境质量底线和资源利用上线，以清单方式列出的禁止、限制等差别化环境准入条件和要求。从布局选址、资源利用效率、资源配</w:t>
            </w:r>
            <w:r>
              <w:rPr>
                <w:rFonts w:hint="eastAsia"/>
                <w:lang w:eastAsia="zh-CN"/>
              </w:rPr>
              <w:t>置</w:t>
            </w:r>
            <w:bookmarkStart w:id="24" w:name="_GoBack"/>
            <w:bookmarkEnd w:id="24"/>
            <w:r>
              <w:rPr>
                <w:rFonts w:hint="eastAsia"/>
              </w:rPr>
              <w:t>方式等方面入手，制定环境准入负面清单，充分发挥负面清单对产业发展和项目准入的指导和约束作用。</w:t>
            </w:r>
          </w:p>
          <w:p>
            <w:pPr>
              <w:spacing w:line="500" w:lineRule="exact"/>
              <w:ind w:left="24" w:leftChars="10" w:right="24" w:rightChars="10" w:firstLine="480"/>
            </w:pPr>
            <w:r>
              <w:t>对照《市场准入负面清单（2022年版）》可知，</w:t>
            </w:r>
            <w:r>
              <w:rPr>
                <w:rFonts w:hint="eastAsia"/>
              </w:rPr>
              <w:t>本</w:t>
            </w:r>
            <w:r>
              <w:t>项目不属于禁止准入类项目，符合相关产业政策要求。</w:t>
            </w:r>
          </w:p>
          <w:p>
            <w:pPr>
              <w:spacing w:line="500" w:lineRule="exact"/>
              <w:ind w:left="24" w:leftChars="10" w:right="24" w:rightChars="10" w:firstLine="480"/>
              <w:jc w:val="left"/>
            </w:pPr>
            <w:r>
              <w:rPr>
                <w:rFonts w:hint="eastAsia"/>
              </w:rPr>
              <w:t>综上所述，本项目建设符合环境质量底线、资源利用上线、环境准入负面清单要求，占地不涉及生态保护红线。</w:t>
            </w:r>
          </w:p>
          <w:p>
            <w:pPr>
              <w:ind w:left="24" w:leftChars="10" w:right="24" w:rightChars="10" w:firstLine="0" w:firstLineChars="0"/>
              <w:jc w:val="left"/>
              <w:rPr>
                <w:b/>
              </w:rPr>
            </w:pPr>
            <w:r>
              <w:rPr>
                <w:rFonts w:hint="eastAsia"/>
                <w:b/>
              </w:rPr>
              <w:t>4</w:t>
            </w:r>
            <w:r>
              <w:rPr>
                <w:b/>
              </w:rPr>
              <w:t>、项目与</w:t>
            </w:r>
            <w:r>
              <w:rPr>
                <w:rFonts w:hint="eastAsia"/>
                <w:b/>
              </w:rPr>
              <w:t>《石家庄市“三线一单”生态环境准入清单（2023年版）》</w:t>
            </w:r>
            <w:r>
              <w:rPr>
                <w:b/>
              </w:rPr>
              <w:t>符合性分析</w:t>
            </w:r>
          </w:p>
          <w:p>
            <w:pPr>
              <w:spacing w:line="480" w:lineRule="exact"/>
              <w:ind w:right="46" w:rightChars="19" w:firstLine="480"/>
              <w:jc w:val="left"/>
            </w:pPr>
            <w:r>
              <w:rPr>
                <w:rFonts w:hint="eastAsia"/>
              </w:rPr>
              <w:t>根据《关于做好2023年生态环境分区管控动态更新成果实施应用工作的通知》，对照《石家庄市生态环境准入清单（2023年版）》相关要求进行分析。</w:t>
            </w:r>
          </w:p>
          <w:p>
            <w:pPr>
              <w:spacing w:line="480" w:lineRule="exact"/>
              <w:ind w:right="46" w:rightChars="19" w:firstLine="480"/>
              <w:jc w:val="left"/>
            </w:pPr>
            <w:r>
              <w:rPr>
                <w:rFonts w:hint="eastAsia"/>
              </w:rPr>
              <w:t>（1）全市生态环境准入综合管控要求</w:t>
            </w:r>
          </w:p>
          <w:p>
            <w:pPr>
              <w:pStyle w:val="14"/>
            </w:pPr>
            <w:r>
              <w:rPr>
                <w:rFonts w:hint="eastAsia"/>
              </w:rPr>
              <w:t>表2   全市生态环境准入综合管控要求</w:t>
            </w:r>
          </w:p>
          <w:tbl>
            <w:tblPr>
              <w:tblStyle w:val="16"/>
              <w:tblW w:w="495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444"/>
              <w:gridCol w:w="851"/>
              <w:gridCol w:w="4395"/>
              <w:gridCol w:w="2663"/>
              <w:gridCol w:w="34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04" w:hRule="atLeast"/>
                <w:jc w:val="center"/>
              </w:trPr>
              <w:tc>
                <w:tcPr>
                  <w:tcW w:w="255" w:type="pct"/>
                  <w:shd w:val="clear" w:color="auto" w:fill="auto"/>
                  <w:vAlign w:val="center"/>
                </w:tcPr>
                <w:p>
                  <w:pPr>
                    <w:overflowPunct w:val="0"/>
                    <w:autoSpaceDE w:val="0"/>
                    <w:autoSpaceDN w:val="0"/>
                    <w:adjustRightInd w:val="0"/>
                    <w:snapToGrid w:val="0"/>
                    <w:spacing w:line="240" w:lineRule="auto"/>
                    <w:ind w:firstLine="0" w:firstLineChars="0"/>
                    <w:contextualSpacing/>
                    <w:jc w:val="center"/>
                    <w:rPr>
                      <w:rFonts w:ascii="宋体" w:hAnsi="宋体" w:cs="宋体"/>
                      <w:bCs/>
                      <w:kern w:val="0"/>
                      <w:sz w:val="21"/>
                      <w:szCs w:val="21"/>
                      <w:lang w:val="zh-CN"/>
                    </w:rPr>
                  </w:pPr>
                  <w:r>
                    <w:rPr>
                      <w:rFonts w:ascii="宋体" w:hAnsi="宋体" w:cs="宋体"/>
                      <w:bCs/>
                      <w:kern w:val="0"/>
                      <w:sz w:val="21"/>
                      <w:szCs w:val="21"/>
                      <w:lang w:val="zh-CN"/>
                    </w:rPr>
                    <w:t>类别</w:t>
                  </w:r>
                </w:p>
              </w:tc>
              <w:tc>
                <w:tcPr>
                  <w:tcW w:w="489" w:type="pct"/>
                  <w:shd w:val="clear" w:color="auto" w:fill="auto"/>
                  <w:vAlign w:val="center"/>
                </w:tcPr>
                <w:p>
                  <w:pPr>
                    <w:overflowPunct w:val="0"/>
                    <w:autoSpaceDE w:val="0"/>
                    <w:autoSpaceDN w:val="0"/>
                    <w:adjustRightInd w:val="0"/>
                    <w:snapToGrid w:val="0"/>
                    <w:spacing w:line="240" w:lineRule="auto"/>
                    <w:ind w:firstLine="0" w:firstLineChars="0"/>
                    <w:contextualSpacing/>
                    <w:jc w:val="center"/>
                    <w:rPr>
                      <w:rFonts w:ascii="宋体" w:hAnsi="宋体" w:cs="宋体"/>
                      <w:bCs/>
                      <w:kern w:val="0"/>
                      <w:sz w:val="21"/>
                      <w:szCs w:val="21"/>
                      <w:lang w:val="zh-CN"/>
                    </w:rPr>
                  </w:pPr>
                  <w:r>
                    <w:rPr>
                      <w:rFonts w:hint="eastAsia" w:ascii="宋体" w:hAnsi="宋体" w:cs="宋体"/>
                      <w:bCs/>
                      <w:kern w:val="0"/>
                      <w:sz w:val="21"/>
                      <w:szCs w:val="21"/>
                      <w:lang w:val="zh-CN"/>
                    </w:rPr>
                    <w:t>管控</w:t>
                  </w:r>
                  <w:r>
                    <w:rPr>
                      <w:rFonts w:ascii="宋体" w:hAnsi="宋体" w:cs="宋体"/>
                      <w:bCs/>
                      <w:kern w:val="0"/>
                      <w:sz w:val="21"/>
                      <w:szCs w:val="21"/>
                      <w:lang w:val="zh-CN"/>
                    </w:rPr>
                    <w:t>类型</w:t>
                  </w:r>
                  <w:r>
                    <w:rPr>
                      <w:rFonts w:hint="eastAsia" w:ascii="宋体" w:hAnsi="宋体" w:cs="宋体"/>
                      <w:bCs/>
                      <w:kern w:val="0"/>
                      <w:sz w:val="21"/>
                      <w:szCs w:val="21"/>
                      <w:lang w:val="zh-CN"/>
                    </w:rPr>
                    <w:t>/属性</w:t>
                  </w:r>
                </w:p>
              </w:tc>
              <w:tc>
                <w:tcPr>
                  <w:tcW w:w="2527" w:type="pct"/>
                  <w:shd w:val="clear" w:color="auto" w:fill="auto"/>
                  <w:vAlign w:val="center"/>
                </w:tcPr>
                <w:p>
                  <w:pPr>
                    <w:overflowPunct w:val="0"/>
                    <w:autoSpaceDE w:val="0"/>
                    <w:autoSpaceDN w:val="0"/>
                    <w:adjustRightInd w:val="0"/>
                    <w:snapToGrid w:val="0"/>
                    <w:spacing w:line="240" w:lineRule="auto"/>
                    <w:ind w:firstLine="0" w:firstLineChars="0"/>
                    <w:contextualSpacing/>
                    <w:jc w:val="center"/>
                    <w:rPr>
                      <w:rFonts w:ascii="宋体" w:hAnsi="宋体" w:cs="宋体"/>
                      <w:bCs/>
                      <w:kern w:val="0"/>
                      <w:sz w:val="21"/>
                      <w:szCs w:val="21"/>
                      <w:lang w:val="zh-CN"/>
                    </w:rPr>
                  </w:pPr>
                  <w:r>
                    <w:rPr>
                      <w:rFonts w:ascii="宋体" w:hAnsi="宋体" w:cs="宋体"/>
                      <w:bCs/>
                      <w:kern w:val="0"/>
                      <w:sz w:val="21"/>
                      <w:szCs w:val="21"/>
                      <w:lang w:val="zh-CN"/>
                    </w:rPr>
                    <w:t>管控要求</w:t>
                  </w:r>
                </w:p>
              </w:tc>
              <w:tc>
                <w:tcPr>
                  <w:tcW w:w="1531" w:type="pct"/>
                  <w:shd w:val="clear" w:color="auto" w:fill="auto"/>
                  <w:vAlign w:val="center"/>
                </w:tcPr>
                <w:p>
                  <w:pPr>
                    <w:overflowPunct w:val="0"/>
                    <w:autoSpaceDE w:val="0"/>
                    <w:autoSpaceDN w:val="0"/>
                    <w:adjustRightInd w:val="0"/>
                    <w:snapToGrid w:val="0"/>
                    <w:spacing w:line="240" w:lineRule="auto"/>
                    <w:ind w:firstLine="0" w:firstLineChars="0"/>
                    <w:contextualSpacing/>
                    <w:jc w:val="center"/>
                    <w:rPr>
                      <w:rFonts w:ascii="宋体" w:hAnsi="宋体" w:cs="宋体"/>
                      <w:bCs/>
                      <w:kern w:val="0"/>
                      <w:sz w:val="21"/>
                      <w:szCs w:val="21"/>
                      <w:lang w:val="zh-CN"/>
                    </w:rPr>
                  </w:pPr>
                  <w:r>
                    <w:rPr>
                      <w:rFonts w:ascii="宋体" w:hAnsi="宋体" w:cs="宋体"/>
                      <w:bCs/>
                      <w:kern w:val="0"/>
                      <w:sz w:val="21"/>
                      <w:szCs w:val="21"/>
                      <w:lang w:val="zh-CN"/>
                    </w:rPr>
                    <w:t>本项目情况</w:t>
                  </w:r>
                </w:p>
              </w:tc>
              <w:tc>
                <w:tcPr>
                  <w:tcW w:w="198" w:type="pct"/>
                  <w:shd w:val="clear" w:color="auto" w:fill="auto"/>
                  <w:vAlign w:val="center"/>
                </w:tcPr>
                <w:p>
                  <w:pPr>
                    <w:overflowPunct w:val="0"/>
                    <w:autoSpaceDE w:val="0"/>
                    <w:autoSpaceDN w:val="0"/>
                    <w:adjustRightInd w:val="0"/>
                    <w:snapToGrid w:val="0"/>
                    <w:spacing w:line="240" w:lineRule="auto"/>
                    <w:ind w:firstLine="0" w:firstLineChars="0"/>
                    <w:contextualSpacing/>
                    <w:jc w:val="center"/>
                    <w:rPr>
                      <w:rFonts w:ascii="宋体" w:hAnsi="宋体" w:cs="宋体"/>
                      <w:bCs/>
                      <w:kern w:val="0"/>
                      <w:sz w:val="21"/>
                      <w:szCs w:val="21"/>
                      <w:lang w:val="zh-CN"/>
                    </w:rPr>
                  </w:pPr>
                  <w:r>
                    <w:rPr>
                      <w:rFonts w:hint="eastAsia" w:ascii="宋体" w:hAnsi="宋体" w:cs="宋体"/>
                      <w:bCs/>
                      <w:kern w:val="0"/>
                      <w:sz w:val="21"/>
                      <w:szCs w:val="21"/>
                      <w:lang w:val="zh-CN"/>
                    </w:rPr>
                    <w:t>结论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255" w:type="pct"/>
                  <w:vMerge w:val="restar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hint="eastAsia" w:ascii="宋体" w:hAnsi="宋体" w:cs="宋体"/>
                      <w:bCs/>
                      <w:kern w:val="0"/>
                      <w:sz w:val="21"/>
                      <w:szCs w:val="21"/>
                      <w:lang w:val="zh-CN"/>
                    </w:rPr>
                    <w:t>全市生态环境准入综合管控要求</w:t>
                  </w:r>
                </w:p>
              </w:tc>
              <w:tc>
                <w:tcPr>
                  <w:tcW w:w="489" w:type="pct"/>
                  <w:shd w:val="clear" w:color="auto" w:fill="auto"/>
                  <w:vAlign w:val="center"/>
                </w:tcPr>
                <w:p>
                  <w:pPr>
                    <w:adjustRightInd w:val="0"/>
                    <w:snapToGrid w:val="0"/>
                    <w:spacing w:line="240" w:lineRule="auto"/>
                    <w:ind w:firstLine="0" w:firstLineChars="0"/>
                    <w:contextualSpacing/>
                    <w:jc w:val="center"/>
                    <w:rPr>
                      <w:bCs/>
                      <w:kern w:val="0"/>
                      <w:sz w:val="21"/>
                      <w:szCs w:val="21"/>
                      <w:lang w:val="zh-CN"/>
                    </w:rPr>
                  </w:pPr>
                  <w:r>
                    <w:rPr>
                      <w:bCs/>
                      <w:kern w:val="0"/>
                      <w:sz w:val="21"/>
                      <w:szCs w:val="21"/>
                      <w:lang w:val="zh-CN"/>
                    </w:rPr>
                    <w:t>全市域</w:t>
                  </w:r>
                </w:p>
              </w:tc>
              <w:tc>
                <w:tcPr>
                  <w:tcW w:w="2527" w:type="pct"/>
                  <w:shd w:val="clear" w:color="auto" w:fill="auto"/>
                  <w:vAlign w:val="center"/>
                </w:tcPr>
                <w:p>
                  <w:pPr>
                    <w:adjustRightInd w:val="0"/>
                    <w:snapToGrid w:val="0"/>
                    <w:spacing w:line="240" w:lineRule="auto"/>
                    <w:ind w:firstLine="0" w:firstLineChars="0"/>
                    <w:contextualSpacing/>
                    <w:jc w:val="left"/>
                    <w:rPr>
                      <w:bCs/>
                      <w:kern w:val="0"/>
                      <w:sz w:val="21"/>
                      <w:szCs w:val="21"/>
                      <w:lang w:val="zh-CN"/>
                    </w:rPr>
                  </w:pPr>
                  <w:r>
                    <w:rPr>
                      <w:bCs/>
                      <w:kern w:val="0"/>
                      <w:sz w:val="21"/>
                      <w:szCs w:val="21"/>
                      <w:lang w:val="zh-CN"/>
                    </w:rPr>
                    <w:t>1、优化产业结构。落实国家、省、市产业政策，严格</w:t>
                  </w:r>
                  <w:r>
                    <w:rPr>
                      <w:rFonts w:hint="eastAsia"/>
                      <w:bCs/>
                      <w:kern w:val="0"/>
                      <w:sz w:val="21"/>
                      <w:szCs w:val="21"/>
                      <w:lang w:val="zh-CN"/>
                    </w:rPr>
                    <w:t>“两高”项目</w:t>
                  </w:r>
                  <w:r>
                    <w:rPr>
                      <w:bCs/>
                      <w:kern w:val="0"/>
                      <w:sz w:val="21"/>
                      <w:szCs w:val="21"/>
                      <w:lang w:val="zh-CN"/>
                    </w:rPr>
                    <w:t>环评审批，落实区域削减要求，推进减污降碳协同控制。</w:t>
                  </w:r>
                </w:p>
                <w:p>
                  <w:pPr>
                    <w:adjustRightInd w:val="0"/>
                    <w:snapToGrid w:val="0"/>
                    <w:spacing w:line="240" w:lineRule="auto"/>
                    <w:ind w:firstLine="0" w:firstLineChars="0"/>
                    <w:contextualSpacing/>
                    <w:jc w:val="left"/>
                    <w:rPr>
                      <w:bCs/>
                      <w:kern w:val="0"/>
                      <w:sz w:val="21"/>
                      <w:szCs w:val="21"/>
                      <w:lang w:val="zh-CN"/>
                    </w:rPr>
                  </w:pPr>
                  <w:r>
                    <w:rPr>
                      <w:bCs/>
                      <w:kern w:val="0"/>
                      <w:sz w:val="21"/>
                      <w:szCs w:val="21"/>
                      <w:lang w:val="zh-CN"/>
                    </w:rPr>
                    <w:t>2、强化产业入园。优化园区布局，提升园区规划、环评实效性，提升园区资源利用效率和绿色低碳水平，加强新建项目入园，严格现有分散企业污染管控。</w:t>
                  </w:r>
                </w:p>
              </w:tc>
              <w:tc>
                <w:tcPr>
                  <w:tcW w:w="1531" w:type="pct"/>
                  <w:shd w:val="clear" w:color="auto" w:fill="auto"/>
                  <w:vAlign w:val="center"/>
                </w:tcPr>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本项目为一级医院项目，不属于“两高”项目。</w:t>
                  </w:r>
                </w:p>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项目所在地属于石家庄高新技术产业开发区（东区）</w:t>
                  </w:r>
                </w:p>
              </w:tc>
              <w:tc>
                <w:tcPr>
                  <w:tcW w:w="198" w:type="pc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hint="eastAsia" w:ascii="宋体" w:hAnsi="宋体" w:cs="宋体"/>
                      <w:bCs/>
                      <w:kern w:val="0"/>
                      <w:sz w:val="21"/>
                      <w:szCs w:val="21"/>
                      <w:lang w:val="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255" w:type="pct"/>
                  <w:vMerge w:val="continue"/>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p>
              </w:tc>
              <w:tc>
                <w:tcPr>
                  <w:tcW w:w="489" w:type="pct"/>
                  <w:shd w:val="clear" w:color="auto" w:fill="auto"/>
                  <w:vAlign w:val="center"/>
                </w:tcPr>
                <w:p>
                  <w:pPr>
                    <w:adjustRightInd w:val="0"/>
                    <w:snapToGrid w:val="0"/>
                    <w:spacing w:line="240" w:lineRule="auto"/>
                    <w:ind w:firstLine="0" w:firstLineChars="0"/>
                    <w:contextualSpacing/>
                    <w:jc w:val="left"/>
                    <w:rPr>
                      <w:bCs/>
                      <w:kern w:val="0"/>
                      <w:sz w:val="21"/>
                      <w:szCs w:val="21"/>
                      <w:lang w:val="zh-CN"/>
                    </w:rPr>
                  </w:pPr>
                  <w:r>
                    <w:rPr>
                      <w:bCs/>
                      <w:kern w:val="0"/>
                      <w:sz w:val="21"/>
                      <w:szCs w:val="21"/>
                      <w:lang w:val="zh-CN"/>
                    </w:rPr>
                    <w:t>石家庄市划定的高污染燃料禁燃区</w:t>
                  </w:r>
                </w:p>
              </w:tc>
              <w:tc>
                <w:tcPr>
                  <w:tcW w:w="2527" w:type="pct"/>
                  <w:shd w:val="clear" w:color="auto" w:fill="auto"/>
                  <w:vAlign w:val="center"/>
                </w:tcPr>
                <w:p>
                  <w:pPr>
                    <w:adjustRightInd w:val="0"/>
                    <w:snapToGrid w:val="0"/>
                    <w:spacing w:line="240" w:lineRule="auto"/>
                    <w:ind w:firstLine="0" w:firstLineChars="0"/>
                    <w:contextualSpacing/>
                    <w:jc w:val="left"/>
                    <w:rPr>
                      <w:bCs/>
                      <w:kern w:val="0"/>
                      <w:sz w:val="21"/>
                      <w:szCs w:val="21"/>
                      <w:lang w:val="zh-CN"/>
                    </w:rPr>
                  </w:pPr>
                  <w:r>
                    <w:rPr>
                      <w:bCs/>
                      <w:kern w:val="0"/>
                      <w:sz w:val="21"/>
                      <w:szCs w:val="21"/>
                      <w:lang w:val="zh-CN"/>
                    </w:rPr>
                    <w:t>1、禁燃区内不得新建、扩建燃烧煤炭、重油、渣油等高污染燃料的设施；现有燃烧高污染燃料的设施，应当限期改用清洁能源；未改用清洁能源替代的高污染燃料设施，应当配套建设先进工艺的脱硫、脱硝、除尘装置或者采取其他措施，控制二氧化硫、氮氧化物和烟尘等排放；仍未达到大气污染物排放标准的，应当停止使用。</w:t>
                  </w:r>
                </w:p>
                <w:p>
                  <w:pPr>
                    <w:adjustRightInd w:val="0"/>
                    <w:snapToGrid w:val="0"/>
                    <w:spacing w:line="240" w:lineRule="auto"/>
                    <w:ind w:firstLine="0" w:firstLineChars="0"/>
                    <w:contextualSpacing/>
                    <w:jc w:val="center"/>
                    <w:rPr>
                      <w:bCs/>
                      <w:kern w:val="0"/>
                      <w:sz w:val="21"/>
                      <w:szCs w:val="21"/>
                      <w:lang w:val="zh-CN"/>
                    </w:rPr>
                  </w:pPr>
                  <w:r>
                    <w:rPr>
                      <w:bCs/>
                      <w:kern w:val="0"/>
                      <w:sz w:val="21"/>
                      <w:szCs w:val="21"/>
                      <w:lang w:val="zh-CN"/>
                    </w:rPr>
                    <w:t>2、禁燃区内禁止销售、使用高污染燃料。</w:t>
                  </w:r>
                </w:p>
                <w:p>
                  <w:pPr>
                    <w:adjustRightInd w:val="0"/>
                    <w:snapToGrid w:val="0"/>
                    <w:spacing w:line="240" w:lineRule="auto"/>
                    <w:ind w:firstLine="0" w:firstLineChars="0"/>
                    <w:contextualSpacing/>
                    <w:jc w:val="left"/>
                    <w:rPr>
                      <w:bCs/>
                      <w:kern w:val="0"/>
                      <w:sz w:val="21"/>
                      <w:szCs w:val="21"/>
                      <w:lang w:val="zh-CN"/>
                    </w:rPr>
                  </w:pPr>
                  <w:r>
                    <w:rPr>
                      <w:bCs/>
                      <w:kern w:val="0"/>
                      <w:sz w:val="21"/>
                      <w:szCs w:val="21"/>
                      <w:lang w:val="zh-CN"/>
                    </w:rPr>
                    <w:t>3、禁燃区内禁止原煤散烧。</w:t>
                  </w:r>
                </w:p>
                <w:p>
                  <w:pPr>
                    <w:adjustRightInd w:val="0"/>
                    <w:snapToGrid w:val="0"/>
                    <w:spacing w:line="240" w:lineRule="auto"/>
                    <w:ind w:firstLine="0" w:firstLineChars="0"/>
                    <w:contextualSpacing/>
                    <w:jc w:val="left"/>
                    <w:rPr>
                      <w:bCs/>
                      <w:kern w:val="0"/>
                      <w:sz w:val="21"/>
                      <w:szCs w:val="21"/>
                      <w:lang w:val="zh-CN"/>
                    </w:rPr>
                  </w:pPr>
                  <w:r>
                    <w:rPr>
                      <w:bCs/>
                      <w:kern w:val="0"/>
                      <w:sz w:val="21"/>
                      <w:szCs w:val="21"/>
                      <w:lang w:val="zh-CN"/>
                    </w:rPr>
                    <w:t>4、其他平原县和山区县执行县级政府确定的禁燃区范围和管理要求。</w:t>
                  </w:r>
                </w:p>
              </w:tc>
              <w:tc>
                <w:tcPr>
                  <w:tcW w:w="1531" w:type="pct"/>
                  <w:shd w:val="clear" w:color="auto" w:fill="auto"/>
                  <w:vAlign w:val="center"/>
                </w:tcPr>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本项目不设锅炉，不涉及高污染燃料使用。</w:t>
                  </w:r>
                </w:p>
              </w:tc>
              <w:tc>
                <w:tcPr>
                  <w:tcW w:w="198" w:type="pc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hint="eastAsia" w:ascii="宋体" w:hAnsi="宋体" w:cs="宋体"/>
                      <w:bCs/>
                      <w:kern w:val="0"/>
                      <w:sz w:val="21"/>
                      <w:szCs w:val="21"/>
                      <w:lang w:val="zh-CN"/>
                    </w:rPr>
                    <w:t>符合</w:t>
                  </w:r>
                </w:p>
              </w:tc>
            </w:tr>
          </w:tbl>
          <w:p>
            <w:pPr>
              <w:pStyle w:val="14"/>
            </w:pPr>
          </w:p>
          <w:p>
            <w:pPr>
              <w:pStyle w:val="14"/>
            </w:pPr>
          </w:p>
          <w:p>
            <w:pPr>
              <w:pStyle w:val="14"/>
            </w:pPr>
            <w:r>
              <w:rPr>
                <w:rFonts w:hint="eastAsia"/>
              </w:rPr>
              <w:t>续表2   全市生态环境准入综合管控要求</w:t>
            </w:r>
          </w:p>
          <w:tbl>
            <w:tblPr>
              <w:tblStyle w:val="16"/>
              <w:tblW w:w="495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443"/>
              <w:gridCol w:w="565"/>
              <w:gridCol w:w="569"/>
              <w:gridCol w:w="4394"/>
              <w:gridCol w:w="2378"/>
              <w:gridCol w:w="3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255" w:type="pc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ascii="宋体" w:hAnsi="宋体" w:cs="宋体"/>
                      <w:bCs/>
                      <w:kern w:val="0"/>
                      <w:sz w:val="21"/>
                      <w:szCs w:val="21"/>
                      <w:lang w:val="zh-CN"/>
                    </w:rPr>
                    <w:t>类别</w:t>
                  </w:r>
                </w:p>
              </w:tc>
              <w:tc>
                <w:tcPr>
                  <w:tcW w:w="652" w:type="pct"/>
                  <w:gridSpan w:val="2"/>
                  <w:shd w:val="clear" w:color="auto" w:fill="auto"/>
                  <w:vAlign w:val="center"/>
                </w:tcPr>
                <w:p>
                  <w:pPr>
                    <w:adjustRightInd w:val="0"/>
                    <w:snapToGrid w:val="0"/>
                    <w:spacing w:line="240" w:lineRule="auto"/>
                    <w:ind w:firstLine="0" w:firstLineChars="0"/>
                    <w:contextualSpacing/>
                    <w:jc w:val="left"/>
                    <w:rPr>
                      <w:rFonts w:ascii="宋体" w:hAnsi="宋体" w:cs="宋体"/>
                      <w:bCs/>
                      <w:kern w:val="0"/>
                      <w:sz w:val="21"/>
                      <w:szCs w:val="21"/>
                      <w:lang w:val="zh-CN"/>
                    </w:rPr>
                  </w:pPr>
                  <w:r>
                    <w:rPr>
                      <w:rFonts w:hint="eastAsia" w:ascii="宋体" w:hAnsi="宋体" w:cs="宋体"/>
                      <w:bCs/>
                      <w:kern w:val="0"/>
                      <w:sz w:val="21"/>
                      <w:szCs w:val="21"/>
                      <w:lang w:val="zh-CN"/>
                    </w:rPr>
                    <w:t>管控</w:t>
                  </w:r>
                  <w:r>
                    <w:rPr>
                      <w:rFonts w:ascii="宋体" w:hAnsi="宋体" w:cs="宋体"/>
                      <w:bCs/>
                      <w:kern w:val="0"/>
                      <w:sz w:val="21"/>
                      <w:szCs w:val="21"/>
                      <w:lang w:val="zh-CN"/>
                    </w:rPr>
                    <w:t>类型</w:t>
                  </w:r>
                  <w:r>
                    <w:rPr>
                      <w:rFonts w:hint="eastAsia" w:ascii="宋体" w:hAnsi="宋体" w:cs="宋体"/>
                      <w:bCs/>
                      <w:kern w:val="0"/>
                      <w:sz w:val="21"/>
                      <w:szCs w:val="21"/>
                      <w:lang w:val="zh-CN"/>
                    </w:rPr>
                    <w:t>/属性</w:t>
                  </w:r>
                </w:p>
              </w:tc>
              <w:tc>
                <w:tcPr>
                  <w:tcW w:w="2526" w:type="pc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ascii="宋体" w:hAnsi="宋体" w:cs="宋体"/>
                      <w:bCs/>
                      <w:kern w:val="0"/>
                      <w:sz w:val="21"/>
                      <w:szCs w:val="21"/>
                      <w:lang w:val="zh-CN"/>
                    </w:rPr>
                    <w:t>管控要求</w:t>
                  </w:r>
                </w:p>
              </w:tc>
              <w:tc>
                <w:tcPr>
                  <w:tcW w:w="1367" w:type="pc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ascii="宋体" w:hAnsi="宋体" w:cs="宋体"/>
                      <w:bCs/>
                      <w:kern w:val="0"/>
                      <w:sz w:val="21"/>
                      <w:szCs w:val="21"/>
                      <w:lang w:val="zh-CN"/>
                    </w:rPr>
                    <w:t>本项目情况</w:t>
                  </w:r>
                </w:p>
              </w:tc>
              <w:tc>
                <w:tcPr>
                  <w:tcW w:w="200" w:type="pc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hint="eastAsia" w:ascii="宋体" w:hAnsi="宋体" w:cs="宋体"/>
                      <w:bCs/>
                      <w:kern w:val="0"/>
                      <w:sz w:val="21"/>
                      <w:szCs w:val="21"/>
                      <w:lang w:val="zh-CN"/>
                    </w:rPr>
                    <w:t>结论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641" w:hRule="atLeast"/>
                <w:jc w:val="center"/>
              </w:trPr>
              <w:tc>
                <w:tcPr>
                  <w:tcW w:w="255" w:type="pct"/>
                  <w:vMerge w:val="restar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hint="eastAsia" w:ascii="宋体" w:hAnsi="宋体" w:cs="宋体"/>
                      <w:bCs/>
                      <w:kern w:val="0"/>
                      <w:sz w:val="21"/>
                      <w:szCs w:val="21"/>
                      <w:lang w:val="zh-CN"/>
                    </w:rPr>
                    <w:t>全市</w:t>
                  </w:r>
                  <w:r>
                    <w:rPr>
                      <w:rFonts w:ascii="宋体" w:hAnsi="宋体" w:cs="宋体"/>
                      <w:bCs/>
                      <w:kern w:val="0"/>
                      <w:sz w:val="21"/>
                      <w:szCs w:val="21"/>
                      <w:lang w:val="zh-CN"/>
                    </w:rPr>
                    <w:t>生态空间总体管控要求</w:t>
                  </w:r>
                </w:p>
              </w:tc>
              <w:tc>
                <w:tcPr>
                  <w:tcW w:w="652" w:type="pct"/>
                  <w:gridSpan w:val="2"/>
                  <w:shd w:val="clear" w:color="auto" w:fill="auto"/>
                  <w:vAlign w:val="center"/>
                </w:tcPr>
                <w:p>
                  <w:pPr>
                    <w:adjustRightInd w:val="0"/>
                    <w:snapToGrid w:val="0"/>
                    <w:spacing w:line="240" w:lineRule="auto"/>
                    <w:ind w:firstLine="0" w:firstLineChars="0"/>
                    <w:contextualSpacing/>
                    <w:jc w:val="left"/>
                    <w:rPr>
                      <w:rFonts w:ascii="宋体" w:hAnsi="宋体" w:cs="宋体"/>
                      <w:bCs/>
                      <w:kern w:val="0"/>
                      <w:sz w:val="21"/>
                      <w:szCs w:val="21"/>
                      <w:lang w:val="zh-CN"/>
                    </w:rPr>
                  </w:pPr>
                  <w:r>
                    <w:rPr>
                      <w:rFonts w:hint="eastAsia" w:ascii="宋体" w:hAnsi="宋体" w:cs="宋体"/>
                      <w:bCs/>
                      <w:kern w:val="0"/>
                      <w:sz w:val="21"/>
                      <w:szCs w:val="21"/>
                      <w:lang w:val="zh-CN"/>
                    </w:rPr>
                    <w:t>生态保护红线、自然保护区，风景名胜区、湿地公园、森林公园、地质公园</w:t>
                  </w:r>
                </w:p>
              </w:tc>
              <w:tc>
                <w:tcPr>
                  <w:tcW w:w="3893" w:type="pct"/>
                  <w:gridSpan w:val="2"/>
                  <w:shd w:val="clear" w:color="auto" w:fill="auto"/>
                  <w:vAlign w:val="center"/>
                </w:tcPr>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本项目不涉及生态保护红线、自然保护区、风景名胜区、湿地公园、森林公园、地质公园，不再进行环境敏感区、生态保护红线符合性分析。</w:t>
                  </w:r>
                </w:p>
              </w:tc>
              <w:tc>
                <w:tcPr>
                  <w:tcW w:w="200" w:type="pc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ascii="宋体" w:hAnsi="宋体" w:cs="宋体"/>
                      <w:bCs/>
                      <w:kern w:val="0"/>
                      <w:sz w:val="21"/>
                      <w:szCs w:val="21"/>
                      <w:lang w:val="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255" w:type="pct"/>
                  <w:vMerge w:val="continue"/>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p>
              </w:tc>
              <w:tc>
                <w:tcPr>
                  <w:tcW w:w="652" w:type="pct"/>
                  <w:gridSpan w:val="2"/>
                  <w:shd w:val="clear" w:color="auto" w:fill="auto"/>
                  <w:vAlign w:val="center"/>
                </w:tcPr>
                <w:p>
                  <w:pPr>
                    <w:adjustRightInd w:val="0"/>
                    <w:snapToGrid w:val="0"/>
                    <w:spacing w:line="240" w:lineRule="auto"/>
                    <w:ind w:firstLine="0" w:firstLineChars="0"/>
                    <w:contextualSpacing/>
                    <w:jc w:val="left"/>
                    <w:rPr>
                      <w:rFonts w:ascii="宋体" w:hAnsi="宋体" w:cs="宋体"/>
                      <w:bCs/>
                      <w:kern w:val="0"/>
                      <w:sz w:val="21"/>
                      <w:szCs w:val="21"/>
                      <w:lang w:val="zh-CN"/>
                    </w:rPr>
                  </w:pPr>
                  <w:r>
                    <w:rPr>
                      <w:rFonts w:hint="eastAsia" w:ascii="宋体" w:hAnsi="宋体" w:cs="宋体"/>
                      <w:bCs/>
                      <w:kern w:val="0"/>
                      <w:sz w:val="21"/>
                      <w:szCs w:val="21"/>
                      <w:lang w:val="zh-CN"/>
                    </w:rPr>
                    <w:t>一般生态空间</w:t>
                  </w:r>
                </w:p>
              </w:tc>
              <w:tc>
                <w:tcPr>
                  <w:tcW w:w="2526" w:type="pct"/>
                  <w:shd w:val="clear" w:color="auto" w:fill="auto"/>
                  <w:vAlign w:val="center"/>
                </w:tcPr>
                <w:p>
                  <w:pPr>
                    <w:adjustRightInd w:val="0"/>
                    <w:snapToGrid w:val="0"/>
                    <w:spacing w:line="240" w:lineRule="auto"/>
                    <w:ind w:firstLine="0" w:firstLineChars="0"/>
                    <w:contextualSpacing/>
                    <w:jc w:val="left"/>
                    <w:rPr>
                      <w:rFonts w:ascii="宋体" w:hAnsi="宋体" w:cs="宋体"/>
                      <w:bCs/>
                      <w:kern w:val="0"/>
                      <w:sz w:val="21"/>
                      <w:szCs w:val="21"/>
                      <w:lang w:val="zh-CN"/>
                    </w:rPr>
                  </w:pPr>
                  <w:r>
                    <w:rPr>
                      <w:rFonts w:hint="eastAsia" w:ascii="宋体" w:hAnsi="宋体" w:cs="宋体"/>
                      <w:bCs/>
                      <w:kern w:val="0"/>
                      <w:sz w:val="21"/>
                      <w:szCs w:val="21"/>
                      <w:lang w:val="zh-CN"/>
                    </w:rPr>
                    <w:t>①严格矿产资源开发与管控，矿产开发管控依照《河北省加强矿产资源开发管控十条措施》、《河北省人民代表大会常务委员会关于加强矿产开发管控保护生态环境的决定》等相关文件要求执行。</w:t>
                  </w:r>
                </w:p>
                <w:p>
                  <w:pPr>
                    <w:adjustRightInd w:val="0"/>
                    <w:snapToGrid w:val="0"/>
                    <w:spacing w:line="240" w:lineRule="auto"/>
                    <w:ind w:firstLine="0" w:firstLineChars="0"/>
                    <w:contextualSpacing/>
                    <w:jc w:val="left"/>
                    <w:rPr>
                      <w:rFonts w:ascii="宋体" w:hAnsi="宋体" w:cs="宋体"/>
                      <w:bCs/>
                      <w:kern w:val="0"/>
                      <w:sz w:val="21"/>
                      <w:szCs w:val="21"/>
                      <w:lang w:val="zh-CN"/>
                    </w:rPr>
                  </w:pPr>
                  <w:r>
                    <w:rPr>
                      <w:rFonts w:hint="eastAsia" w:ascii="宋体" w:hAnsi="宋体" w:cs="宋体"/>
                      <w:bCs/>
                      <w:kern w:val="0"/>
                      <w:sz w:val="21"/>
                      <w:szCs w:val="21"/>
                      <w:lang w:val="zh-CN"/>
                    </w:rPr>
                    <w:t>②涉及饮用水水源地保护区的，水环境总体管控要求中饮用水水源地保护区相关要求进行管控。</w:t>
                  </w:r>
                </w:p>
              </w:tc>
              <w:tc>
                <w:tcPr>
                  <w:tcW w:w="1367" w:type="pct"/>
                  <w:shd w:val="clear" w:color="auto" w:fill="auto"/>
                  <w:vAlign w:val="center"/>
                </w:tcPr>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本项目不涉及矿产资源使用，不开采矿产资源。</w:t>
                  </w:r>
                </w:p>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本项目位于石家庄高新区，不涉及</w:t>
                  </w:r>
                  <w:r>
                    <w:rPr>
                      <w:rFonts w:hint="eastAsia" w:ascii="宋体" w:hAnsi="宋体" w:cs="宋体"/>
                      <w:bCs/>
                      <w:kern w:val="0"/>
                      <w:sz w:val="21"/>
                      <w:szCs w:val="21"/>
                      <w:lang w:val="zh-CN"/>
                    </w:rPr>
                    <w:t>饮用水水源地保护区。</w:t>
                  </w:r>
                </w:p>
              </w:tc>
              <w:tc>
                <w:tcPr>
                  <w:tcW w:w="200" w:type="pc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ascii="宋体" w:hAnsi="宋体" w:cs="宋体"/>
                      <w:bCs/>
                      <w:kern w:val="0"/>
                      <w:sz w:val="21"/>
                      <w:szCs w:val="21"/>
                      <w:lang w:val="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873" w:hRule="atLeast"/>
                <w:jc w:val="center"/>
              </w:trPr>
              <w:tc>
                <w:tcPr>
                  <w:tcW w:w="255" w:type="pct"/>
                  <w:vMerge w:val="restar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hint="eastAsia" w:ascii="宋体" w:hAnsi="宋体" w:cs="宋体"/>
                      <w:bCs/>
                      <w:kern w:val="0"/>
                      <w:sz w:val="21"/>
                      <w:szCs w:val="21"/>
                      <w:lang w:val="zh-CN"/>
                    </w:rPr>
                    <w:t>全市水环境总体管控要求</w:t>
                  </w:r>
                </w:p>
              </w:tc>
              <w:tc>
                <w:tcPr>
                  <w:tcW w:w="325" w:type="pct"/>
                  <w:vMerge w:val="restar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hint="eastAsia" w:ascii="宋体" w:hAnsi="宋体" w:cs="宋体"/>
                      <w:bCs/>
                      <w:kern w:val="0"/>
                      <w:sz w:val="21"/>
                      <w:szCs w:val="21"/>
                      <w:lang w:val="zh-CN"/>
                    </w:rPr>
                    <w:t>水环境工业污染重点管控区</w:t>
                  </w:r>
                </w:p>
              </w:tc>
              <w:tc>
                <w:tcPr>
                  <w:tcW w:w="327" w:type="pct"/>
                  <w:shd w:val="clear" w:color="auto" w:fill="auto"/>
                  <w:vAlign w:val="center"/>
                </w:tcPr>
                <w:p>
                  <w:pPr>
                    <w:adjustRightInd w:val="0"/>
                    <w:snapToGrid w:val="0"/>
                    <w:spacing w:line="240" w:lineRule="auto"/>
                    <w:ind w:firstLine="0" w:firstLineChars="0"/>
                    <w:contextualSpacing/>
                    <w:jc w:val="left"/>
                    <w:rPr>
                      <w:rFonts w:ascii="宋体" w:hAnsi="宋体" w:cs="宋体"/>
                      <w:bCs/>
                      <w:kern w:val="0"/>
                      <w:sz w:val="21"/>
                      <w:szCs w:val="21"/>
                      <w:lang w:val="zh-CN"/>
                    </w:rPr>
                  </w:pPr>
                  <w:r>
                    <w:rPr>
                      <w:rFonts w:hint="eastAsia" w:ascii="宋体" w:hAnsi="宋体" w:cs="宋体"/>
                      <w:bCs/>
                      <w:kern w:val="0"/>
                      <w:sz w:val="21"/>
                      <w:szCs w:val="21"/>
                      <w:lang w:val="zh-CN"/>
                    </w:rPr>
                    <w:t>污染物排放管控</w:t>
                  </w:r>
                </w:p>
              </w:tc>
              <w:tc>
                <w:tcPr>
                  <w:tcW w:w="2526" w:type="pct"/>
                  <w:shd w:val="clear" w:color="auto" w:fill="auto"/>
                  <w:vAlign w:val="center"/>
                </w:tcPr>
                <w:p>
                  <w:pPr>
                    <w:adjustRightInd w:val="0"/>
                    <w:snapToGrid w:val="0"/>
                    <w:spacing w:line="240" w:lineRule="auto"/>
                    <w:ind w:firstLine="0" w:firstLineChars="0"/>
                    <w:contextualSpacing/>
                    <w:jc w:val="left"/>
                    <w:rPr>
                      <w:bCs/>
                      <w:kern w:val="0"/>
                      <w:sz w:val="21"/>
                      <w:szCs w:val="21"/>
                      <w:lang w:val="zh-CN"/>
                    </w:rPr>
                  </w:pPr>
                  <w:r>
                    <w:rPr>
                      <w:bCs/>
                      <w:kern w:val="0"/>
                      <w:sz w:val="21"/>
                      <w:szCs w:val="21"/>
                      <w:lang w:val="zh-CN"/>
                    </w:rPr>
                    <w:t>1、严格控制高污染、高耗水行业新增产能。产能过剩产业实行新增产能等量替代、涉水主要污染物排放同行业倍量替代。对造纸、焦化、氮肥、石油化工、印染、农副食品加工、原料药制造、制革、农药、电镀等重点行业，新建、改建、扩建项目实行新增主要污染物排放倍量替代。</w:t>
                  </w:r>
                </w:p>
                <w:p>
                  <w:pPr>
                    <w:adjustRightInd w:val="0"/>
                    <w:snapToGrid w:val="0"/>
                    <w:spacing w:line="240" w:lineRule="auto"/>
                    <w:ind w:firstLine="0" w:firstLineChars="0"/>
                    <w:contextualSpacing/>
                    <w:jc w:val="left"/>
                    <w:rPr>
                      <w:bCs/>
                      <w:kern w:val="0"/>
                      <w:sz w:val="21"/>
                      <w:szCs w:val="21"/>
                      <w:lang w:val="zh-CN"/>
                    </w:rPr>
                  </w:pPr>
                  <w:r>
                    <w:rPr>
                      <w:bCs/>
                      <w:kern w:val="0"/>
                      <w:sz w:val="21"/>
                      <w:szCs w:val="21"/>
                      <w:lang w:val="zh-CN"/>
                    </w:rPr>
                    <w:t>2、工业园区全部建成污水集中处理设施，并安装自动在线监控装置；有流域特别排放限值要求的地区，执行流域特别排放限值。</w:t>
                  </w:r>
                </w:p>
                <w:p>
                  <w:pPr>
                    <w:adjustRightInd w:val="0"/>
                    <w:snapToGrid w:val="0"/>
                    <w:spacing w:line="240" w:lineRule="auto"/>
                    <w:ind w:firstLine="0" w:firstLineChars="0"/>
                    <w:contextualSpacing/>
                    <w:jc w:val="left"/>
                    <w:rPr>
                      <w:bCs/>
                      <w:kern w:val="0"/>
                      <w:sz w:val="21"/>
                      <w:szCs w:val="21"/>
                      <w:lang w:val="zh-CN"/>
                    </w:rPr>
                  </w:pPr>
                  <w:r>
                    <w:rPr>
                      <w:bCs/>
                      <w:kern w:val="0"/>
                      <w:sz w:val="21"/>
                      <w:szCs w:val="21"/>
                      <w:lang w:val="zh-CN"/>
                    </w:rPr>
                    <w:t>3、排放工业废水的企业应当采取有效措施，收集和处理产生的全部废水，防止污染环境。含有毒有害水污染物的工业废水应当分类收集和处理，不得稀释排放。</w:t>
                  </w:r>
                </w:p>
                <w:p>
                  <w:pPr>
                    <w:adjustRightInd w:val="0"/>
                    <w:snapToGrid w:val="0"/>
                    <w:spacing w:line="240" w:lineRule="auto"/>
                    <w:ind w:firstLine="0" w:firstLineChars="0"/>
                    <w:contextualSpacing/>
                    <w:jc w:val="left"/>
                    <w:rPr>
                      <w:rFonts w:ascii="宋体" w:hAnsi="宋体" w:cs="宋体"/>
                      <w:bCs/>
                      <w:kern w:val="0"/>
                      <w:sz w:val="21"/>
                      <w:szCs w:val="21"/>
                      <w:lang w:val="zh-CN"/>
                    </w:rPr>
                  </w:pPr>
                  <w:r>
                    <w:rPr>
                      <w:rFonts w:hint="eastAsia"/>
                      <w:bCs/>
                      <w:kern w:val="0"/>
                      <w:sz w:val="21"/>
                      <w:szCs w:val="21"/>
                      <w:lang w:val="zh-CN"/>
                    </w:rPr>
                    <w:t>4</w:t>
                  </w:r>
                  <w:r>
                    <w:rPr>
                      <w:bCs/>
                      <w:kern w:val="0"/>
                      <w:sz w:val="21"/>
                      <w:szCs w:val="21"/>
                      <w:lang w:val="zh-CN"/>
                    </w:rPr>
                    <w:t>、企业、学校、科研院所、医疗机构、检验检疫机构等单位的医院、检验室、化验室等产生的酸液、碱液及其他有毒有害废液，应当按照国家和省有关规定进行处理后达标排放或者单独收集、安全处置</w:t>
                  </w:r>
                </w:p>
              </w:tc>
              <w:tc>
                <w:tcPr>
                  <w:tcW w:w="1367" w:type="pct"/>
                  <w:shd w:val="clear" w:color="auto" w:fill="auto"/>
                  <w:vAlign w:val="center"/>
                </w:tcPr>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1、项目不属于高污染、高耗水行业，不属于重点行业。</w:t>
                  </w:r>
                </w:p>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2、项目位于石家庄高新技术产业开发区，开发区设有高新区污水处理厂，污水厂安装有自动在线监控装置，污水厂出水满足《子牙河流域水污染物排放标准》（DB13/2796-2018）的限值要求。</w:t>
                  </w:r>
                </w:p>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3、项目检验设备清洗废水经酸碱中和处理后与其他废水共同经化粪池+污水处理设备处理。项目产生的废水不含有毒有害水污染物。</w:t>
                  </w:r>
                </w:p>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4、本项目实验废液按危废收集、储存、处理。</w:t>
                  </w:r>
                </w:p>
              </w:tc>
              <w:tc>
                <w:tcPr>
                  <w:tcW w:w="200" w:type="pc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ascii="宋体" w:hAnsi="宋体" w:cs="宋体"/>
                      <w:bCs/>
                      <w:kern w:val="0"/>
                      <w:sz w:val="21"/>
                      <w:szCs w:val="21"/>
                      <w:lang w:val="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873" w:hRule="atLeast"/>
                <w:jc w:val="center"/>
              </w:trPr>
              <w:tc>
                <w:tcPr>
                  <w:tcW w:w="255" w:type="pct"/>
                  <w:vMerge w:val="continue"/>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p>
              </w:tc>
              <w:tc>
                <w:tcPr>
                  <w:tcW w:w="325" w:type="pct"/>
                  <w:vMerge w:val="continue"/>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p>
              </w:tc>
              <w:tc>
                <w:tcPr>
                  <w:tcW w:w="327" w:type="pct"/>
                  <w:shd w:val="clear" w:color="auto" w:fill="auto"/>
                  <w:vAlign w:val="center"/>
                </w:tcPr>
                <w:p>
                  <w:pPr>
                    <w:adjustRightInd w:val="0"/>
                    <w:snapToGrid w:val="0"/>
                    <w:spacing w:line="240" w:lineRule="auto"/>
                    <w:ind w:firstLine="0" w:firstLineChars="0"/>
                    <w:contextualSpacing/>
                    <w:jc w:val="left"/>
                    <w:rPr>
                      <w:rFonts w:ascii="宋体" w:hAnsi="宋体" w:cs="宋体"/>
                      <w:bCs/>
                      <w:kern w:val="0"/>
                      <w:sz w:val="21"/>
                      <w:szCs w:val="21"/>
                      <w:lang w:val="zh-CN"/>
                    </w:rPr>
                  </w:pPr>
                  <w:r>
                    <w:rPr>
                      <w:rFonts w:hint="eastAsia" w:ascii="宋体" w:hAnsi="宋体" w:cs="宋体"/>
                      <w:bCs/>
                      <w:kern w:val="0"/>
                      <w:sz w:val="21"/>
                      <w:szCs w:val="21"/>
                      <w:lang w:val="zh-CN"/>
                    </w:rPr>
                    <w:t>环境风险防控</w:t>
                  </w:r>
                </w:p>
              </w:tc>
              <w:tc>
                <w:tcPr>
                  <w:tcW w:w="2526" w:type="pct"/>
                  <w:shd w:val="clear" w:color="auto" w:fill="auto"/>
                  <w:vAlign w:val="center"/>
                </w:tcPr>
                <w:p>
                  <w:pPr>
                    <w:adjustRightInd w:val="0"/>
                    <w:snapToGrid w:val="0"/>
                    <w:spacing w:line="240" w:lineRule="auto"/>
                    <w:ind w:firstLine="0" w:firstLineChars="0"/>
                    <w:contextualSpacing/>
                    <w:jc w:val="left"/>
                    <w:rPr>
                      <w:bCs/>
                      <w:kern w:val="0"/>
                      <w:sz w:val="21"/>
                      <w:szCs w:val="21"/>
                      <w:lang w:val="zh-CN"/>
                    </w:rPr>
                  </w:pPr>
                  <w:r>
                    <w:rPr>
                      <w:bCs/>
                      <w:kern w:val="0"/>
                      <w:sz w:val="21"/>
                      <w:szCs w:val="21"/>
                      <w:lang w:val="zh-CN"/>
                    </w:rPr>
                    <w:t>1、化学品生产、存储、运输、销售企业以及工业园区(工业集聚区)、矿山开采区、尾矿库、危险废物处置场、垃圾填埋场等运营、管理单位，应当采取防渗漏等措施，防止地下水污染。</w:t>
                  </w:r>
                </w:p>
                <w:p>
                  <w:pPr>
                    <w:adjustRightInd w:val="0"/>
                    <w:snapToGrid w:val="0"/>
                    <w:spacing w:line="240" w:lineRule="auto"/>
                    <w:ind w:firstLine="0" w:firstLineChars="0"/>
                    <w:contextualSpacing/>
                    <w:jc w:val="left"/>
                    <w:rPr>
                      <w:bCs/>
                      <w:kern w:val="0"/>
                      <w:sz w:val="21"/>
                      <w:szCs w:val="21"/>
                      <w:lang w:val="zh-CN"/>
                    </w:rPr>
                  </w:pPr>
                  <w:r>
                    <w:rPr>
                      <w:bCs/>
                      <w:kern w:val="0"/>
                      <w:sz w:val="21"/>
                      <w:szCs w:val="21"/>
                      <w:lang w:val="zh-CN"/>
                    </w:rPr>
                    <w:t>2、加油站、储油库等的地下油罐应当使用双层罐或者采取建造防渗池等其他有效措施，并进行防渗漏监测，防止污染地下水。</w:t>
                  </w:r>
                </w:p>
                <w:p>
                  <w:pPr>
                    <w:adjustRightInd w:val="0"/>
                    <w:snapToGrid w:val="0"/>
                    <w:spacing w:line="240" w:lineRule="auto"/>
                    <w:ind w:firstLine="0" w:firstLineChars="0"/>
                    <w:contextualSpacing/>
                    <w:jc w:val="left"/>
                    <w:rPr>
                      <w:bCs/>
                      <w:kern w:val="0"/>
                      <w:sz w:val="21"/>
                      <w:szCs w:val="21"/>
                      <w:lang w:val="zh-CN"/>
                    </w:rPr>
                  </w:pPr>
                  <w:r>
                    <w:rPr>
                      <w:bCs/>
                      <w:kern w:val="0"/>
                      <w:sz w:val="21"/>
                      <w:szCs w:val="21"/>
                      <w:lang w:val="zh-CN"/>
                    </w:rPr>
                    <w:t>3、工业固体废弃物集中贮存、处置的设施、场所和生活垃圾填埋场应当采取防扬散、防流失、防渗漏或者其他符合水污染防治要求的措施，防止污染水环境。</w:t>
                  </w:r>
                </w:p>
                <w:p>
                  <w:pPr>
                    <w:adjustRightInd w:val="0"/>
                    <w:snapToGrid w:val="0"/>
                    <w:spacing w:line="240" w:lineRule="auto"/>
                    <w:ind w:firstLine="0" w:firstLineChars="0"/>
                    <w:contextualSpacing/>
                    <w:jc w:val="left"/>
                    <w:rPr>
                      <w:rFonts w:ascii="宋体" w:hAnsi="宋体" w:cs="宋体"/>
                      <w:bCs/>
                      <w:kern w:val="0"/>
                      <w:sz w:val="21"/>
                      <w:szCs w:val="21"/>
                      <w:lang w:val="zh-CN"/>
                    </w:rPr>
                  </w:pPr>
                  <w:r>
                    <w:rPr>
                      <w:bCs/>
                      <w:kern w:val="0"/>
                      <w:sz w:val="21"/>
                      <w:szCs w:val="21"/>
                      <w:lang w:val="zh-CN"/>
                    </w:rPr>
                    <w:t>4、可能发生水污染事故的企业事业单位，应当按照有关规定制定有关水污染事故的应急方案，做好应急准备，定期进行预防演练。</w:t>
                  </w:r>
                </w:p>
              </w:tc>
              <w:tc>
                <w:tcPr>
                  <w:tcW w:w="1367" w:type="pct"/>
                  <w:shd w:val="clear" w:color="auto" w:fill="auto"/>
                  <w:vAlign w:val="center"/>
                </w:tcPr>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1、本项目不涉及</w:t>
                  </w:r>
                </w:p>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2、本项目不涉及</w:t>
                  </w:r>
                </w:p>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3、本项目不涉及</w:t>
                  </w:r>
                </w:p>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4、本项目不涉及</w:t>
                  </w:r>
                </w:p>
              </w:tc>
              <w:tc>
                <w:tcPr>
                  <w:tcW w:w="200" w:type="pc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ascii="宋体" w:hAnsi="宋体" w:cs="宋体"/>
                      <w:bCs/>
                      <w:kern w:val="0"/>
                      <w:sz w:val="21"/>
                      <w:szCs w:val="21"/>
                      <w:lang w:val="zh-CN"/>
                    </w:rPr>
                    <w:t>符合</w:t>
                  </w:r>
                </w:p>
              </w:tc>
            </w:tr>
          </w:tbl>
          <w:p>
            <w:pPr>
              <w:pStyle w:val="14"/>
            </w:pPr>
            <w:r>
              <w:rPr>
                <w:rFonts w:hint="eastAsia"/>
              </w:rPr>
              <w:t>续表2   全市生态环境准入综合管控要求</w:t>
            </w:r>
          </w:p>
          <w:tbl>
            <w:tblPr>
              <w:tblStyle w:val="16"/>
              <w:tblW w:w="495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445"/>
              <w:gridCol w:w="565"/>
              <w:gridCol w:w="5669"/>
              <w:gridCol w:w="1670"/>
              <w:gridCol w:w="3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256" w:type="pc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ascii="宋体" w:hAnsi="宋体" w:cs="宋体"/>
                      <w:bCs/>
                      <w:kern w:val="0"/>
                      <w:sz w:val="21"/>
                      <w:szCs w:val="21"/>
                      <w:lang w:val="zh-CN"/>
                    </w:rPr>
                    <w:t>类别</w:t>
                  </w:r>
                </w:p>
              </w:tc>
              <w:tc>
                <w:tcPr>
                  <w:tcW w:w="325" w:type="pc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hint="eastAsia" w:ascii="宋体" w:hAnsi="宋体" w:cs="宋体"/>
                      <w:bCs/>
                      <w:kern w:val="0"/>
                      <w:sz w:val="21"/>
                      <w:szCs w:val="21"/>
                      <w:lang w:val="zh-CN"/>
                    </w:rPr>
                    <w:t>管控</w:t>
                  </w:r>
                  <w:r>
                    <w:rPr>
                      <w:rFonts w:ascii="宋体" w:hAnsi="宋体" w:cs="宋体"/>
                      <w:bCs/>
                      <w:kern w:val="0"/>
                      <w:sz w:val="21"/>
                      <w:szCs w:val="21"/>
                      <w:lang w:val="zh-CN"/>
                    </w:rPr>
                    <w:t>类型</w:t>
                  </w:r>
                  <w:r>
                    <w:rPr>
                      <w:rFonts w:hint="eastAsia" w:ascii="宋体" w:hAnsi="宋体" w:cs="宋体"/>
                      <w:bCs/>
                      <w:kern w:val="0"/>
                      <w:sz w:val="21"/>
                      <w:szCs w:val="21"/>
                      <w:lang w:val="zh-CN"/>
                    </w:rPr>
                    <w:t>/属性</w:t>
                  </w:r>
                </w:p>
              </w:tc>
              <w:tc>
                <w:tcPr>
                  <w:tcW w:w="3259" w:type="pc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ascii="宋体" w:hAnsi="宋体" w:cs="宋体"/>
                      <w:bCs/>
                      <w:kern w:val="0"/>
                      <w:sz w:val="21"/>
                      <w:szCs w:val="21"/>
                      <w:lang w:val="zh-CN"/>
                    </w:rPr>
                    <w:t>管控要求</w:t>
                  </w:r>
                </w:p>
              </w:tc>
              <w:tc>
                <w:tcPr>
                  <w:tcW w:w="960" w:type="pc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ascii="宋体" w:hAnsi="宋体" w:cs="宋体"/>
                      <w:bCs/>
                      <w:kern w:val="0"/>
                      <w:sz w:val="21"/>
                      <w:szCs w:val="21"/>
                      <w:lang w:val="zh-CN"/>
                    </w:rPr>
                    <w:t>本项目情况</w:t>
                  </w:r>
                </w:p>
              </w:tc>
              <w:tc>
                <w:tcPr>
                  <w:tcW w:w="200" w:type="pc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hint="eastAsia" w:ascii="宋体" w:hAnsi="宋体" w:cs="宋体"/>
                      <w:bCs/>
                      <w:kern w:val="0"/>
                      <w:sz w:val="21"/>
                      <w:szCs w:val="21"/>
                      <w:lang w:val="zh-CN"/>
                    </w:rPr>
                    <w:t>结论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256" w:type="pct"/>
                  <w:vMerge w:val="restar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hint="eastAsia" w:ascii="宋体" w:hAnsi="宋体" w:cs="宋体"/>
                      <w:bCs/>
                      <w:kern w:val="0"/>
                      <w:sz w:val="21"/>
                      <w:szCs w:val="21"/>
                      <w:lang w:val="zh-CN"/>
                    </w:rPr>
                    <w:t>大气环境总体准入要求</w:t>
                  </w:r>
                </w:p>
              </w:tc>
              <w:tc>
                <w:tcPr>
                  <w:tcW w:w="325" w:type="pc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hint="eastAsia" w:ascii="宋体" w:hAnsi="宋体" w:cs="宋体"/>
                      <w:bCs/>
                      <w:kern w:val="0"/>
                      <w:sz w:val="21"/>
                      <w:szCs w:val="21"/>
                      <w:lang w:val="zh-CN"/>
                    </w:rPr>
                    <w:t>空间布局约束</w:t>
                  </w:r>
                </w:p>
              </w:tc>
              <w:tc>
                <w:tcPr>
                  <w:tcW w:w="3259" w:type="pct"/>
                  <w:shd w:val="clear" w:color="auto" w:fill="auto"/>
                  <w:vAlign w:val="center"/>
                </w:tcPr>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1、加大钢铁、焦化等行业结构调整力度，推进化工、石化企业治理改造，优先发展战略新兴产业和先进制造业，坚决遏制高耗能高排放低水平项目盲目发展。</w:t>
                  </w:r>
                </w:p>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2、引导重点行业向环境容量充足、扩散条件较好区域布局。</w:t>
                  </w:r>
                </w:p>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3、大气环境受体敏感重点管控区、大气环境布局敏感重点管控区、大气环境弱扩散重点管控区严格控制高耗能、高排放项目建设。严禁新增钢铁、焦化、水泥、平板玻璃、电解铝等产能。</w:t>
                  </w:r>
                </w:p>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4、大气环境受体敏感重点管控区中重点涉气行业企业，除必须依托城市或直接服务于城市的企业外，均应规划退城搬迁。</w:t>
                  </w:r>
                </w:p>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5、大气环境弱扩散重点管控区内严格控制新建、扩建燃煤火电、钢铁，以及除国家、省、市规划外的石化等高污染高排放项目。</w:t>
                  </w:r>
                </w:p>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6、对热效率低下、敞开未封闭，装备简易落后、自动化程度低，布局分散、规模小、无组织排放突出，以及无治理设施或治理设施工艺落后的工业炉窑，依法责令停业关闭。</w:t>
                  </w:r>
                </w:p>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7、全市禁止新建35蒸吨/小时及以下燃煤锅炉，35蒸吨/小时以上燃煤锅炉要达到超低排放标准。城市主城区和县城禁止新建 35蒸吨/小时及以下生物质和燃油(醇基燃料)锅炉，35蒸吨/小时以上的燃油和生物质锅炉要达到超低排放标准。</w:t>
                  </w:r>
                </w:p>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8、禁燃区内不得新建、扩建燃烧煤炭、重油、渣油等高污染燃料的设施；现有未改用清洁能源替代的高污染燃料设施，应当配套建设先进工艺的脱硫、脱硝、除尘装置或者采取其他措施，控制二氧化硫、氮氧化物和烟尘等排放；仍未达到大气污染物排放标准的，应当停止使用。禁燃区内禁止原煤散烧。禁止销售、使用高污染燃料。</w:t>
                  </w:r>
                </w:p>
              </w:tc>
              <w:tc>
                <w:tcPr>
                  <w:tcW w:w="960" w:type="pct"/>
                  <w:shd w:val="clear" w:color="auto" w:fill="auto"/>
                  <w:vAlign w:val="center"/>
                </w:tcPr>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1、本项目不属于钢铁、焦化等高耗能高排放行业。</w:t>
                  </w:r>
                </w:p>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2、本项目不属于重点行业。</w:t>
                  </w:r>
                </w:p>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3、本项目所在地属于大气高排放重点管控区，因此不涉及。</w:t>
                  </w:r>
                </w:p>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4、本项目不涉及</w:t>
                  </w:r>
                </w:p>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5、本项目不涉及</w:t>
                  </w:r>
                </w:p>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6、本项目不涉及工业炉窑</w:t>
                  </w:r>
                </w:p>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7、本项目不涉及锅炉</w:t>
                  </w:r>
                </w:p>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8、本项目不在禁燃区</w:t>
                  </w:r>
                </w:p>
                <w:p>
                  <w:pPr>
                    <w:adjustRightInd w:val="0"/>
                    <w:snapToGrid w:val="0"/>
                    <w:spacing w:line="240" w:lineRule="auto"/>
                    <w:ind w:firstLine="0" w:firstLineChars="0"/>
                    <w:contextualSpacing/>
                    <w:jc w:val="left"/>
                    <w:rPr>
                      <w:bCs/>
                      <w:kern w:val="0"/>
                      <w:sz w:val="21"/>
                      <w:szCs w:val="21"/>
                      <w:lang w:val="zh-CN"/>
                    </w:rPr>
                  </w:pPr>
                </w:p>
              </w:tc>
              <w:tc>
                <w:tcPr>
                  <w:tcW w:w="200" w:type="pc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ascii="宋体" w:hAnsi="宋体" w:cs="宋体"/>
                      <w:bCs/>
                      <w:kern w:val="0"/>
                      <w:sz w:val="21"/>
                      <w:szCs w:val="21"/>
                      <w:lang w:val="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56" w:type="pct"/>
                  <w:vMerge w:val="continue"/>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p>
              </w:tc>
              <w:tc>
                <w:tcPr>
                  <w:tcW w:w="325" w:type="pc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hint="eastAsia" w:ascii="宋体" w:hAnsi="宋体" w:cs="宋体"/>
                      <w:bCs/>
                      <w:kern w:val="0"/>
                      <w:sz w:val="21"/>
                      <w:szCs w:val="21"/>
                      <w:lang w:val="zh-CN"/>
                    </w:rPr>
                    <w:t>污染物排放管控</w:t>
                  </w:r>
                </w:p>
              </w:tc>
              <w:tc>
                <w:tcPr>
                  <w:tcW w:w="3259" w:type="pct"/>
                  <w:shd w:val="clear" w:color="auto" w:fill="auto"/>
                  <w:vAlign w:val="center"/>
                </w:tcPr>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1、严格区域削减要求。严格执行《生态环境部办公厅关于加强重点行业建设项目区域削减措施监督管理的通知》(环办环评〔2020〕36号)相关要求。</w:t>
                  </w:r>
                </w:p>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2、对保留的工业炉窑开展环保提标改造，配套建设高效脱硫脱硝除尘设施，确保稳定达标排放，按照《河北省工业炉窑综合治理实施方案》执行。</w:t>
                  </w:r>
                </w:p>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3、按照《低挥发性有机化合物含量涂料产品技术要求》(GB/T38597-2020)，开展低挥发性有机物含量涂料推广替代试点工作，加快推进党政机关单位定点印刷企业率先使用水性油墨、大豆油墨等低挥发性有机物含量油墨和胶粘剂。</w:t>
                  </w:r>
                </w:p>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4、加强无组织排放治理，开展钢铁、水泥、燃煤电厂、焦化平板玻璃、陶瓷等行业重点行业无组织排放检查工作，物料存储运输等全部采用密闭或封闭形式。</w:t>
                  </w:r>
                </w:p>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5、加快推进铁路专用线建设，大宗货物及产品年货运量 150万吨以上的企业原则上全部修建铁路专用线，达不到的采用清洁能源汽车或国六排放标准汽车代替。</w:t>
                  </w:r>
                </w:p>
              </w:tc>
              <w:tc>
                <w:tcPr>
                  <w:tcW w:w="960" w:type="pct"/>
                  <w:shd w:val="clear" w:color="auto" w:fill="auto"/>
                  <w:vAlign w:val="center"/>
                </w:tcPr>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1、项目不涉及SO</w:t>
                  </w:r>
                  <w:r>
                    <w:rPr>
                      <w:rFonts w:hint="eastAsia"/>
                      <w:bCs/>
                      <w:kern w:val="0"/>
                      <w:sz w:val="21"/>
                      <w:szCs w:val="21"/>
                      <w:vertAlign w:val="subscript"/>
                      <w:lang w:val="zh-CN"/>
                    </w:rPr>
                    <w:t>2</w:t>
                  </w:r>
                  <w:r>
                    <w:rPr>
                      <w:rFonts w:hint="eastAsia"/>
                      <w:bCs/>
                      <w:kern w:val="0"/>
                      <w:sz w:val="21"/>
                      <w:szCs w:val="21"/>
                      <w:lang w:val="zh-CN"/>
                    </w:rPr>
                    <w:t>、NOx排放，COD和氨氮排放执行区域削减。</w:t>
                  </w:r>
                </w:p>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2、项目不涉及工业炉窑</w:t>
                  </w:r>
                </w:p>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3、项目不使用涂料</w:t>
                  </w:r>
                </w:p>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4、项目为医院项目，不属于钢铁、水泥、燃煤电厂、焦化平板玻璃、陶瓷等重点行业</w:t>
                  </w:r>
                </w:p>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5、项目原辅材料运输不直接使用铁路专用线</w:t>
                  </w:r>
                </w:p>
              </w:tc>
              <w:tc>
                <w:tcPr>
                  <w:tcW w:w="200" w:type="pc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ascii="宋体" w:hAnsi="宋体" w:cs="宋体"/>
                      <w:bCs/>
                      <w:kern w:val="0"/>
                      <w:sz w:val="21"/>
                      <w:szCs w:val="21"/>
                      <w:lang w:val="zh-CN"/>
                    </w:rPr>
                    <w:t>符合</w:t>
                  </w:r>
                </w:p>
              </w:tc>
            </w:tr>
          </w:tbl>
          <w:p>
            <w:pPr>
              <w:pStyle w:val="14"/>
            </w:pPr>
          </w:p>
          <w:p>
            <w:pPr>
              <w:pStyle w:val="14"/>
            </w:pPr>
          </w:p>
          <w:p>
            <w:pPr>
              <w:pStyle w:val="14"/>
            </w:pPr>
          </w:p>
          <w:p>
            <w:pPr>
              <w:pStyle w:val="14"/>
            </w:pPr>
          </w:p>
          <w:p>
            <w:pPr>
              <w:pStyle w:val="14"/>
            </w:pPr>
            <w:r>
              <w:rPr>
                <w:rFonts w:hint="eastAsia"/>
              </w:rPr>
              <w:t>续表2   全市生态环境准入综合管控要求</w:t>
            </w:r>
          </w:p>
          <w:tbl>
            <w:tblPr>
              <w:tblStyle w:val="16"/>
              <w:tblW w:w="495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445"/>
              <w:gridCol w:w="849"/>
              <w:gridCol w:w="5244"/>
              <w:gridCol w:w="1811"/>
              <w:gridCol w:w="3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256" w:type="pc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ascii="宋体" w:hAnsi="宋体" w:cs="宋体"/>
                      <w:bCs/>
                      <w:kern w:val="0"/>
                      <w:sz w:val="21"/>
                      <w:szCs w:val="21"/>
                      <w:lang w:val="zh-CN"/>
                    </w:rPr>
                    <w:t>类别</w:t>
                  </w:r>
                </w:p>
              </w:tc>
              <w:tc>
                <w:tcPr>
                  <w:tcW w:w="488" w:type="pc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hint="eastAsia" w:ascii="宋体" w:hAnsi="宋体" w:cs="宋体"/>
                      <w:bCs/>
                      <w:kern w:val="0"/>
                      <w:sz w:val="21"/>
                      <w:szCs w:val="21"/>
                      <w:lang w:val="zh-CN"/>
                    </w:rPr>
                    <w:t>管控</w:t>
                  </w:r>
                  <w:r>
                    <w:rPr>
                      <w:rFonts w:ascii="宋体" w:hAnsi="宋体" w:cs="宋体"/>
                      <w:bCs/>
                      <w:kern w:val="0"/>
                      <w:sz w:val="21"/>
                      <w:szCs w:val="21"/>
                      <w:lang w:val="zh-CN"/>
                    </w:rPr>
                    <w:t>类型</w:t>
                  </w:r>
                  <w:r>
                    <w:rPr>
                      <w:rFonts w:hint="eastAsia" w:ascii="宋体" w:hAnsi="宋体" w:cs="宋体"/>
                      <w:bCs/>
                      <w:kern w:val="0"/>
                      <w:sz w:val="21"/>
                      <w:szCs w:val="21"/>
                      <w:lang w:val="zh-CN"/>
                    </w:rPr>
                    <w:t>/属性</w:t>
                  </w:r>
                </w:p>
              </w:tc>
              <w:tc>
                <w:tcPr>
                  <w:tcW w:w="3015" w:type="pc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ascii="宋体" w:hAnsi="宋体" w:cs="宋体"/>
                      <w:bCs/>
                      <w:kern w:val="0"/>
                      <w:sz w:val="21"/>
                      <w:szCs w:val="21"/>
                      <w:lang w:val="zh-CN"/>
                    </w:rPr>
                    <w:t>管控要求</w:t>
                  </w:r>
                </w:p>
              </w:tc>
              <w:tc>
                <w:tcPr>
                  <w:tcW w:w="1041" w:type="pc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ascii="宋体" w:hAnsi="宋体" w:cs="宋体"/>
                      <w:bCs/>
                      <w:kern w:val="0"/>
                      <w:sz w:val="21"/>
                      <w:szCs w:val="21"/>
                      <w:lang w:val="zh-CN"/>
                    </w:rPr>
                    <w:t>本项目情况</w:t>
                  </w:r>
                </w:p>
              </w:tc>
              <w:tc>
                <w:tcPr>
                  <w:tcW w:w="200" w:type="pc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hint="eastAsia" w:ascii="宋体" w:hAnsi="宋体" w:cs="宋体"/>
                      <w:bCs/>
                      <w:kern w:val="0"/>
                      <w:sz w:val="21"/>
                      <w:szCs w:val="21"/>
                      <w:lang w:val="zh-CN"/>
                    </w:rPr>
                    <w:t>结论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256" w:type="pct"/>
                  <w:vMerge w:val="restar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hint="eastAsia" w:ascii="宋体" w:hAnsi="宋体" w:cs="宋体"/>
                      <w:bCs/>
                      <w:kern w:val="0"/>
                      <w:sz w:val="21"/>
                      <w:szCs w:val="21"/>
                      <w:lang w:val="zh-CN"/>
                    </w:rPr>
                    <w:t>大气环境总体准入要求</w:t>
                  </w:r>
                </w:p>
              </w:tc>
              <w:tc>
                <w:tcPr>
                  <w:tcW w:w="488" w:type="pc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hint="eastAsia" w:ascii="宋体" w:hAnsi="宋体" w:cs="宋体"/>
                      <w:bCs/>
                      <w:kern w:val="0"/>
                      <w:sz w:val="21"/>
                      <w:szCs w:val="21"/>
                      <w:lang w:val="zh-CN"/>
                    </w:rPr>
                    <w:t>污染物排放管控</w:t>
                  </w:r>
                </w:p>
              </w:tc>
              <w:tc>
                <w:tcPr>
                  <w:tcW w:w="3015" w:type="pct"/>
                  <w:shd w:val="clear" w:color="auto" w:fill="auto"/>
                  <w:vAlign w:val="center"/>
                </w:tcPr>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6、深化建筑施工扬尘专项整治，严格执行《石家庄市建设工程围挡设置和扬尘管理标准》加强道路扬尘综合整治。全市工业企业料堆场全部实现规范管理；对环境敏感区的煤场、料场、渣场实现在线监控和视频监控全覆盖。</w:t>
                  </w:r>
                </w:p>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7、严禁秸秆、垃圾露天焚烧，实施农村地区的散煤替代及清洁开发利用工程。</w:t>
                  </w:r>
                </w:p>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8、巩固钢铁、焦化、煤电、水泥、平板玻璃、陶瓷等行业超低排放成效，实施工艺全流程深度治理，全面加强无组织排放管控。</w:t>
                  </w:r>
                </w:p>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9、对以煤、石油焦、重油等为燃料的工业炉窑，加快使用清洁低碳能源以及利用工厂余热、电厂热力等进行替代，全市禁止掺烧高硫石油焦(硫含量大于 3%)。玻璃行业全面禁止掺烧高硫石油焦。</w:t>
                  </w:r>
                </w:p>
              </w:tc>
              <w:tc>
                <w:tcPr>
                  <w:tcW w:w="1041" w:type="pct"/>
                  <w:shd w:val="clear" w:color="auto" w:fill="auto"/>
                  <w:vAlign w:val="center"/>
                </w:tcPr>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6、项目在现有厂房内建设，施工期仅为内部装修和设备安装，扬尘产生量极小</w:t>
                  </w:r>
                </w:p>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7、项目不涉及秸秆、垃圾露天焚烧</w:t>
                  </w:r>
                </w:p>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8、项目不属于高耗能、高污染行业</w:t>
                  </w:r>
                </w:p>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9、项目不涉及工业炉窑</w:t>
                  </w:r>
                </w:p>
              </w:tc>
              <w:tc>
                <w:tcPr>
                  <w:tcW w:w="200" w:type="pc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ascii="宋体" w:hAnsi="宋体" w:cs="宋体"/>
                      <w:bCs/>
                      <w:kern w:val="0"/>
                      <w:sz w:val="21"/>
                      <w:szCs w:val="21"/>
                      <w:lang w:val="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256" w:type="pct"/>
                  <w:vMerge w:val="continue"/>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p>
              </w:tc>
              <w:tc>
                <w:tcPr>
                  <w:tcW w:w="488" w:type="pc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hint="eastAsia" w:ascii="宋体" w:hAnsi="宋体" w:cs="宋体"/>
                      <w:bCs/>
                      <w:kern w:val="0"/>
                      <w:sz w:val="21"/>
                      <w:szCs w:val="21"/>
                      <w:lang w:val="zh-CN"/>
                    </w:rPr>
                    <w:t>环境风险防控</w:t>
                  </w:r>
                </w:p>
              </w:tc>
              <w:tc>
                <w:tcPr>
                  <w:tcW w:w="3015" w:type="pct"/>
                  <w:shd w:val="clear" w:color="auto" w:fill="auto"/>
                  <w:vAlign w:val="center"/>
                </w:tcPr>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强化源头准入，落实国家重点管控新污染物清单及其禁止、限制、限排措施。对使用有毒有害化学物质或在生产过程中排放新污染物的企业，依法实施强制性清洁生产审核。强化石油化工、涂料、纺织印染、橡胶、农药、医药等行业新污染物环境风险管控。</w:t>
                  </w:r>
                </w:p>
              </w:tc>
              <w:tc>
                <w:tcPr>
                  <w:tcW w:w="1041" w:type="pct"/>
                  <w:shd w:val="clear" w:color="auto" w:fill="auto"/>
                  <w:vAlign w:val="center"/>
                </w:tcPr>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本项目不涉及新污染物使用，项目采取了严格的风险防范措施，风险可控。</w:t>
                  </w:r>
                </w:p>
              </w:tc>
              <w:tc>
                <w:tcPr>
                  <w:tcW w:w="200" w:type="pc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ascii="宋体" w:hAnsi="宋体" w:cs="宋体"/>
                      <w:bCs/>
                      <w:kern w:val="0"/>
                      <w:sz w:val="21"/>
                      <w:szCs w:val="21"/>
                      <w:lang w:val="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256" w:type="pc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hint="eastAsia" w:ascii="宋体" w:hAnsi="宋体" w:cs="宋体"/>
                      <w:bCs/>
                      <w:kern w:val="0"/>
                      <w:sz w:val="21"/>
                      <w:szCs w:val="21"/>
                      <w:lang w:val="zh-CN"/>
                    </w:rPr>
                    <w:t>土壤环境总体管控要求</w:t>
                  </w:r>
                </w:p>
              </w:tc>
              <w:tc>
                <w:tcPr>
                  <w:tcW w:w="488" w:type="pct"/>
                  <w:shd w:val="clear" w:color="auto" w:fill="auto"/>
                  <w:vAlign w:val="center"/>
                </w:tcPr>
                <w:p>
                  <w:pPr>
                    <w:spacing w:line="240" w:lineRule="auto"/>
                    <w:ind w:right="46" w:rightChars="19" w:firstLine="0" w:firstLineChars="0"/>
                    <w:jc w:val="center"/>
                    <w:rPr>
                      <w:sz w:val="21"/>
                      <w:szCs w:val="21"/>
                    </w:rPr>
                  </w:pPr>
                  <w:r>
                    <w:rPr>
                      <w:rFonts w:hint="eastAsia"/>
                      <w:sz w:val="21"/>
                      <w:szCs w:val="21"/>
                    </w:rPr>
                    <w:t>市政基础设施用地</w:t>
                  </w:r>
                </w:p>
              </w:tc>
              <w:tc>
                <w:tcPr>
                  <w:tcW w:w="3015" w:type="pct"/>
                  <w:shd w:val="clear" w:color="auto" w:fill="auto"/>
                  <w:vAlign w:val="center"/>
                </w:tcPr>
                <w:p>
                  <w:pPr>
                    <w:spacing w:line="240" w:lineRule="auto"/>
                    <w:ind w:right="46" w:rightChars="19" w:firstLine="0" w:firstLineChars="0"/>
                    <w:jc w:val="left"/>
                    <w:rPr>
                      <w:sz w:val="21"/>
                      <w:szCs w:val="21"/>
                    </w:rPr>
                  </w:pPr>
                  <w:r>
                    <w:rPr>
                      <w:rFonts w:hint="eastAsia"/>
                      <w:sz w:val="21"/>
                      <w:szCs w:val="21"/>
                    </w:rPr>
                    <w:t>1、建设和运行固体废物处置设施，应当采取防扬散、防流失、防渗漏等措施，依法贮存、利用、处置固体废物。处置生活垃圾，应当优先采用焚烧处理技术，有计划地实现垃圾零填埋，已有的垃圾填埋处置设施应当建设渗滤液收集和处理、处置设施，并采取相应措施防止土壤污染。</w:t>
                  </w:r>
                </w:p>
                <w:p>
                  <w:pPr>
                    <w:spacing w:line="240" w:lineRule="auto"/>
                    <w:ind w:right="46" w:rightChars="19" w:firstLine="0" w:firstLineChars="0"/>
                    <w:jc w:val="left"/>
                    <w:rPr>
                      <w:sz w:val="21"/>
                      <w:szCs w:val="21"/>
                    </w:rPr>
                  </w:pPr>
                  <w:r>
                    <w:rPr>
                      <w:rFonts w:hint="eastAsia"/>
                      <w:sz w:val="21"/>
                      <w:szCs w:val="21"/>
                    </w:rPr>
                    <w:t>2、建设和运行污水集中处理设施，应当安全处理、处置污泥，处理、处置后的污泥应当符合国家有关标准。</w:t>
                  </w:r>
                </w:p>
              </w:tc>
              <w:tc>
                <w:tcPr>
                  <w:tcW w:w="1041" w:type="pct"/>
                  <w:shd w:val="clear" w:color="auto" w:fill="auto"/>
                  <w:vAlign w:val="center"/>
                </w:tcPr>
                <w:p>
                  <w:pPr>
                    <w:spacing w:line="240" w:lineRule="auto"/>
                    <w:ind w:right="46" w:rightChars="19" w:firstLine="0" w:firstLineChars="0"/>
                    <w:jc w:val="left"/>
                    <w:rPr>
                      <w:sz w:val="21"/>
                      <w:szCs w:val="21"/>
                    </w:rPr>
                  </w:pPr>
                  <w:r>
                    <w:rPr>
                      <w:bCs/>
                      <w:sz w:val="21"/>
                      <w:szCs w:val="21"/>
                    </w:rPr>
                    <w:t>本</w:t>
                  </w:r>
                  <w:r>
                    <w:rPr>
                      <w:rFonts w:hint="eastAsia"/>
                      <w:bCs/>
                      <w:kern w:val="0"/>
                      <w:sz w:val="21"/>
                      <w:szCs w:val="21"/>
                      <w:lang w:val="zh-CN"/>
                    </w:rPr>
                    <w:t>项目不属于固体废物处置项目，产生的废水经</w:t>
                  </w:r>
                  <w:r>
                    <w:rPr>
                      <w:rFonts w:hint="eastAsia"/>
                      <w:bCs/>
                      <w:kern w:val="0"/>
                      <w:sz w:val="21"/>
                      <w:szCs w:val="21"/>
                    </w:rPr>
                    <w:t>酸碱中和、</w:t>
                  </w:r>
                  <w:r>
                    <w:rPr>
                      <w:rFonts w:hint="eastAsia"/>
                      <w:bCs/>
                      <w:kern w:val="0"/>
                      <w:sz w:val="21"/>
                      <w:szCs w:val="21"/>
                      <w:lang w:val="zh-CN"/>
                    </w:rPr>
                    <w:t>化粪池+</w:t>
                  </w:r>
                  <w:r>
                    <w:rPr>
                      <w:rFonts w:hint="eastAsia"/>
                      <w:bCs/>
                      <w:kern w:val="0"/>
                      <w:sz w:val="21"/>
                      <w:szCs w:val="21"/>
                    </w:rPr>
                    <w:t>污水处理处理设备处理</w:t>
                  </w:r>
                  <w:r>
                    <w:rPr>
                      <w:rFonts w:hint="eastAsia"/>
                      <w:bCs/>
                      <w:sz w:val="21"/>
                      <w:szCs w:val="21"/>
                    </w:rPr>
                    <w:t>。</w:t>
                  </w:r>
                  <w:r>
                    <w:rPr>
                      <w:rFonts w:hint="eastAsia"/>
                      <w:sz w:val="21"/>
                      <w:szCs w:val="21"/>
                    </w:rPr>
                    <w:t>污水处理产生的污泥作为危废处理，符合要求。</w:t>
                  </w:r>
                </w:p>
              </w:tc>
              <w:tc>
                <w:tcPr>
                  <w:tcW w:w="200" w:type="pct"/>
                  <w:shd w:val="clear" w:color="auto" w:fill="auto"/>
                  <w:vAlign w:val="center"/>
                </w:tcPr>
                <w:p>
                  <w:pPr>
                    <w:spacing w:line="240" w:lineRule="auto"/>
                    <w:ind w:right="46" w:rightChars="19" w:firstLine="0" w:firstLineChars="0"/>
                    <w:jc w:val="center"/>
                    <w:rPr>
                      <w:sz w:val="21"/>
                      <w:szCs w:val="21"/>
                    </w:rPr>
                  </w:pPr>
                  <w:r>
                    <w:rPr>
                      <w:rFonts w:hint="eastAsia"/>
                      <w:sz w:val="21"/>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256" w:type="pc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hint="eastAsia" w:ascii="宋体" w:hAnsi="宋体" w:cs="宋体"/>
                      <w:bCs/>
                      <w:kern w:val="0"/>
                      <w:sz w:val="21"/>
                      <w:szCs w:val="21"/>
                      <w:lang w:val="zh-CN"/>
                    </w:rPr>
                    <w:t>资源总体管控要求</w:t>
                  </w:r>
                </w:p>
              </w:tc>
              <w:tc>
                <w:tcPr>
                  <w:tcW w:w="488" w:type="pct"/>
                  <w:shd w:val="clear" w:color="auto" w:fill="auto"/>
                  <w:vAlign w:val="center"/>
                </w:tcPr>
                <w:p>
                  <w:pPr>
                    <w:adjustRightInd w:val="0"/>
                    <w:snapToGrid w:val="0"/>
                    <w:spacing w:line="240" w:lineRule="auto"/>
                    <w:ind w:firstLine="0" w:firstLineChars="0"/>
                    <w:contextualSpacing/>
                    <w:jc w:val="center"/>
                    <w:rPr>
                      <w:bCs/>
                      <w:kern w:val="0"/>
                      <w:sz w:val="21"/>
                      <w:szCs w:val="21"/>
                      <w:lang w:val="zh-CN"/>
                    </w:rPr>
                  </w:pPr>
                  <w:r>
                    <w:rPr>
                      <w:bCs/>
                      <w:kern w:val="0"/>
                      <w:sz w:val="21"/>
                      <w:szCs w:val="21"/>
                      <w:lang w:val="zh-CN"/>
                    </w:rPr>
                    <w:t>水资源</w:t>
                  </w:r>
                  <w:r>
                    <w:rPr>
                      <w:rFonts w:hint="eastAsia"/>
                      <w:bCs/>
                      <w:kern w:val="0"/>
                      <w:sz w:val="21"/>
                      <w:szCs w:val="21"/>
                      <w:lang w:val="zh-CN"/>
                    </w:rPr>
                    <w:t>一般管控区</w:t>
                  </w:r>
                </w:p>
              </w:tc>
              <w:tc>
                <w:tcPr>
                  <w:tcW w:w="3015" w:type="pct"/>
                  <w:shd w:val="clear" w:color="auto" w:fill="auto"/>
                  <w:vAlign w:val="center"/>
                </w:tcPr>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1、严格执行“最严格水资源管理制度”确定的用水总量控制指标，加强水资源取水论证，严格水资源总量考核管理，同时全面推进节水型社会建设，提高用水效率。</w:t>
                  </w:r>
                </w:p>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2、地下水开采重点管控区外的地下水超采区按照《华北地区地下水超采综合治理行动方案》、《河北省人民政府关于公布地下水超采区和禁止开采区、限制开采区范围的通知》及《关于地下水超采综合治理实施意见》进行管控。</w:t>
                  </w:r>
                </w:p>
              </w:tc>
              <w:tc>
                <w:tcPr>
                  <w:tcW w:w="1041" w:type="pct"/>
                  <w:shd w:val="clear" w:color="auto" w:fill="auto"/>
                  <w:vAlign w:val="center"/>
                </w:tcPr>
                <w:p>
                  <w:pPr>
                    <w:adjustRightInd w:val="0"/>
                    <w:snapToGrid w:val="0"/>
                    <w:spacing w:line="240" w:lineRule="auto"/>
                    <w:ind w:firstLine="0" w:firstLineChars="0"/>
                    <w:contextualSpacing/>
                    <w:jc w:val="left"/>
                    <w:rPr>
                      <w:bCs/>
                      <w:kern w:val="0"/>
                      <w:sz w:val="21"/>
                      <w:szCs w:val="21"/>
                      <w:lang w:val="zh-CN"/>
                    </w:rPr>
                  </w:pPr>
                  <w:r>
                    <w:rPr>
                      <w:bCs/>
                      <w:kern w:val="0"/>
                      <w:sz w:val="21"/>
                      <w:szCs w:val="21"/>
                      <w:lang w:val="zh-CN"/>
                    </w:rPr>
                    <w:t>项目用水依托</w:t>
                  </w:r>
                  <w:r>
                    <w:rPr>
                      <w:rFonts w:hint="eastAsia"/>
                      <w:bCs/>
                      <w:kern w:val="0"/>
                      <w:sz w:val="21"/>
                      <w:szCs w:val="21"/>
                    </w:rPr>
                    <w:t>市政集中供水</w:t>
                  </w:r>
                  <w:r>
                    <w:rPr>
                      <w:bCs/>
                      <w:kern w:val="0"/>
                      <w:sz w:val="21"/>
                      <w:szCs w:val="21"/>
                      <w:lang w:val="zh-CN"/>
                    </w:rPr>
                    <w:t>，不取用地下水。</w:t>
                  </w:r>
                </w:p>
              </w:tc>
              <w:tc>
                <w:tcPr>
                  <w:tcW w:w="200" w:type="pc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ascii="宋体" w:hAnsi="宋体" w:cs="宋体"/>
                      <w:bCs/>
                      <w:kern w:val="0"/>
                      <w:sz w:val="21"/>
                      <w:szCs w:val="21"/>
                      <w:lang w:val="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256" w:type="pc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hint="eastAsia" w:ascii="宋体" w:hAnsi="宋体" w:cs="宋体"/>
                      <w:bCs/>
                      <w:kern w:val="0"/>
                      <w:sz w:val="21"/>
                      <w:szCs w:val="21"/>
                      <w:lang w:val="zh-CN"/>
                    </w:rPr>
                    <w:t>全市产业布局总体管控要求</w:t>
                  </w:r>
                </w:p>
              </w:tc>
              <w:tc>
                <w:tcPr>
                  <w:tcW w:w="488" w:type="pct"/>
                  <w:shd w:val="clear" w:color="auto" w:fill="auto"/>
                  <w:vAlign w:val="center"/>
                </w:tcPr>
                <w:p>
                  <w:pPr>
                    <w:adjustRightInd w:val="0"/>
                    <w:snapToGrid w:val="0"/>
                    <w:spacing w:line="240" w:lineRule="auto"/>
                    <w:ind w:firstLine="0" w:firstLineChars="0"/>
                    <w:contextualSpacing/>
                    <w:jc w:val="center"/>
                    <w:rPr>
                      <w:bCs/>
                      <w:kern w:val="0"/>
                      <w:sz w:val="21"/>
                      <w:szCs w:val="21"/>
                      <w:lang w:val="zh-CN"/>
                    </w:rPr>
                  </w:pPr>
                  <w:r>
                    <w:rPr>
                      <w:rFonts w:hint="eastAsia" w:ascii="宋体" w:hAnsi="宋体" w:cs="宋体"/>
                      <w:bCs/>
                      <w:kern w:val="0"/>
                      <w:sz w:val="21"/>
                      <w:szCs w:val="21"/>
                      <w:lang w:val="zh-CN"/>
                    </w:rPr>
                    <w:t>产业总体布局要求</w:t>
                  </w:r>
                </w:p>
              </w:tc>
              <w:tc>
                <w:tcPr>
                  <w:tcW w:w="3015" w:type="pct"/>
                  <w:shd w:val="clear" w:color="auto" w:fill="auto"/>
                  <w:vAlign w:val="center"/>
                </w:tcPr>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1、严格建设项目环境准入，新、改、扩建项目的环境影响评价应满足区域、规划环评要求。</w:t>
                  </w:r>
                </w:p>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2、新建、改建、扩建用煤项目，应当实行煤炭的等量或者减量替代。</w:t>
                  </w:r>
                </w:p>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3、严格执行国家《产业结构调整指导目录》、《市场准入负面清单》以及《河北省禁止投资的产业目录》中准入要求。</w:t>
                  </w:r>
                </w:p>
                <w:p>
                  <w:pPr>
                    <w:adjustRightInd w:val="0"/>
                    <w:snapToGrid w:val="0"/>
                    <w:spacing w:line="240" w:lineRule="auto"/>
                    <w:ind w:firstLine="0" w:firstLineChars="0"/>
                    <w:contextualSpacing/>
                    <w:jc w:val="left"/>
                    <w:rPr>
                      <w:bCs/>
                      <w:kern w:val="0"/>
                      <w:sz w:val="21"/>
                      <w:szCs w:val="21"/>
                      <w:lang w:val="zh-CN"/>
                    </w:rPr>
                  </w:pPr>
                </w:p>
              </w:tc>
              <w:tc>
                <w:tcPr>
                  <w:tcW w:w="1041" w:type="pct"/>
                  <w:shd w:val="clear" w:color="auto" w:fill="auto"/>
                  <w:vAlign w:val="center"/>
                </w:tcPr>
                <w:p>
                  <w:pPr>
                    <w:adjustRightInd w:val="0"/>
                    <w:snapToGrid w:val="0"/>
                    <w:spacing w:line="240" w:lineRule="auto"/>
                    <w:ind w:firstLine="0" w:firstLineChars="0"/>
                    <w:contextualSpacing/>
                    <w:jc w:val="left"/>
                    <w:rPr>
                      <w:bCs/>
                      <w:kern w:val="0"/>
                      <w:sz w:val="21"/>
                      <w:szCs w:val="21"/>
                    </w:rPr>
                  </w:pPr>
                  <w:r>
                    <w:rPr>
                      <w:rFonts w:hint="eastAsia"/>
                      <w:bCs/>
                      <w:kern w:val="0"/>
                      <w:sz w:val="21"/>
                      <w:szCs w:val="21"/>
                      <w:lang w:val="zh-CN"/>
                    </w:rPr>
                    <w:t>1、项目满足环境准入要求。</w:t>
                  </w:r>
                </w:p>
                <w:p>
                  <w:pPr>
                    <w:adjustRightInd w:val="0"/>
                    <w:snapToGrid w:val="0"/>
                    <w:spacing w:line="240" w:lineRule="auto"/>
                    <w:ind w:firstLine="0" w:firstLineChars="0"/>
                    <w:contextualSpacing/>
                    <w:jc w:val="left"/>
                    <w:rPr>
                      <w:bCs/>
                      <w:kern w:val="0"/>
                      <w:sz w:val="21"/>
                      <w:szCs w:val="21"/>
                    </w:rPr>
                  </w:pPr>
                  <w:r>
                    <w:rPr>
                      <w:rFonts w:hint="eastAsia"/>
                      <w:bCs/>
                      <w:kern w:val="0"/>
                      <w:sz w:val="21"/>
                      <w:szCs w:val="21"/>
                    </w:rPr>
                    <w:t>2、项目不涉及使用煤炭。</w:t>
                  </w:r>
                </w:p>
                <w:p>
                  <w:pPr>
                    <w:adjustRightInd w:val="0"/>
                    <w:snapToGrid w:val="0"/>
                    <w:spacing w:line="240" w:lineRule="auto"/>
                    <w:ind w:firstLine="0" w:firstLineChars="0"/>
                    <w:contextualSpacing/>
                    <w:jc w:val="left"/>
                    <w:rPr>
                      <w:bCs/>
                      <w:kern w:val="0"/>
                      <w:sz w:val="21"/>
                      <w:szCs w:val="21"/>
                    </w:rPr>
                  </w:pPr>
                  <w:r>
                    <w:rPr>
                      <w:rFonts w:hint="eastAsia"/>
                      <w:bCs/>
                      <w:kern w:val="0"/>
                      <w:sz w:val="21"/>
                      <w:szCs w:val="21"/>
                    </w:rPr>
                    <w:t>3、</w:t>
                  </w:r>
                  <w:r>
                    <w:rPr>
                      <w:bCs/>
                      <w:kern w:val="0"/>
                      <w:sz w:val="21"/>
                      <w:szCs w:val="21"/>
                      <w:lang w:val="zh-CN"/>
                    </w:rPr>
                    <w:t>本项目</w:t>
                  </w:r>
                  <w:r>
                    <w:rPr>
                      <w:rFonts w:hint="eastAsia"/>
                      <w:bCs/>
                      <w:kern w:val="0"/>
                      <w:sz w:val="21"/>
                      <w:szCs w:val="21"/>
                    </w:rPr>
                    <w:t>建设符合《产业结构调整指导目录》、《市场准入负面清单》以及《河北省禁止投资的产业目录》中准入要求。</w:t>
                  </w:r>
                </w:p>
              </w:tc>
              <w:tc>
                <w:tcPr>
                  <w:tcW w:w="200" w:type="pc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ascii="宋体" w:hAnsi="宋体" w:cs="宋体"/>
                      <w:bCs/>
                      <w:kern w:val="0"/>
                      <w:sz w:val="21"/>
                      <w:szCs w:val="21"/>
                      <w:lang w:val="zh-CN"/>
                    </w:rPr>
                    <w:t>符合</w:t>
                  </w:r>
                </w:p>
              </w:tc>
            </w:tr>
          </w:tbl>
          <w:p>
            <w:pPr>
              <w:pStyle w:val="14"/>
            </w:pPr>
          </w:p>
          <w:p>
            <w:pPr>
              <w:pStyle w:val="14"/>
            </w:pPr>
          </w:p>
          <w:p>
            <w:pPr>
              <w:pStyle w:val="14"/>
            </w:pPr>
            <w:r>
              <w:rPr>
                <w:rFonts w:hint="eastAsia"/>
              </w:rPr>
              <w:t>续表2   全市生态环境准入综合管控要求</w:t>
            </w:r>
          </w:p>
          <w:tbl>
            <w:tblPr>
              <w:tblStyle w:val="16"/>
              <w:tblW w:w="495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586"/>
              <w:gridCol w:w="852"/>
              <w:gridCol w:w="5383"/>
              <w:gridCol w:w="1421"/>
              <w:gridCol w:w="4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337" w:type="pc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ascii="宋体" w:hAnsi="宋体" w:cs="宋体"/>
                      <w:bCs/>
                      <w:kern w:val="0"/>
                      <w:sz w:val="21"/>
                      <w:szCs w:val="21"/>
                      <w:lang w:val="zh-CN"/>
                    </w:rPr>
                    <w:t>类别</w:t>
                  </w:r>
                </w:p>
              </w:tc>
              <w:tc>
                <w:tcPr>
                  <w:tcW w:w="490" w:type="pc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hint="eastAsia" w:ascii="宋体" w:hAnsi="宋体" w:cs="宋体"/>
                      <w:bCs/>
                      <w:kern w:val="0"/>
                      <w:sz w:val="21"/>
                      <w:szCs w:val="21"/>
                      <w:lang w:val="zh-CN"/>
                    </w:rPr>
                    <w:t>管控</w:t>
                  </w:r>
                  <w:r>
                    <w:rPr>
                      <w:rFonts w:ascii="宋体" w:hAnsi="宋体" w:cs="宋体"/>
                      <w:bCs/>
                      <w:kern w:val="0"/>
                      <w:sz w:val="21"/>
                      <w:szCs w:val="21"/>
                      <w:lang w:val="zh-CN"/>
                    </w:rPr>
                    <w:t>类型</w:t>
                  </w:r>
                  <w:r>
                    <w:rPr>
                      <w:rFonts w:hint="eastAsia" w:ascii="宋体" w:hAnsi="宋体" w:cs="宋体"/>
                      <w:bCs/>
                      <w:kern w:val="0"/>
                      <w:sz w:val="21"/>
                      <w:szCs w:val="21"/>
                      <w:lang w:val="zh-CN"/>
                    </w:rPr>
                    <w:t>/属性</w:t>
                  </w:r>
                </w:p>
              </w:tc>
              <w:tc>
                <w:tcPr>
                  <w:tcW w:w="3095" w:type="pc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ascii="宋体" w:hAnsi="宋体" w:cs="宋体"/>
                      <w:bCs/>
                      <w:kern w:val="0"/>
                      <w:sz w:val="21"/>
                      <w:szCs w:val="21"/>
                      <w:lang w:val="zh-CN"/>
                    </w:rPr>
                    <w:t>管控要求</w:t>
                  </w:r>
                </w:p>
              </w:tc>
              <w:tc>
                <w:tcPr>
                  <w:tcW w:w="817" w:type="pc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ascii="宋体" w:hAnsi="宋体" w:cs="宋体"/>
                      <w:bCs/>
                      <w:kern w:val="0"/>
                      <w:sz w:val="21"/>
                      <w:szCs w:val="21"/>
                      <w:lang w:val="zh-CN"/>
                    </w:rPr>
                    <w:t>本项目情况</w:t>
                  </w:r>
                </w:p>
              </w:tc>
              <w:tc>
                <w:tcPr>
                  <w:tcW w:w="261" w:type="pc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hint="eastAsia" w:ascii="宋体" w:hAnsi="宋体" w:cs="宋体"/>
                      <w:bCs/>
                      <w:kern w:val="0"/>
                      <w:sz w:val="21"/>
                      <w:szCs w:val="21"/>
                      <w:lang w:val="zh-CN"/>
                    </w:rPr>
                    <w:t>结论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337" w:type="pc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hint="eastAsia" w:ascii="宋体" w:hAnsi="宋体" w:cs="宋体"/>
                      <w:bCs/>
                      <w:kern w:val="0"/>
                      <w:sz w:val="21"/>
                      <w:szCs w:val="21"/>
                      <w:lang w:val="zh-CN"/>
                    </w:rPr>
                    <w:t>全市产业布局总体管控要求</w:t>
                  </w:r>
                </w:p>
              </w:tc>
              <w:tc>
                <w:tcPr>
                  <w:tcW w:w="490" w:type="pct"/>
                  <w:shd w:val="clear" w:color="auto" w:fill="auto"/>
                  <w:vAlign w:val="center"/>
                </w:tcPr>
                <w:p>
                  <w:pPr>
                    <w:adjustRightInd w:val="0"/>
                    <w:snapToGrid w:val="0"/>
                    <w:spacing w:line="240" w:lineRule="auto"/>
                    <w:ind w:firstLine="0" w:firstLineChars="0"/>
                    <w:contextualSpacing/>
                    <w:jc w:val="center"/>
                    <w:rPr>
                      <w:bCs/>
                      <w:kern w:val="0"/>
                      <w:sz w:val="21"/>
                      <w:szCs w:val="21"/>
                      <w:lang w:val="zh-CN"/>
                    </w:rPr>
                  </w:pPr>
                  <w:r>
                    <w:rPr>
                      <w:rFonts w:hint="eastAsia" w:ascii="宋体" w:hAnsi="宋体" w:cs="宋体"/>
                      <w:bCs/>
                      <w:kern w:val="0"/>
                      <w:sz w:val="21"/>
                      <w:szCs w:val="21"/>
                      <w:lang w:val="zh-CN"/>
                    </w:rPr>
                    <w:t>产业总体布局要求</w:t>
                  </w:r>
                </w:p>
              </w:tc>
              <w:tc>
                <w:tcPr>
                  <w:tcW w:w="3095" w:type="pct"/>
                  <w:shd w:val="clear" w:color="auto" w:fill="auto"/>
                  <w:vAlign w:val="center"/>
                </w:tcPr>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4、严格控制《环境保护综合名录》中“高污染、高环境风险”产品加工项目，城市工业企业退城搬迁改造及产能置换项目除外。</w:t>
                  </w:r>
                </w:p>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5、新建项目一律不得违规占用河库管理范围。</w:t>
                  </w:r>
                </w:p>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6、以石化、化工、涂装、医药、包装印刷、油品储运销等行业领域为重点，安全高效推进挥发性有机物(VOCs)综合治理，实施原辅材料和产品源头替代、无组织排放和末端深度治理等提升改造工程。</w:t>
                  </w:r>
                </w:p>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7、锅炉大气污染物排放控制要求、污染物监测要求、达标判定要求按照河北省地标《锅炉大气污染物排放标准》(DB13/5161-2020)执行。</w:t>
                  </w:r>
                </w:p>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8、禁止在居民区和学校、医院、疗养院、养老院等单位周边新建、改建、扩建有色金属冶炼、石油加工、焦化、化工、电镀、制革等可能造成土壤污染的建设项目。</w:t>
                  </w:r>
                </w:p>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9、在地下水超采区控制高耗水产业发展。</w:t>
                  </w:r>
                </w:p>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10、涉重金属重点行业企业“十四五”期间依法依规至少开展一轮强制性清洁生产审核，到2025年底，涉重金属重点行业企业基本达到国内清洁生产先进水平。</w:t>
                  </w:r>
                </w:p>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11、按照《关于进一步加强塑料污染治理的实施方案》要求，石家庄城市建成区和重点领域禁止、限制部分塑料制品的生产、销售和使用。</w:t>
                  </w:r>
                </w:p>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12、实施制造业绿色改造重点专项，开展制造业绿色发展示范工程，推进生物医药、化工、钢铁等行业工艺技术装备绿色化改造。鼓励企业实施绿色战略、绿色标准、绿色管理和绿色生产，推行“互联网+绿色制造”模式，开发绿色产品，建设绿色工厂，打造绿色供应链，构建绿色制造体系。大力发展节能环保、清洁生产和清洁能源产业。在钢铁、火电、水泥、化工等重点行业推广低碳节能技术改造，探索开展碳捕集、利用与封存试验示范，控制工业领域温室气体排放。加快构建绿色低碳的综合交通运输体系，实施一批绿色公路、绿色机场等示范工程。全面推行清洁生产，推进钢铁、石化、建材、纺织、食品等重点行业强制性清洁生产审核。</w:t>
                  </w:r>
                </w:p>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13、新建、改建、扩建“两高”项目须符合生态环境保护法律法规和相关法定规划，满足重点污染物排放总量控制、碳排放达峰目标、生态环境准入清单、相关规划环评和相应行业建设项目环境准入条件、环评文件审批原则要求。新增主要污染物排放量的“两高”项目，严格落实生态环境部《关于加强重点行业建设项目区域削减措施监督管理的通知要求》，提出有效区域削减方案，主要污染物实行区域倍量削减，规范削减措施来源，强化建设单位、出让减排量排污单位和地方政府责任，确保落实区域削减措施。</w:t>
                  </w:r>
                </w:p>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14、省级人民政府及其有关部门批准设立的经济技术开发区、高新技术产业开发区、旅游度假区等产业园区及市级人民政府批准设立的各类产业园区，在编制开发建设有关规划时，应依法开展规划环评工作，编制环境影响报告书。涉及“一区多园”的产业园区，应整体开展规划环境影响评价(跟踪评价)工作，实现规划环评“一本制”。</w:t>
                  </w:r>
                </w:p>
              </w:tc>
              <w:tc>
                <w:tcPr>
                  <w:tcW w:w="817" w:type="pct"/>
                  <w:shd w:val="clear" w:color="auto" w:fill="auto"/>
                  <w:vAlign w:val="center"/>
                </w:tcPr>
                <w:p>
                  <w:pPr>
                    <w:adjustRightInd w:val="0"/>
                    <w:snapToGrid w:val="0"/>
                    <w:spacing w:line="240" w:lineRule="auto"/>
                    <w:ind w:firstLine="0" w:firstLineChars="0"/>
                    <w:contextualSpacing/>
                    <w:jc w:val="left"/>
                    <w:rPr>
                      <w:bCs/>
                      <w:kern w:val="0"/>
                      <w:sz w:val="21"/>
                      <w:szCs w:val="21"/>
                    </w:rPr>
                  </w:pPr>
                  <w:r>
                    <w:rPr>
                      <w:rFonts w:hint="eastAsia"/>
                      <w:bCs/>
                      <w:kern w:val="0"/>
                      <w:sz w:val="21"/>
                      <w:szCs w:val="21"/>
                    </w:rPr>
                    <w:t>4、本项目为医院，不属于“高污染、高风险”产品加工项目。</w:t>
                  </w:r>
                </w:p>
                <w:p>
                  <w:pPr>
                    <w:adjustRightInd w:val="0"/>
                    <w:snapToGrid w:val="0"/>
                    <w:spacing w:line="240" w:lineRule="auto"/>
                    <w:ind w:firstLine="0" w:firstLineChars="0"/>
                    <w:contextualSpacing/>
                    <w:jc w:val="left"/>
                    <w:rPr>
                      <w:bCs/>
                      <w:kern w:val="0"/>
                      <w:sz w:val="21"/>
                      <w:szCs w:val="21"/>
                    </w:rPr>
                  </w:pPr>
                  <w:r>
                    <w:rPr>
                      <w:rFonts w:hint="eastAsia"/>
                      <w:bCs/>
                      <w:kern w:val="0"/>
                      <w:sz w:val="21"/>
                      <w:szCs w:val="21"/>
                    </w:rPr>
                    <w:t>5、项目不占用河库管理范围。</w:t>
                  </w:r>
                </w:p>
                <w:p>
                  <w:pPr>
                    <w:adjustRightInd w:val="0"/>
                    <w:snapToGrid w:val="0"/>
                    <w:spacing w:line="240" w:lineRule="auto"/>
                    <w:ind w:firstLine="0" w:firstLineChars="0"/>
                    <w:contextualSpacing/>
                    <w:jc w:val="left"/>
                    <w:rPr>
                      <w:bCs/>
                      <w:kern w:val="0"/>
                      <w:sz w:val="21"/>
                      <w:szCs w:val="21"/>
                    </w:rPr>
                  </w:pPr>
                  <w:r>
                    <w:rPr>
                      <w:rFonts w:hint="eastAsia"/>
                      <w:bCs/>
                      <w:kern w:val="0"/>
                      <w:sz w:val="21"/>
                      <w:szCs w:val="21"/>
                    </w:rPr>
                    <w:t>6、项目不涉及VOC排放。</w:t>
                  </w:r>
                </w:p>
                <w:p>
                  <w:pPr>
                    <w:adjustRightInd w:val="0"/>
                    <w:snapToGrid w:val="0"/>
                    <w:spacing w:line="240" w:lineRule="auto"/>
                    <w:ind w:firstLine="0" w:firstLineChars="0"/>
                    <w:contextualSpacing/>
                    <w:jc w:val="left"/>
                    <w:rPr>
                      <w:bCs/>
                      <w:kern w:val="0"/>
                      <w:sz w:val="21"/>
                      <w:szCs w:val="21"/>
                    </w:rPr>
                  </w:pPr>
                  <w:r>
                    <w:rPr>
                      <w:rFonts w:hint="eastAsia"/>
                      <w:bCs/>
                      <w:kern w:val="0"/>
                      <w:sz w:val="21"/>
                      <w:szCs w:val="21"/>
                    </w:rPr>
                    <w:t>7、项目不设锅炉。</w:t>
                  </w:r>
                </w:p>
                <w:p>
                  <w:pPr>
                    <w:adjustRightInd w:val="0"/>
                    <w:snapToGrid w:val="0"/>
                    <w:spacing w:line="240" w:lineRule="auto"/>
                    <w:ind w:firstLine="0" w:firstLineChars="0"/>
                    <w:contextualSpacing/>
                    <w:jc w:val="left"/>
                    <w:rPr>
                      <w:bCs/>
                      <w:kern w:val="0"/>
                      <w:sz w:val="21"/>
                      <w:szCs w:val="21"/>
                    </w:rPr>
                  </w:pPr>
                  <w:r>
                    <w:rPr>
                      <w:rFonts w:hint="eastAsia"/>
                      <w:bCs/>
                      <w:kern w:val="0"/>
                      <w:sz w:val="21"/>
                      <w:szCs w:val="21"/>
                    </w:rPr>
                    <w:t>8、项目不属于有色金属冶炼、石油加工、焦化、化工、电镀、制革等可能造成土壤污染的建设项目。</w:t>
                  </w:r>
                </w:p>
                <w:p>
                  <w:pPr>
                    <w:adjustRightInd w:val="0"/>
                    <w:snapToGrid w:val="0"/>
                    <w:spacing w:line="240" w:lineRule="auto"/>
                    <w:ind w:firstLine="0" w:firstLineChars="0"/>
                    <w:contextualSpacing/>
                    <w:jc w:val="left"/>
                    <w:rPr>
                      <w:bCs/>
                      <w:kern w:val="0"/>
                      <w:sz w:val="21"/>
                      <w:szCs w:val="21"/>
                    </w:rPr>
                  </w:pPr>
                  <w:r>
                    <w:rPr>
                      <w:rFonts w:hint="eastAsia"/>
                      <w:bCs/>
                      <w:kern w:val="0"/>
                      <w:sz w:val="21"/>
                      <w:szCs w:val="21"/>
                    </w:rPr>
                    <w:t>9、项目不属于高耗水项目。</w:t>
                  </w:r>
                </w:p>
                <w:p>
                  <w:pPr>
                    <w:adjustRightInd w:val="0"/>
                    <w:snapToGrid w:val="0"/>
                    <w:spacing w:line="240" w:lineRule="auto"/>
                    <w:ind w:firstLine="0" w:firstLineChars="0"/>
                    <w:contextualSpacing/>
                    <w:jc w:val="left"/>
                    <w:rPr>
                      <w:bCs/>
                      <w:kern w:val="0"/>
                      <w:sz w:val="21"/>
                      <w:szCs w:val="21"/>
                    </w:rPr>
                  </w:pPr>
                  <w:r>
                    <w:rPr>
                      <w:rFonts w:hint="eastAsia"/>
                      <w:bCs/>
                      <w:kern w:val="0"/>
                      <w:sz w:val="21"/>
                      <w:szCs w:val="21"/>
                    </w:rPr>
                    <w:t>10、不涉及</w:t>
                  </w:r>
                </w:p>
                <w:p>
                  <w:pPr>
                    <w:adjustRightInd w:val="0"/>
                    <w:snapToGrid w:val="0"/>
                    <w:spacing w:line="240" w:lineRule="auto"/>
                    <w:ind w:firstLine="0" w:firstLineChars="0"/>
                    <w:contextualSpacing/>
                    <w:jc w:val="left"/>
                    <w:rPr>
                      <w:bCs/>
                      <w:kern w:val="0"/>
                      <w:sz w:val="21"/>
                      <w:szCs w:val="21"/>
                    </w:rPr>
                  </w:pPr>
                  <w:r>
                    <w:rPr>
                      <w:rFonts w:hint="eastAsia"/>
                      <w:bCs/>
                      <w:kern w:val="0"/>
                      <w:sz w:val="21"/>
                      <w:szCs w:val="21"/>
                    </w:rPr>
                    <w:t>11、不涉及</w:t>
                  </w:r>
                </w:p>
                <w:p>
                  <w:pPr>
                    <w:adjustRightInd w:val="0"/>
                    <w:snapToGrid w:val="0"/>
                    <w:spacing w:line="240" w:lineRule="auto"/>
                    <w:ind w:firstLine="0" w:firstLineChars="0"/>
                    <w:contextualSpacing/>
                    <w:jc w:val="left"/>
                    <w:rPr>
                      <w:bCs/>
                      <w:kern w:val="0"/>
                      <w:sz w:val="21"/>
                      <w:szCs w:val="21"/>
                    </w:rPr>
                  </w:pPr>
                  <w:r>
                    <w:rPr>
                      <w:rFonts w:hint="eastAsia"/>
                      <w:bCs/>
                      <w:kern w:val="0"/>
                      <w:sz w:val="21"/>
                      <w:szCs w:val="21"/>
                    </w:rPr>
                    <w:t>12、项目采取先进的生产工艺和设备，推行清洁生产。</w:t>
                  </w:r>
                </w:p>
                <w:p>
                  <w:pPr>
                    <w:adjustRightInd w:val="0"/>
                    <w:snapToGrid w:val="0"/>
                    <w:spacing w:line="240" w:lineRule="auto"/>
                    <w:ind w:firstLine="0" w:firstLineChars="0"/>
                    <w:contextualSpacing/>
                    <w:jc w:val="left"/>
                    <w:rPr>
                      <w:bCs/>
                      <w:kern w:val="0"/>
                      <w:sz w:val="21"/>
                      <w:szCs w:val="21"/>
                    </w:rPr>
                  </w:pPr>
                  <w:r>
                    <w:rPr>
                      <w:rFonts w:hint="eastAsia"/>
                      <w:bCs/>
                      <w:kern w:val="0"/>
                      <w:sz w:val="21"/>
                      <w:szCs w:val="21"/>
                    </w:rPr>
                    <w:t>13、项目不属于“两高”项目。</w:t>
                  </w:r>
                </w:p>
                <w:p>
                  <w:pPr>
                    <w:adjustRightInd w:val="0"/>
                    <w:snapToGrid w:val="0"/>
                    <w:spacing w:line="240" w:lineRule="auto"/>
                    <w:ind w:firstLine="0" w:firstLineChars="0"/>
                    <w:contextualSpacing/>
                    <w:jc w:val="left"/>
                    <w:rPr>
                      <w:bCs/>
                      <w:kern w:val="0"/>
                      <w:sz w:val="21"/>
                      <w:szCs w:val="21"/>
                    </w:rPr>
                  </w:pPr>
                  <w:r>
                    <w:rPr>
                      <w:rFonts w:hint="eastAsia"/>
                      <w:bCs/>
                      <w:kern w:val="0"/>
                      <w:sz w:val="21"/>
                      <w:szCs w:val="21"/>
                    </w:rPr>
                    <w:t>14、项目位于石家庄高新技术产业开发区，园区已开展环境影响跟踪评价。</w:t>
                  </w:r>
                </w:p>
              </w:tc>
              <w:tc>
                <w:tcPr>
                  <w:tcW w:w="261" w:type="pc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ascii="宋体" w:hAnsi="宋体" w:cs="宋体"/>
                      <w:bCs/>
                      <w:kern w:val="0"/>
                      <w:sz w:val="21"/>
                      <w:szCs w:val="21"/>
                      <w:lang w:val="zh-CN"/>
                    </w:rPr>
                    <w:t>符合</w:t>
                  </w:r>
                </w:p>
              </w:tc>
            </w:tr>
          </w:tbl>
          <w:p>
            <w:pPr>
              <w:pStyle w:val="14"/>
            </w:pPr>
            <w:r>
              <w:rPr>
                <w:rFonts w:hint="eastAsia"/>
              </w:rPr>
              <w:t>续表2   全市生态环境准入综合管控要求</w:t>
            </w:r>
          </w:p>
          <w:tbl>
            <w:tblPr>
              <w:tblStyle w:val="16"/>
              <w:tblW w:w="495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586"/>
              <w:gridCol w:w="852"/>
              <w:gridCol w:w="4674"/>
              <w:gridCol w:w="2131"/>
              <w:gridCol w:w="4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337" w:type="pc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ascii="宋体" w:hAnsi="宋体" w:cs="宋体"/>
                      <w:bCs/>
                      <w:kern w:val="0"/>
                      <w:sz w:val="21"/>
                      <w:szCs w:val="21"/>
                      <w:lang w:val="zh-CN"/>
                    </w:rPr>
                    <w:t>类别</w:t>
                  </w:r>
                </w:p>
              </w:tc>
              <w:tc>
                <w:tcPr>
                  <w:tcW w:w="490" w:type="pc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hint="eastAsia" w:ascii="宋体" w:hAnsi="宋体" w:cs="宋体"/>
                      <w:bCs/>
                      <w:kern w:val="0"/>
                      <w:sz w:val="21"/>
                      <w:szCs w:val="21"/>
                      <w:lang w:val="zh-CN"/>
                    </w:rPr>
                    <w:t>管控</w:t>
                  </w:r>
                  <w:r>
                    <w:rPr>
                      <w:rFonts w:ascii="宋体" w:hAnsi="宋体" w:cs="宋体"/>
                      <w:bCs/>
                      <w:kern w:val="0"/>
                      <w:sz w:val="21"/>
                      <w:szCs w:val="21"/>
                      <w:lang w:val="zh-CN"/>
                    </w:rPr>
                    <w:t>类型</w:t>
                  </w:r>
                  <w:r>
                    <w:rPr>
                      <w:rFonts w:hint="eastAsia" w:ascii="宋体" w:hAnsi="宋体" w:cs="宋体"/>
                      <w:bCs/>
                      <w:kern w:val="0"/>
                      <w:sz w:val="21"/>
                      <w:szCs w:val="21"/>
                      <w:lang w:val="zh-CN"/>
                    </w:rPr>
                    <w:t>/属性</w:t>
                  </w:r>
                </w:p>
              </w:tc>
              <w:tc>
                <w:tcPr>
                  <w:tcW w:w="2687" w:type="pc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ascii="宋体" w:hAnsi="宋体" w:cs="宋体"/>
                      <w:bCs/>
                      <w:kern w:val="0"/>
                      <w:sz w:val="21"/>
                      <w:szCs w:val="21"/>
                      <w:lang w:val="zh-CN"/>
                    </w:rPr>
                    <w:t>管控要求</w:t>
                  </w:r>
                </w:p>
              </w:tc>
              <w:tc>
                <w:tcPr>
                  <w:tcW w:w="1225" w:type="pc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ascii="宋体" w:hAnsi="宋体" w:cs="宋体"/>
                      <w:bCs/>
                      <w:kern w:val="0"/>
                      <w:sz w:val="21"/>
                      <w:szCs w:val="21"/>
                      <w:lang w:val="zh-CN"/>
                    </w:rPr>
                    <w:t>本项目情况</w:t>
                  </w:r>
                </w:p>
              </w:tc>
              <w:tc>
                <w:tcPr>
                  <w:tcW w:w="261" w:type="pc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hint="eastAsia" w:ascii="宋体" w:hAnsi="宋体" w:cs="宋体"/>
                      <w:bCs/>
                      <w:kern w:val="0"/>
                      <w:sz w:val="21"/>
                      <w:szCs w:val="21"/>
                      <w:lang w:val="zh-CN"/>
                    </w:rPr>
                    <w:t>结论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337" w:type="pc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hint="eastAsia" w:ascii="宋体" w:hAnsi="宋体" w:cs="宋体"/>
                      <w:bCs/>
                      <w:kern w:val="0"/>
                      <w:sz w:val="21"/>
                      <w:szCs w:val="21"/>
                      <w:lang w:val="zh-CN"/>
                    </w:rPr>
                    <w:t>全市产业布局总体管控要求</w:t>
                  </w:r>
                </w:p>
              </w:tc>
              <w:tc>
                <w:tcPr>
                  <w:tcW w:w="490" w:type="pc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hint="eastAsia" w:ascii="宋体" w:hAnsi="宋体" w:cs="宋体"/>
                      <w:bCs/>
                      <w:kern w:val="0"/>
                      <w:sz w:val="21"/>
                      <w:szCs w:val="21"/>
                      <w:lang w:val="zh-CN"/>
                    </w:rPr>
                    <w:t>项目入园准入要求</w:t>
                  </w:r>
                </w:p>
              </w:tc>
              <w:tc>
                <w:tcPr>
                  <w:tcW w:w="2687" w:type="pct"/>
                  <w:shd w:val="clear" w:color="auto" w:fill="auto"/>
                  <w:vAlign w:val="center"/>
                </w:tcPr>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1、县级以下原则不再建设新的园区，造纸、焦化、氮肥、有色金属、印染、原料药制造、皮革、农药、电镀、钢铁、石灰、平板玻璃、石化、化工等高污染工业项目必须入园进区。被认定为重点监控点的化工企业，可按照《河北省人民政府办公厅关于印发河北省化工重点监控点认定办法的通知》(冀政办字〔2021〕122号)相关要求执行。</w:t>
                  </w:r>
                </w:p>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2、加强园区规划及环评时效性。现有县市级工业区在遵从规划、规划环评及跟踪评价的要求前提下，严格遵循全省、地市及对应单元生态环境准入要求。</w:t>
                  </w:r>
                </w:p>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3、对新设立或扩区未开展规划环评的园区，规划定位、范围、布局、结构、规模等发生调整未开展规划环评调整的以及规划实施已超过5年未进行规划环境影响跟踪评价的园区，督促园区管委会抓紧整改。</w:t>
                  </w:r>
                </w:p>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lang w:val="zh-CN"/>
                    </w:rPr>
                    <w:t>4、各级行政审批部门应把规划环评结论及审查意见的符合性作为入园建设项目环评审批的重要依据。严格落实产业园区规划环评对项目环评的指导要求，规划环评提出需要深入论证的，在项目环评审批阶段应重点把关。按要求可以简化内容的项目环评，不再增加相关环评内容要求。</w:t>
                  </w:r>
                </w:p>
              </w:tc>
              <w:tc>
                <w:tcPr>
                  <w:tcW w:w="1225" w:type="pct"/>
                  <w:shd w:val="clear" w:color="auto" w:fill="auto"/>
                  <w:vAlign w:val="center"/>
                </w:tcPr>
                <w:p>
                  <w:pPr>
                    <w:adjustRightInd w:val="0"/>
                    <w:snapToGrid w:val="0"/>
                    <w:spacing w:line="240" w:lineRule="auto"/>
                    <w:ind w:firstLine="0" w:firstLineChars="0"/>
                    <w:contextualSpacing/>
                    <w:jc w:val="left"/>
                    <w:rPr>
                      <w:bCs/>
                      <w:kern w:val="0"/>
                      <w:sz w:val="21"/>
                      <w:szCs w:val="21"/>
                    </w:rPr>
                  </w:pPr>
                  <w:r>
                    <w:rPr>
                      <w:rFonts w:hint="eastAsia"/>
                      <w:bCs/>
                      <w:kern w:val="0"/>
                      <w:sz w:val="21"/>
                      <w:szCs w:val="21"/>
                    </w:rPr>
                    <w:t>项目位于石家庄高新技术产业开发区，不属于高污染行业；</w:t>
                  </w:r>
                </w:p>
                <w:p>
                  <w:pPr>
                    <w:adjustRightInd w:val="0"/>
                    <w:snapToGrid w:val="0"/>
                    <w:spacing w:line="240" w:lineRule="auto"/>
                    <w:ind w:firstLine="0" w:firstLineChars="0"/>
                    <w:contextualSpacing/>
                    <w:jc w:val="left"/>
                    <w:rPr>
                      <w:bCs/>
                      <w:kern w:val="0"/>
                      <w:sz w:val="21"/>
                      <w:szCs w:val="21"/>
                      <w:lang w:val="zh-CN"/>
                    </w:rPr>
                  </w:pPr>
                  <w:r>
                    <w:rPr>
                      <w:rFonts w:hint="eastAsia"/>
                      <w:bCs/>
                      <w:kern w:val="0"/>
                      <w:sz w:val="21"/>
                      <w:szCs w:val="21"/>
                    </w:rPr>
                    <w:t>《石家庄高新技术产业开发区（东区）扩区规划（2010-2020 年）环境影响跟踪评价》已取得河北省生态环境厅的审查意见，名称及文号：《关于转送石家庄高新技术产业开发区（东区）扩区规划环境影响跟踪评价结论的函》（冀环环评函[2020]1 号）。</w:t>
                  </w:r>
                </w:p>
              </w:tc>
              <w:tc>
                <w:tcPr>
                  <w:tcW w:w="261" w:type="pc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ascii="宋体" w:hAnsi="宋体" w:cs="宋体"/>
                      <w:bCs/>
                      <w:kern w:val="0"/>
                      <w:sz w:val="21"/>
                      <w:szCs w:val="21"/>
                      <w:lang w:val="zh-CN"/>
                    </w:rPr>
                    <w:t>符合</w:t>
                  </w:r>
                </w:p>
              </w:tc>
            </w:tr>
          </w:tbl>
          <w:p>
            <w:pPr>
              <w:spacing w:line="480" w:lineRule="exact"/>
              <w:ind w:right="46" w:rightChars="19" w:firstLine="480"/>
              <w:jc w:val="left"/>
            </w:pPr>
            <w:r>
              <w:rPr>
                <w:rFonts w:hint="eastAsia"/>
              </w:rPr>
              <w:t>本项目位于石家庄市裕华区，属于水环境工业污染重点管控区、大气高排放重点管控区、高污染燃料禁燃区，项目与《石家庄市“三线一单”生态环境准入清单（2023年版）》中相关重点管控单元（裕华区，重点管控单元4，石家庄高新技术产业开发区）生态环境准入清单符合性分析如下：</w:t>
            </w:r>
          </w:p>
          <w:p>
            <w:pPr>
              <w:pStyle w:val="14"/>
            </w:pPr>
            <w:r>
              <w:rPr>
                <w:rFonts w:hint="eastAsia"/>
              </w:rPr>
              <w:t>表3   项目与裕华区重点管控单元生态环境准入清单符合性分析</w:t>
            </w:r>
          </w:p>
          <w:tbl>
            <w:tblPr>
              <w:tblStyle w:val="16"/>
              <w:tblW w:w="496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446"/>
              <w:gridCol w:w="708"/>
              <w:gridCol w:w="426"/>
              <w:gridCol w:w="3411"/>
              <w:gridCol w:w="3145"/>
              <w:gridCol w:w="5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256" w:type="pct"/>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hint="eastAsia" w:ascii="宋体" w:hAnsi="宋体" w:cs="宋体"/>
                      <w:bCs/>
                      <w:kern w:val="0"/>
                      <w:sz w:val="21"/>
                      <w:szCs w:val="21"/>
                      <w:lang w:val="zh-CN"/>
                    </w:rPr>
                    <w:t>单元类别</w:t>
                  </w:r>
                </w:p>
              </w:tc>
              <w:tc>
                <w:tcPr>
                  <w:tcW w:w="407" w:type="pc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hint="eastAsia" w:ascii="宋体" w:hAnsi="宋体" w:cs="宋体"/>
                      <w:bCs/>
                      <w:kern w:val="0"/>
                      <w:sz w:val="21"/>
                      <w:szCs w:val="21"/>
                      <w:lang w:val="zh-CN"/>
                    </w:rPr>
                    <w:t>环境要素类别</w:t>
                  </w:r>
                </w:p>
              </w:tc>
              <w:tc>
                <w:tcPr>
                  <w:tcW w:w="245" w:type="pc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hint="eastAsia" w:ascii="宋体" w:hAnsi="宋体" w:cs="宋体"/>
                      <w:bCs/>
                      <w:kern w:val="0"/>
                      <w:sz w:val="21"/>
                      <w:szCs w:val="21"/>
                      <w:lang w:val="zh-CN"/>
                    </w:rPr>
                    <w:t>维度</w:t>
                  </w:r>
                </w:p>
              </w:tc>
              <w:tc>
                <w:tcPr>
                  <w:tcW w:w="1960" w:type="pc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ascii="宋体" w:hAnsi="宋体" w:cs="宋体"/>
                      <w:bCs/>
                      <w:kern w:val="0"/>
                      <w:sz w:val="21"/>
                      <w:szCs w:val="21"/>
                      <w:lang w:val="zh-CN"/>
                    </w:rPr>
                    <w:t>管控</w:t>
                  </w:r>
                  <w:r>
                    <w:rPr>
                      <w:rFonts w:hint="eastAsia" w:ascii="宋体" w:hAnsi="宋体" w:cs="宋体"/>
                      <w:bCs/>
                      <w:kern w:val="0"/>
                      <w:sz w:val="21"/>
                      <w:szCs w:val="21"/>
                      <w:lang w:val="zh-CN"/>
                    </w:rPr>
                    <w:t>措施</w:t>
                  </w:r>
                </w:p>
              </w:tc>
              <w:tc>
                <w:tcPr>
                  <w:tcW w:w="1807" w:type="pc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ascii="宋体" w:hAnsi="宋体" w:cs="宋体"/>
                      <w:bCs/>
                      <w:kern w:val="0"/>
                      <w:sz w:val="21"/>
                      <w:szCs w:val="21"/>
                      <w:lang w:val="zh-CN"/>
                    </w:rPr>
                    <w:t>本项目情况</w:t>
                  </w:r>
                </w:p>
              </w:tc>
              <w:tc>
                <w:tcPr>
                  <w:tcW w:w="325" w:type="pc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hint="eastAsia" w:ascii="宋体" w:hAnsi="宋体" w:cs="宋体"/>
                      <w:bCs/>
                      <w:kern w:val="0"/>
                      <w:sz w:val="21"/>
                      <w:szCs w:val="21"/>
                      <w:lang w:val="zh-CN"/>
                    </w:rPr>
                    <w:t>结论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256" w:type="pct"/>
                  <w:vMerge w:val="restart"/>
                  <w:vAlign w:val="center"/>
                </w:tcPr>
                <w:p>
                  <w:pPr>
                    <w:adjustRightInd w:val="0"/>
                    <w:snapToGrid w:val="0"/>
                    <w:spacing w:line="240" w:lineRule="auto"/>
                    <w:ind w:firstLine="0" w:firstLineChars="0"/>
                    <w:contextualSpacing/>
                    <w:jc w:val="center"/>
                    <w:rPr>
                      <w:sz w:val="21"/>
                      <w:szCs w:val="21"/>
                    </w:rPr>
                  </w:pPr>
                  <w:r>
                    <w:rPr>
                      <w:rFonts w:hint="eastAsia"/>
                      <w:sz w:val="21"/>
                      <w:szCs w:val="21"/>
                    </w:rPr>
                    <w:t>重点管控单元4</w:t>
                  </w:r>
                </w:p>
              </w:tc>
              <w:tc>
                <w:tcPr>
                  <w:tcW w:w="407" w:type="pct"/>
                  <w:vMerge w:val="restart"/>
                  <w:shd w:val="clear" w:color="auto" w:fill="auto"/>
                  <w:vAlign w:val="center"/>
                </w:tcPr>
                <w:p>
                  <w:pPr>
                    <w:adjustRightInd w:val="0"/>
                    <w:snapToGrid w:val="0"/>
                    <w:spacing w:line="240" w:lineRule="auto"/>
                    <w:ind w:firstLine="0" w:firstLineChars="0"/>
                    <w:contextualSpacing/>
                    <w:jc w:val="left"/>
                    <w:rPr>
                      <w:rFonts w:ascii="宋体" w:hAnsi="宋体" w:cs="宋体"/>
                      <w:bCs/>
                      <w:kern w:val="0"/>
                      <w:sz w:val="21"/>
                      <w:szCs w:val="21"/>
                      <w:lang w:val="zh-CN"/>
                    </w:rPr>
                  </w:pPr>
                  <w:r>
                    <w:rPr>
                      <w:rFonts w:hint="eastAsia"/>
                      <w:sz w:val="21"/>
                      <w:szCs w:val="21"/>
                    </w:rPr>
                    <w:t>大气环境高排放重点管控区（石家庄高新技术产业开发区）、水环境工业污染重点管控区、高污染燃料禁燃区</w:t>
                  </w:r>
                </w:p>
              </w:tc>
              <w:tc>
                <w:tcPr>
                  <w:tcW w:w="245" w:type="pc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sz w:val="21"/>
                      <w:szCs w:val="21"/>
                    </w:rPr>
                    <w:t>空间布局约束</w:t>
                  </w:r>
                </w:p>
              </w:tc>
              <w:tc>
                <w:tcPr>
                  <w:tcW w:w="1960" w:type="pct"/>
                  <w:shd w:val="clear" w:color="auto" w:fill="auto"/>
                  <w:vAlign w:val="center"/>
                </w:tcPr>
                <w:p>
                  <w:pPr>
                    <w:pStyle w:val="53"/>
                    <w:tabs>
                      <w:tab w:val="left" w:pos="254"/>
                    </w:tabs>
                    <w:spacing w:line="240" w:lineRule="auto"/>
                    <w:ind w:firstLine="0"/>
                    <w:rPr>
                      <w:rFonts w:ascii="Times New Roman" w:hAnsi="Times New Roman" w:cs="Times New Roman"/>
                      <w:sz w:val="21"/>
                      <w:szCs w:val="21"/>
                      <w:lang w:val="en-US" w:eastAsia="zh-CN" w:bidi="ar-SA"/>
                    </w:rPr>
                  </w:pPr>
                  <w:r>
                    <w:rPr>
                      <w:rFonts w:hint="eastAsia" w:ascii="Times New Roman" w:hAnsi="Times New Roman" w:cs="Times New Roman"/>
                      <w:sz w:val="21"/>
                      <w:szCs w:val="21"/>
                      <w:lang w:val="en-US" w:eastAsia="zh-CN" w:bidi="ar-SA"/>
                    </w:rPr>
                    <w:t>1、严格落实国家、河北省以及石家庄市最新产业目录准入要求。</w:t>
                  </w:r>
                </w:p>
                <w:p>
                  <w:pPr>
                    <w:pStyle w:val="53"/>
                    <w:tabs>
                      <w:tab w:val="left" w:pos="254"/>
                    </w:tabs>
                    <w:spacing w:line="240" w:lineRule="auto"/>
                    <w:ind w:firstLine="0"/>
                    <w:rPr>
                      <w:rFonts w:ascii="Times New Roman" w:hAnsi="Times New Roman" w:cs="Times New Roman"/>
                      <w:sz w:val="21"/>
                      <w:szCs w:val="21"/>
                      <w:lang w:val="en-US" w:eastAsia="zh-CN" w:bidi="ar-SA"/>
                    </w:rPr>
                  </w:pPr>
                  <w:r>
                    <w:rPr>
                      <w:rFonts w:hint="eastAsia" w:ascii="Times New Roman" w:hAnsi="Times New Roman" w:cs="Times New Roman"/>
                      <w:sz w:val="21"/>
                      <w:szCs w:val="21"/>
                      <w:lang w:val="en-US" w:eastAsia="zh-CN" w:bidi="ar-SA"/>
                    </w:rPr>
                    <w:t>2、严格落实最新规划环评及其批复文件制定的环境准入要求。</w:t>
                  </w:r>
                </w:p>
              </w:tc>
              <w:tc>
                <w:tcPr>
                  <w:tcW w:w="1807" w:type="pct"/>
                  <w:shd w:val="clear" w:color="auto" w:fill="auto"/>
                  <w:vAlign w:val="center"/>
                </w:tcPr>
                <w:p>
                  <w:pPr>
                    <w:pStyle w:val="45"/>
                    <w:spacing w:line="240" w:lineRule="auto"/>
                    <w:jc w:val="left"/>
                    <w:rPr>
                      <w:rFonts w:cs="Times New Roman"/>
                    </w:rPr>
                  </w:pPr>
                  <w:r>
                    <w:rPr>
                      <w:rFonts w:cs="Times New Roman"/>
                    </w:rPr>
                    <w:t>对照《产业结构调整指导目录（2024年本）》，本项目属于</w:t>
                  </w:r>
                  <w:r>
                    <w:rPr>
                      <w:rFonts w:hint="eastAsia" w:cs="Times New Roman"/>
                    </w:rPr>
                    <w:t>鼓励类项目</w:t>
                  </w:r>
                  <w:r>
                    <w:rPr>
                      <w:rFonts w:cs="Times New Roman"/>
                    </w:rPr>
                    <w:t>；不属</w:t>
                  </w:r>
                  <w:r>
                    <w:rPr>
                      <w:rFonts w:hint="eastAsia" w:cs="Times New Roman"/>
                    </w:rPr>
                    <w:t>于</w:t>
                  </w:r>
                  <w:r>
                    <w:rPr>
                      <w:rFonts w:cs="Times New Roman"/>
                    </w:rPr>
                    <w:t>《市场准入负面清单（2022）年版》中禁止准入类项目，符合国家产业政策。符合规划环评及其批复文件制定的准入负面清单要求。</w:t>
                  </w:r>
                </w:p>
              </w:tc>
              <w:tc>
                <w:tcPr>
                  <w:tcW w:w="325" w:type="pc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ascii="宋体" w:hAnsi="宋体" w:cs="宋体"/>
                      <w:bCs/>
                      <w:kern w:val="0"/>
                      <w:sz w:val="21"/>
                      <w:szCs w:val="21"/>
                      <w:lang w:val="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256" w:type="pct"/>
                  <w:vMerge w:val="continue"/>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p>
              </w:tc>
              <w:tc>
                <w:tcPr>
                  <w:tcW w:w="407" w:type="pct"/>
                  <w:vMerge w:val="continue"/>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p>
              </w:tc>
              <w:tc>
                <w:tcPr>
                  <w:tcW w:w="245" w:type="pct"/>
                  <w:shd w:val="clear" w:color="auto" w:fill="auto"/>
                  <w:vAlign w:val="center"/>
                </w:tcPr>
                <w:p>
                  <w:pPr>
                    <w:adjustRightInd w:val="0"/>
                    <w:snapToGrid w:val="0"/>
                    <w:spacing w:line="240" w:lineRule="auto"/>
                    <w:ind w:firstLine="0" w:firstLineChars="0"/>
                    <w:contextualSpacing/>
                    <w:jc w:val="center"/>
                    <w:rPr>
                      <w:rFonts w:ascii="宋体" w:hAnsi="宋体" w:cs="宋体"/>
                      <w:b/>
                      <w:bCs/>
                      <w:kern w:val="0"/>
                      <w:sz w:val="21"/>
                      <w:szCs w:val="21"/>
                      <w:lang w:val="zh-CN"/>
                    </w:rPr>
                  </w:pPr>
                  <w:r>
                    <w:rPr>
                      <w:sz w:val="21"/>
                      <w:szCs w:val="21"/>
                    </w:rPr>
                    <w:t>污染物排放管控</w:t>
                  </w:r>
                </w:p>
              </w:tc>
              <w:tc>
                <w:tcPr>
                  <w:tcW w:w="1960" w:type="pct"/>
                  <w:shd w:val="clear" w:color="auto" w:fill="auto"/>
                  <w:vAlign w:val="center"/>
                </w:tcPr>
                <w:p>
                  <w:pPr>
                    <w:adjustRightInd w:val="0"/>
                    <w:snapToGrid w:val="0"/>
                    <w:spacing w:line="240" w:lineRule="auto"/>
                    <w:ind w:firstLine="0" w:firstLineChars="0"/>
                    <w:contextualSpacing/>
                    <w:jc w:val="left"/>
                    <w:rPr>
                      <w:sz w:val="21"/>
                      <w:szCs w:val="21"/>
                    </w:rPr>
                  </w:pPr>
                  <w:r>
                    <w:rPr>
                      <w:rFonts w:hint="eastAsia"/>
                      <w:sz w:val="21"/>
                      <w:szCs w:val="21"/>
                    </w:rPr>
                    <w:t>1、落实《关于加强重点行业建设项目区域削减措施监督管理的通知》（环办环评〔2020〕36号）的要求。</w:t>
                  </w:r>
                </w:p>
                <w:p>
                  <w:pPr>
                    <w:adjustRightInd w:val="0"/>
                    <w:snapToGrid w:val="0"/>
                    <w:spacing w:line="240" w:lineRule="auto"/>
                    <w:ind w:firstLine="0" w:firstLineChars="0"/>
                    <w:contextualSpacing/>
                    <w:jc w:val="left"/>
                    <w:rPr>
                      <w:sz w:val="21"/>
                      <w:szCs w:val="21"/>
                    </w:rPr>
                  </w:pPr>
                  <w:r>
                    <w:rPr>
                      <w:rFonts w:hint="eastAsia"/>
                      <w:sz w:val="21"/>
                      <w:szCs w:val="21"/>
                    </w:rPr>
                    <w:t>2、新(改、扩)建向环境水体直接排放污水的排污单位执行《子牙河流域水污染物排放标准》(DB13/2796-2018)排放限值。</w:t>
                  </w:r>
                </w:p>
                <w:p>
                  <w:pPr>
                    <w:adjustRightInd w:val="0"/>
                    <w:snapToGrid w:val="0"/>
                    <w:spacing w:line="240" w:lineRule="auto"/>
                    <w:ind w:firstLine="0" w:firstLineChars="0"/>
                    <w:contextualSpacing/>
                    <w:jc w:val="left"/>
                    <w:rPr>
                      <w:sz w:val="21"/>
                      <w:szCs w:val="21"/>
                    </w:rPr>
                  </w:pPr>
                  <w:r>
                    <w:rPr>
                      <w:rFonts w:hint="eastAsia"/>
                      <w:sz w:val="21"/>
                      <w:szCs w:val="21"/>
                    </w:rPr>
                    <w:t>3、提高生产生活废水收集处理率。</w:t>
                  </w:r>
                </w:p>
              </w:tc>
              <w:tc>
                <w:tcPr>
                  <w:tcW w:w="1807" w:type="pct"/>
                  <w:shd w:val="clear" w:color="auto" w:fill="auto"/>
                  <w:vAlign w:val="center"/>
                </w:tcPr>
                <w:p>
                  <w:pPr>
                    <w:adjustRightInd w:val="0"/>
                    <w:snapToGrid w:val="0"/>
                    <w:spacing w:line="240" w:lineRule="auto"/>
                    <w:ind w:firstLine="0" w:firstLineChars="0"/>
                    <w:contextualSpacing/>
                    <w:jc w:val="left"/>
                    <w:rPr>
                      <w:rFonts w:ascii="宋体" w:hAnsi="宋体" w:cs="宋体"/>
                      <w:bCs/>
                      <w:kern w:val="0"/>
                      <w:sz w:val="21"/>
                      <w:szCs w:val="21"/>
                      <w:lang w:val="zh-CN"/>
                    </w:rPr>
                  </w:pPr>
                  <w:r>
                    <w:rPr>
                      <w:sz w:val="21"/>
                      <w:szCs w:val="21"/>
                    </w:rPr>
                    <w:t>项目不涉及重金属，符合环办环评〔2020〕36号的要求；</w:t>
                  </w:r>
                  <w:r>
                    <w:rPr>
                      <w:rFonts w:hint="eastAsia"/>
                      <w:bCs/>
                      <w:kern w:val="0"/>
                      <w:sz w:val="21"/>
                      <w:szCs w:val="21"/>
                      <w:lang w:val="zh-CN"/>
                    </w:rPr>
                    <w:t>项目产生的废水经</w:t>
                  </w:r>
                  <w:r>
                    <w:rPr>
                      <w:rFonts w:hint="eastAsia"/>
                      <w:bCs/>
                      <w:kern w:val="0"/>
                      <w:sz w:val="21"/>
                      <w:szCs w:val="21"/>
                    </w:rPr>
                    <w:t>酸碱中和+</w:t>
                  </w:r>
                  <w:r>
                    <w:rPr>
                      <w:rFonts w:hint="eastAsia"/>
                      <w:bCs/>
                      <w:kern w:val="0"/>
                      <w:sz w:val="21"/>
                      <w:szCs w:val="21"/>
                      <w:lang w:val="zh-CN"/>
                    </w:rPr>
                    <w:t>化粪池+</w:t>
                  </w:r>
                  <w:r>
                    <w:rPr>
                      <w:rFonts w:hint="eastAsia"/>
                      <w:bCs/>
                      <w:kern w:val="0"/>
                      <w:sz w:val="21"/>
                      <w:szCs w:val="21"/>
                    </w:rPr>
                    <w:t>污水处理站处理后</w:t>
                  </w:r>
                  <w:r>
                    <w:rPr>
                      <w:rFonts w:hint="eastAsia"/>
                      <w:sz w:val="21"/>
                      <w:szCs w:val="21"/>
                    </w:rPr>
                    <w:t>经市政管网排入石家庄高新区污水处理厂进一步处理，不直接排入地表水体</w:t>
                  </w:r>
                  <w:r>
                    <w:rPr>
                      <w:sz w:val="21"/>
                      <w:szCs w:val="21"/>
                    </w:rPr>
                    <w:t>。</w:t>
                  </w:r>
                </w:p>
              </w:tc>
              <w:tc>
                <w:tcPr>
                  <w:tcW w:w="325" w:type="pc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ascii="宋体" w:hAnsi="宋体" w:cs="宋体"/>
                      <w:bCs/>
                      <w:kern w:val="0"/>
                      <w:sz w:val="21"/>
                      <w:szCs w:val="21"/>
                      <w:lang w:val="zh-CN"/>
                    </w:rPr>
                    <w:t>符合</w:t>
                  </w:r>
                </w:p>
              </w:tc>
            </w:tr>
          </w:tbl>
          <w:p>
            <w:pPr>
              <w:pStyle w:val="14"/>
            </w:pPr>
            <w:r>
              <w:rPr>
                <w:rFonts w:hint="eastAsia"/>
              </w:rPr>
              <w:t>续表3   项目与裕华区重点管控单元生态环境准入清单符合性分析</w:t>
            </w:r>
          </w:p>
          <w:tbl>
            <w:tblPr>
              <w:tblStyle w:val="16"/>
              <w:tblW w:w="496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447"/>
              <w:gridCol w:w="991"/>
              <w:gridCol w:w="707"/>
              <w:gridCol w:w="3545"/>
              <w:gridCol w:w="2446"/>
              <w:gridCol w:w="5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257" w:type="pct"/>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hint="eastAsia" w:ascii="宋体" w:hAnsi="宋体" w:cs="宋体"/>
                      <w:bCs/>
                      <w:kern w:val="0"/>
                      <w:sz w:val="21"/>
                      <w:szCs w:val="21"/>
                      <w:lang w:val="zh-CN"/>
                    </w:rPr>
                    <w:t>单元类别</w:t>
                  </w:r>
                </w:p>
              </w:tc>
              <w:tc>
                <w:tcPr>
                  <w:tcW w:w="569" w:type="pc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hint="eastAsia" w:ascii="宋体" w:hAnsi="宋体" w:cs="宋体"/>
                      <w:bCs/>
                      <w:kern w:val="0"/>
                      <w:sz w:val="21"/>
                      <w:szCs w:val="21"/>
                      <w:lang w:val="zh-CN"/>
                    </w:rPr>
                    <w:t>环境要素类别</w:t>
                  </w:r>
                </w:p>
              </w:tc>
              <w:tc>
                <w:tcPr>
                  <w:tcW w:w="406" w:type="pc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hint="eastAsia" w:ascii="宋体" w:hAnsi="宋体" w:cs="宋体"/>
                      <w:bCs/>
                      <w:kern w:val="0"/>
                      <w:sz w:val="21"/>
                      <w:szCs w:val="21"/>
                      <w:lang w:val="zh-CN"/>
                    </w:rPr>
                    <w:t>维度</w:t>
                  </w:r>
                </w:p>
              </w:tc>
              <w:tc>
                <w:tcPr>
                  <w:tcW w:w="2036" w:type="pc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ascii="宋体" w:hAnsi="宋体" w:cs="宋体"/>
                      <w:bCs/>
                      <w:kern w:val="0"/>
                      <w:sz w:val="21"/>
                      <w:szCs w:val="21"/>
                      <w:lang w:val="zh-CN"/>
                    </w:rPr>
                    <w:t>管控</w:t>
                  </w:r>
                  <w:r>
                    <w:rPr>
                      <w:rFonts w:hint="eastAsia" w:ascii="宋体" w:hAnsi="宋体" w:cs="宋体"/>
                      <w:bCs/>
                      <w:kern w:val="0"/>
                      <w:sz w:val="21"/>
                      <w:szCs w:val="21"/>
                      <w:lang w:val="zh-CN"/>
                    </w:rPr>
                    <w:t>措施</w:t>
                  </w:r>
                </w:p>
              </w:tc>
              <w:tc>
                <w:tcPr>
                  <w:tcW w:w="1405" w:type="pc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ascii="宋体" w:hAnsi="宋体" w:cs="宋体"/>
                      <w:bCs/>
                      <w:kern w:val="0"/>
                      <w:sz w:val="21"/>
                      <w:szCs w:val="21"/>
                      <w:lang w:val="zh-CN"/>
                    </w:rPr>
                    <w:t>本项目情况</w:t>
                  </w:r>
                </w:p>
              </w:tc>
              <w:tc>
                <w:tcPr>
                  <w:tcW w:w="325" w:type="pc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hint="eastAsia" w:ascii="宋体" w:hAnsi="宋体" w:cs="宋体"/>
                      <w:bCs/>
                      <w:kern w:val="0"/>
                      <w:sz w:val="21"/>
                      <w:szCs w:val="21"/>
                      <w:lang w:val="zh-CN"/>
                    </w:rPr>
                    <w:t>结论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257" w:type="pct"/>
                  <w:vMerge w:val="restart"/>
                  <w:vAlign w:val="center"/>
                </w:tcPr>
                <w:p>
                  <w:pPr>
                    <w:adjustRightInd w:val="0"/>
                    <w:snapToGrid w:val="0"/>
                    <w:spacing w:line="240" w:lineRule="auto"/>
                    <w:ind w:firstLine="0" w:firstLineChars="0"/>
                    <w:contextualSpacing/>
                    <w:jc w:val="center"/>
                    <w:rPr>
                      <w:sz w:val="21"/>
                      <w:szCs w:val="21"/>
                    </w:rPr>
                  </w:pPr>
                  <w:r>
                    <w:rPr>
                      <w:rFonts w:hint="eastAsia"/>
                      <w:sz w:val="21"/>
                      <w:szCs w:val="21"/>
                    </w:rPr>
                    <w:t>重点管控单元4</w:t>
                  </w:r>
                </w:p>
              </w:tc>
              <w:tc>
                <w:tcPr>
                  <w:tcW w:w="569" w:type="pct"/>
                  <w:vMerge w:val="restart"/>
                  <w:shd w:val="clear" w:color="auto" w:fill="auto"/>
                  <w:vAlign w:val="center"/>
                </w:tcPr>
                <w:p>
                  <w:pPr>
                    <w:adjustRightInd w:val="0"/>
                    <w:snapToGrid w:val="0"/>
                    <w:spacing w:line="240" w:lineRule="auto"/>
                    <w:ind w:firstLine="0" w:firstLineChars="0"/>
                    <w:contextualSpacing/>
                    <w:jc w:val="left"/>
                    <w:rPr>
                      <w:rFonts w:ascii="宋体" w:hAnsi="宋体" w:cs="宋体"/>
                      <w:bCs/>
                      <w:kern w:val="0"/>
                      <w:sz w:val="21"/>
                      <w:szCs w:val="21"/>
                      <w:lang w:val="zh-CN"/>
                    </w:rPr>
                  </w:pPr>
                  <w:r>
                    <w:rPr>
                      <w:rFonts w:hint="eastAsia"/>
                      <w:sz w:val="21"/>
                      <w:szCs w:val="21"/>
                    </w:rPr>
                    <w:t>大气环境高排放重点管控区（石家庄高新技术产业开发区）、水环境工业污染重点管控区、高污染燃料禁燃区</w:t>
                  </w:r>
                </w:p>
              </w:tc>
              <w:tc>
                <w:tcPr>
                  <w:tcW w:w="406" w:type="pct"/>
                  <w:shd w:val="clear" w:color="auto" w:fill="auto"/>
                  <w:vAlign w:val="center"/>
                </w:tcPr>
                <w:p>
                  <w:pPr>
                    <w:pStyle w:val="53"/>
                    <w:spacing w:line="240" w:lineRule="auto"/>
                    <w:ind w:firstLine="0"/>
                    <w:jc w:val="center"/>
                    <w:rPr>
                      <w:rFonts w:ascii="Times New Roman" w:hAnsi="Times New Roman" w:cs="Times New Roman"/>
                      <w:sz w:val="21"/>
                      <w:szCs w:val="21"/>
                      <w:lang w:val="en-US" w:eastAsia="zh-CN"/>
                    </w:rPr>
                  </w:pPr>
                  <w:r>
                    <w:rPr>
                      <w:rFonts w:ascii="Times New Roman" w:hAnsi="Times New Roman" w:cs="Times New Roman"/>
                      <w:sz w:val="21"/>
                      <w:szCs w:val="21"/>
                    </w:rPr>
                    <w:t>环境风险防控</w:t>
                  </w:r>
                </w:p>
              </w:tc>
              <w:tc>
                <w:tcPr>
                  <w:tcW w:w="2036" w:type="pct"/>
                  <w:shd w:val="clear" w:color="auto" w:fill="auto"/>
                  <w:vAlign w:val="center"/>
                </w:tcPr>
                <w:p>
                  <w:pPr>
                    <w:adjustRightInd w:val="0"/>
                    <w:snapToGrid w:val="0"/>
                    <w:spacing w:line="240" w:lineRule="auto"/>
                    <w:ind w:firstLine="0" w:firstLineChars="0"/>
                    <w:contextualSpacing/>
                    <w:jc w:val="left"/>
                    <w:rPr>
                      <w:sz w:val="21"/>
                      <w:szCs w:val="21"/>
                    </w:rPr>
                  </w:pPr>
                  <w:r>
                    <w:rPr>
                      <w:rFonts w:hint="eastAsia"/>
                      <w:sz w:val="21"/>
                      <w:szCs w:val="21"/>
                    </w:rPr>
                    <w:t>1、对电镀企业实施强制性清洁审核，定期对企业及周边开展土壤监测。</w:t>
                  </w:r>
                </w:p>
                <w:p>
                  <w:pPr>
                    <w:adjustRightInd w:val="0"/>
                    <w:snapToGrid w:val="0"/>
                    <w:spacing w:line="240" w:lineRule="auto"/>
                    <w:ind w:firstLine="0" w:firstLineChars="0"/>
                    <w:contextualSpacing/>
                    <w:jc w:val="left"/>
                    <w:rPr>
                      <w:sz w:val="21"/>
                      <w:szCs w:val="21"/>
                    </w:rPr>
                  </w:pPr>
                  <w:r>
                    <w:rPr>
                      <w:rFonts w:hint="eastAsia"/>
                      <w:sz w:val="21"/>
                      <w:szCs w:val="21"/>
                    </w:rPr>
                    <w:t>2、园区按照相关要求，建立完善环境风险管理相关制度和有效的事故风险防范体系。</w:t>
                  </w:r>
                </w:p>
              </w:tc>
              <w:tc>
                <w:tcPr>
                  <w:tcW w:w="1405" w:type="pct"/>
                  <w:shd w:val="clear" w:color="auto" w:fill="auto"/>
                  <w:vAlign w:val="center"/>
                </w:tcPr>
                <w:p>
                  <w:pPr>
                    <w:pStyle w:val="53"/>
                    <w:tabs>
                      <w:tab w:val="left" w:pos="254"/>
                    </w:tabs>
                    <w:spacing w:line="240" w:lineRule="auto"/>
                    <w:ind w:firstLine="0"/>
                    <w:rPr>
                      <w:rFonts w:ascii="Times New Roman" w:hAnsi="Times New Roman" w:cs="Times New Roman"/>
                      <w:sz w:val="21"/>
                      <w:szCs w:val="21"/>
                      <w:lang w:val="en-US" w:eastAsia="zh-CN"/>
                    </w:rPr>
                  </w:pPr>
                  <w:r>
                    <w:rPr>
                      <w:rFonts w:ascii="Times New Roman" w:hAnsi="Times New Roman" w:cs="Times New Roman"/>
                      <w:sz w:val="21"/>
                      <w:szCs w:val="21"/>
                      <w:lang w:val="en-US" w:eastAsia="zh-CN" w:bidi="ar-SA"/>
                    </w:rPr>
                    <w:t>本项目不属于电镀企业。高新技术开发区已按照相关要求，建立完善环境风险管理相关制度和有效的事故风险防范体系</w:t>
                  </w:r>
                </w:p>
              </w:tc>
              <w:tc>
                <w:tcPr>
                  <w:tcW w:w="325" w:type="pc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ascii="宋体" w:hAnsi="宋体" w:cs="宋体"/>
                      <w:bCs/>
                      <w:kern w:val="0"/>
                      <w:sz w:val="21"/>
                      <w:szCs w:val="21"/>
                      <w:lang w:val="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257" w:type="pct"/>
                  <w:vMerge w:val="continue"/>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p>
              </w:tc>
              <w:tc>
                <w:tcPr>
                  <w:tcW w:w="569" w:type="pct"/>
                  <w:vMerge w:val="continue"/>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p>
              </w:tc>
              <w:tc>
                <w:tcPr>
                  <w:tcW w:w="406" w:type="pct"/>
                  <w:shd w:val="clear" w:color="auto" w:fill="auto"/>
                  <w:vAlign w:val="center"/>
                </w:tcPr>
                <w:p>
                  <w:pPr>
                    <w:pStyle w:val="53"/>
                    <w:spacing w:line="240" w:lineRule="auto"/>
                    <w:ind w:firstLine="0"/>
                    <w:jc w:val="center"/>
                    <w:rPr>
                      <w:rFonts w:ascii="Times New Roman" w:hAnsi="Times New Roman" w:cs="Times New Roman"/>
                      <w:sz w:val="21"/>
                      <w:szCs w:val="21"/>
                      <w:lang w:eastAsia="zh-CN"/>
                    </w:rPr>
                  </w:pPr>
                  <w:r>
                    <w:rPr>
                      <w:rFonts w:ascii="Times New Roman" w:hAnsi="Times New Roman" w:cs="Times New Roman"/>
                      <w:sz w:val="21"/>
                      <w:szCs w:val="21"/>
                      <w:lang w:eastAsia="zh-CN"/>
                    </w:rPr>
                    <w:t>资源利用效率</w:t>
                  </w:r>
                </w:p>
              </w:tc>
              <w:tc>
                <w:tcPr>
                  <w:tcW w:w="2036" w:type="pct"/>
                  <w:shd w:val="clear" w:color="auto" w:fill="auto"/>
                  <w:vAlign w:val="center"/>
                </w:tcPr>
                <w:p>
                  <w:pPr>
                    <w:pStyle w:val="53"/>
                    <w:spacing w:line="240" w:lineRule="auto"/>
                    <w:ind w:firstLine="0"/>
                    <w:rPr>
                      <w:rFonts w:ascii="Times New Roman" w:hAnsi="Times New Roman" w:cs="Times New Roman"/>
                      <w:sz w:val="21"/>
                      <w:szCs w:val="21"/>
                      <w:lang w:val="en-US" w:eastAsia="zh-CN"/>
                    </w:rPr>
                  </w:pPr>
                  <w:r>
                    <w:rPr>
                      <w:rFonts w:hint="eastAsia" w:ascii="Times New Roman" w:hAnsi="Times New Roman" w:cs="Times New Roman"/>
                      <w:sz w:val="21"/>
                      <w:szCs w:val="21"/>
                      <w:lang w:val="en-US" w:eastAsia="zh-CN"/>
                    </w:rPr>
                    <w:t>1、严格执行石家庄市禁燃区相关要求。</w:t>
                  </w:r>
                </w:p>
                <w:p>
                  <w:pPr>
                    <w:pStyle w:val="53"/>
                    <w:spacing w:line="240" w:lineRule="auto"/>
                    <w:ind w:firstLine="0"/>
                    <w:rPr>
                      <w:rFonts w:ascii="Times New Roman" w:hAnsi="Times New Roman" w:cs="Times New Roman"/>
                      <w:sz w:val="21"/>
                      <w:szCs w:val="21"/>
                      <w:lang w:val="en-US" w:eastAsia="zh-CN"/>
                    </w:rPr>
                  </w:pPr>
                  <w:r>
                    <w:rPr>
                      <w:rFonts w:hint="eastAsia" w:ascii="Times New Roman" w:hAnsi="Times New Roman" w:cs="Times New Roman"/>
                      <w:sz w:val="21"/>
                      <w:szCs w:val="21"/>
                      <w:lang w:val="en-US" w:eastAsia="zh-CN"/>
                    </w:rPr>
                    <w:t>2、提高区域中水使用比例。</w:t>
                  </w:r>
                </w:p>
                <w:p>
                  <w:pPr>
                    <w:pStyle w:val="53"/>
                    <w:spacing w:line="240" w:lineRule="auto"/>
                    <w:ind w:firstLine="0"/>
                    <w:rPr>
                      <w:rFonts w:ascii="Times New Roman" w:hAnsi="Times New Roman" w:cs="Times New Roman"/>
                      <w:sz w:val="21"/>
                      <w:szCs w:val="21"/>
                      <w:lang w:val="en-US" w:eastAsia="zh-CN"/>
                    </w:rPr>
                  </w:pPr>
                  <w:r>
                    <w:rPr>
                      <w:rFonts w:hint="eastAsia" w:ascii="Times New Roman" w:hAnsi="Times New Roman" w:cs="Times New Roman"/>
                      <w:sz w:val="21"/>
                      <w:szCs w:val="21"/>
                      <w:lang w:val="en-US" w:eastAsia="zh-CN"/>
                    </w:rPr>
                    <w:t>3、鼓励锅炉进行余热利用。</w:t>
                  </w:r>
                </w:p>
                <w:p>
                  <w:pPr>
                    <w:pStyle w:val="53"/>
                    <w:spacing w:line="240" w:lineRule="auto"/>
                    <w:ind w:firstLine="0"/>
                    <w:rPr>
                      <w:rFonts w:ascii="Times New Roman" w:hAnsi="Times New Roman" w:cs="Times New Roman"/>
                      <w:sz w:val="21"/>
                      <w:szCs w:val="21"/>
                      <w:lang w:val="en-US" w:eastAsia="zh-CN"/>
                    </w:rPr>
                  </w:pPr>
                  <w:r>
                    <w:rPr>
                      <w:rFonts w:hint="eastAsia" w:ascii="Times New Roman" w:hAnsi="Times New Roman" w:cs="Times New Roman"/>
                      <w:sz w:val="21"/>
                      <w:szCs w:val="21"/>
                      <w:lang w:val="en-US" w:eastAsia="zh-CN"/>
                    </w:rPr>
                    <w:t>4、新建项目清洁生产应达到国内同行业先进水平。</w:t>
                  </w:r>
                </w:p>
                <w:p>
                  <w:pPr>
                    <w:pStyle w:val="53"/>
                    <w:spacing w:line="240" w:lineRule="auto"/>
                    <w:ind w:firstLine="0"/>
                    <w:rPr>
                      <w:rFonts w:ascii="Times New Roman" w:hAnsi="Times New Roman" w:cs="Times New Roman"/>
                      <w:sz w:val="21"/>
                      <w:szCs w:val="21"/>
                      <w:lang w:val="en-US" w:eastAsia="zh-CN"/>
                    </w:rPr>
                  </w:pPr>
                  <w:r>
                    <w:rPr>
                      <w:rFonts w:hint="eastAsia" w:ascii="Times New Roman" w:hAnsi="Times New Roman" w:cs="Times New Roman"/>
                      <w:sz w:val="21"/>
                      <w:szCs w:val="21"/>
                      <w:lang w:val="en-US" w:eastAsia="zh-CN"/>
                    </w:rPr>
                    <w:t>5、浅层地下水禁采区、限采区严格地下水最新管控要求。</w:t>
                  </w:r>
                </w:p>
              </w:tc>
              <w:tc>
                <w:tcPr>
                  <w:tcW w:w="1405" w:type="pct"/>
                  <w:shd w:val="clear" w:color="auto" w:fill="auto"/>
                  <w:vAlign w:val="center"/>
                </w:tcPr>
                <w:p>
                  <w:pPr>
                    <w:pStyle w:val="53"/>
                    <w:tabs>
                      <w:tab w:val="left" w:pos="254"/>
                    </w:tabs>
                    <w:spacing w:line="240" w:lineRule="auto"/>
                    <w:ind w:firstLine="0"/>
                    <w:rPr>
                      <w:rFonts w:ascii="Times New Roman" w:hAnsi="Times New Roman" w:cs="Times New Roman"/>
                      <w:sz w:val="21"/>
                      <w:szCs w:val="21"/>
                      <w:lang w:val="en-US" w:eastAsia="zh-CN" w:bidi="ar-SA"/>
                    </w:rPr>
                  </w:pPr>
                  <w:r>
                    <w:rPr>
                      <w:rFonts w:ascii="Times New Roman" w:hAnsi="Times New Roman" w:cs="Times New Roman"/>
                      <w:sz w:val="21"/>
                      <w:szCs w:val="21"/>
                      <w:lang w:val="en-US" w:eastAsia="zh-CN" w:bidi="ar-SA"/>
                    </w:rPr>
                    <w:t>本项目能耗为电，不涉及中水产生、地下水开采和锅炉使</w:t>
                  </w:r>
                </w:p>
              </w:tc>
              <w:tc>
                <w:tcPr>
                  <w:tcW w:w="325" w:type="pct"/>
                  <w:shd w:val="clear" w:color="auto" w:fill="auto"/>
                  <w:vAlign w:val="center"/>
                </w:tcPr>
                <w:p>
                  <w:pPr>
                    <w:adjustRightInd w:val="0"/>
                    <w:snapToGrid w:val="0"/>
                    <w:spacing w:line="240" w:lineRule="auto"/>
                    <w:ind w:firstLine="0" w:firstLineChars="0"/>
                    <w:contextualSpacing/>
                    <w:jc w:val="center"/>
                    <w:rPr>
                      <w:rFonts w:ascii="宋体" w:hAnsi="宋体" w:cs="宋体"/>
                      <w:bCs/>
                      <w:kern w:val="0"/>
                      <w:sz w:val="21"/>
                      <w:szCs w:val="21"/>
                      <w:lang w:val="zh-CN"/>
                    </w:rPr>
                  </w:pPr>
                  <w:r>
                    <w:rPr>
                      <w:rFonts w:ascii="宋体" w:hAnsi="宋体" w:cs="宋体"/>
                      <w:bCs/>
                      <w:kern w:val="0"/>
                      <w:sz w:val="21"/>
                      <w:szCs w:val="21"/>
                      <w:lang w:val="zh-CN"/>
                    </w:rPr>
                    <w:t>符合</w:t>
                  </w:r>
                </w:p>
              </w:tc>
            </w:tr>
          </w:tbl>
          <w:p>
            <w:pPr>
              <w:spacing w:line="240" w:lineRule="auto"/>
              <w:ind w:right="46" w:rightChars="19" w:firstLine="0" w:firstLineChars="0"/>
              <w:jc w:val="center"/>
            </w:pPr>
            <w:r>
              <w:rPr>
                <w:rFonts w:hint="eastAsia"/>
              </w:rPr>
              <w:drawing>
                <wp:inline distT="0" distB="0" distL="0" distR="0">
                  <wp:extent cx="5397500" cy="3832860"/>
                  <wp:effectExtent l="19050" t="19050" r="12700" b="15240"/>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pic:cNvPicPr>
                            <a:picLocks noChangeAspect="1" noChangeArrowheads="1"/>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397895" cy="3833205"/>
                          </a:xfrm>
                          <a:prstGeom prst="rect">
                            <a:avLst/>
                          </a:prstGeom>
                          <a:noFill/>
                          <a:ln w="19050">
                            <a:solidFill>
                              <a:schemeClr val="tx1"/>
                            </a:solidFill>
                          </a:ln>
                        </pic:spPr>
                      </pic:pic>
                    </a:graphicData>
                  </a:graphic>
                </wp:inline>
              </w:drawing>
            </w:r>
          </w:p>
          <w:p>
            <w:pPr>
              <w:pStyle w:val="14"/>
            </w:pPr>
            <w:r>
              <w:rPr>
                <w:rFonts w:hint="eastAsia"/>
              </w:rPr>
              <w:t>图2    石家庄市环境管控单元分布图</w:t>
            </w:r>
          </w:p>
          <w:p>
            <w:pPr>
              <w:ind w:right="46" w:rightChars="19" w:firstLine="480"/>
              <w:jc w:val="left"/>
              <w:rPr>
                <w:lang w:val="zh-CN"/>
              </w:rPr>
            </w:pPr>
            <w:r>
              <w:rPr>
                <w:rFonts w:hint="eastAsia"/>
                <w:lang w:val="zh-CN"/>
              </w:rPr>
              <w:t>（2）石家庄高新技术产业开发区（东区）环境准入负面清单</w:t>
            </w:r>
          </w:p>
          <w:p>
            <w:pPr>
              <w:ind w:right="46" w:rightChars="19" w:firstLine="480"/>
              <w:jc w:val="left"/>
              <w:rPr>
                <w:lang w:val="zh-CN"/>
              </w:rPr>
            </w:pPr>
            <w:r>
              <w:rPr>
                <w:rFonts w:hint="eastAsia"/>
                <w:lang w:val="zh-CN"/>
              </w:rPr>
              <w:t>项目位于石家庄市高新区学苑路30号副6号傲湖小区1号商业楼01-204，根据石家庄高新技术产业开发区（东区）扩区规划（2010-2020年）环境影响跟踪评价，石家庄高新技术产业开发区（东区）环境准入负面清单见下表。</w:t>
            </w:r>
          </w:p>
          <w:p>
            <w:pPr>
              <w:pStyle w:val="14"/>
            </w:pPr>
          </w:p>
          <w:p>
            <w:pPr>
              <w:pStyle w:val="14"/>
            </w:pPr>
          </w:p>
          <w:p>
            <w:pPr>
              <w:pStyle w:val="14"/>
            </w:pPr>
            <w:r>
              <w:rPr>
                <w:rFonts w:hint="eastAsia"/>
              </w:rPr>
              <w:t>表4   石家庄高新技术产业开发区（东区）环境准入负面清单（相关部分）</w:t>
            </w:r>
          </w:p>
          <w:tbl>
            <w:tblPr>
              <w:tblStyle w:val="16"/>
              <w:tblW w:w="495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8" w:type="dxa"/>
                <w:bottom w:w="0" w:type="dxa"/>
                <w:right w:w="28" w:type="dxa"/>
              </w:tblCellMar>
            </w:tblPr>
            <w:tblGrid>
              <w:gridCol w:w="302"/>
              <w:gridCol w:w="284"/>
              <w:gridCol w:w="81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55" w:hRule="atLeast"/>
                <w:jc w:val="center"/>
              </w:trPr>
              <w:tc>
                <w:tcPr>
                  <w:tcW w:w="337" w:type="pct"/>
                  <w:gridSpan w:val="2"/>
                  <w:tcBorders>
                    <w:tl2br w:val="nil"/>
                    <w:tr2bl w:val="nil"/>
                  </w:tcBorders>
                  <w:vAlign w:val="center"/>
                </w:tcPr>
                <w:p>
                  <w:pPr>
                    <w:pStyle w:val="54"/>
                    <w:rPr>
                      <w:lang w:val="en-US" w:eastAsia="zh-CN"/>
                    </w:rPr>
                  </w:pPr>
                  <w:r>
                    <w:rPr>
                      <w:lang w:val="en-US" w:eastAsia="zh-CN"/>
                    </w:rPr>
                    <w:t>类别</w:t>
                  </w:r>
                </w:p>
              </w:tc>
              <w:tc>
                <w:tcPr>
                  <w:tcW w:w="4663" w:type="pct"/>
                  <w:tcBorders>
                    <w:tl2br w:val="nil"/>
                    <w:tr2bl w:val="nil"/>
                  </w:tcBorders>
                  <w:vAlign w:val="center"/>
                </w:tcPr>
                <w:p>
                  <w:pPr>
                    <w:pStyle w:val="54"/>
                    <w:rPr>
                      <w:lang w:val="en-US" w:eastAsia="zh-CN"/>
                    </w:rPr>
                  </w:pPr>
                  <w:r>
                    <w:rPr>
                      <w:lang w:val="en-US" w:eastAsia="zh-CN"/>
                    </w:rPr>
                    <w:t>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55" w:hRule="atLeast"/>
                <w:jc w:val="center"/>
              </w:trPr>
              <w:tc>
                <w:tcPr>
                  <w:tcW w:w="174" w:type="pct"/>
                  <w:tcBorders>
                    <w:tl2br w:val="nil"/>
                    <w:tr2bl w:val="nil"/>
                  </w:tcBorders>
                  <w:vAlign w:val="center"/>
                </w:tcPr>
                <w:p>
                  <w:pPr>
                    <w:pStyle w:val="54"/>
                    <w:rPr>
                      <w:lang w:val="en-US" w:eastAsia="zh-CN"/>
                    </w:rPr>
                  </w:pPr>
                  <w:r>
                    <w:rPr>
                      <w:lang w:val="en-US" w:eastAsia="zh-CN"/>
                    </w:rPr>
                    <w:t>禁止</w:t>
                  </w:r>
                </w:p>
                <w:p>
                  <w:pPr>
                    <w:pStyle w:val="54"/>
                    <w:rPr>
                      <w:lang w:val="en-US" w:eastAsia="zh-CN"/>
                    </w:rPr>
                  </w:pPr>
                  <w:r>
                    <w:rPr>
                      <w:lang w:val="en-US" w:eastAsia="zh-CN"/>
                    </w:rPr>
                    <w:t>入区</w:t>
                  </w:r>
                </w:p>
                <w:p>
                  <w:pPr>
                    <w:pStyle w:val="54"/>
                    <w:rPr>
                      <w:lang w:val="en-US" w:eastAsia="zh-CN"/>
                    </w:rPr>
                  </w:pPr>
                  <w:r>
                    <w:rPr>
                      <w:lang w:val="en-US" w:eastAsia="zh-CN"/>
                    </w:rPr>
                    <w:t>项目</w:t>
                  </w:r>
                </w:p>
              </w:tc>
              <w:tc>
                <w:tcPr>
                  <w:tcW w:w="163" w:type="pct"/>
                  <w:tcBorders>
                    <w:tl2br w:val="nil"/>
                    <w:tr2bl w:val="nil"/>
                  </w:tcBorders>
                  <w:vAlign w:val="center"/>
                </w:tcPr>
                <w:p>
                  <w:pPr>
                    <w:pStyle w:val="54"/>
                    <w:rPr>
                      <w:lang w:val="en-US" w:eastAsia="zh-CN"/>
                    </w:rPr>
                  </w:pPr>
                  <w:r>
                    <w:rPr>
                      <w:lang w:val="en-US" w:eastAsia="zh-CN"/>
                    </w:rPr>
                    <w:t>综合要求</w:t>
                  </w:r>
                </w:p>
              </w:tc>
              <w:tc>
                <w:tcPr>
                  <w:tcW w:w="4663" w:type="pct"/>
                  <w:tcBorders>
                    <w:tl2br w:val="nil"/>
                    <w:tr2bl w:val="nil"/>
                  </w:tcBorders>
                  <w:vAlign w:val="center"/>
                </w:tcPr>
                <w:p>
                  <w:pPr>
                    <w:pStyle w:val="54"/>
                    <w:jc w:val="both"/>
                    <w:rPr>
                      <w:lang w:val="en-US" w:eastAsia="zh-CN"/>
                    </w:rPr>
                  </w:pPr>
                  <w:r>
                    <w:rPr>
                      <w:lang w:val="en-US" w:eastAsia="zh-CN"/>
                    </w:rPr>
                    <w:t>1、列入《产业结构调整指导目录（2019）》中限制、淘汰类项目；</w:t>
                  </w:r>
                </w:p>
                <w:p>
                  <w:pPr>
                    <w:pStyle w:val="54"/>
                    <w:jc w:val="left"/>
                    <w:rPr>
                      <w:lang w:val="en-US" w:eastAsia="zh-CN"/>
                    </w:rPr>
                  </w:pPr>
                  <w:r>
                    <w:rPr>
                      <w:lang w:val="en-US" w:eastAsia="zh-CN"/>
                    </w:rPr>
                    <w:t>2、列入《河北省新增限制和淘汰类产业目录（2015年版）》中的淘汰类项目；</w:t>
                  </w:r>
                </w:p>
                <w:p>
                  <w:pPr>
                    <w:pStyle w:val="54"/>
                    <w:jc w:val="left"/>
                    <w:rPr>
                      <w:lang w:val="en-US" w:eastAsia="zh-CN"/>
                    </w:rPr>
                  </w:pPr>
                  <w:r>
                    <w:rPr>
                      <w:lang w:val="en-US" w:eastAsia="zh-CN"/>
                    </w:rPr>
                    <w:t>3、列入《关于印发石家庄市产业发展鼓励和禁限指导意见（2017-2019年）的通知》中禁止类项目；</w:t>
                  </w:r>
                </w:p>
                <w:p>
                  <w:pPr>
                    <w:pStyle w:val="54"/>
                    <w:jc w:val="left"/>
                    <w:rPr>
                      <w:lang w:val="en-US" w:eastAsia="zh-CN"/>
                    </w:rPr>
                  </w:pPr>
                  <w:r>
                    <w:rPr>
                      <w:lang w:val="en-US" w:eastAsia="zh-CN"/>
                    </w:rPr>
                    <w:t>4、不符合《河北省环境敏感区支持、限制及禁止建设项目名录(2005年修订版)》相关要求的项目；</w:t>
                  </w:r>
                </w:p>
                <w:p>
                  <w:pPr>
                    <w:pStyle w:val="54"/>
                    <w:jc w:val="left"/>
                    <w:rPr>
                      <w:lang w:val="en-US" w:eastAsia="zh-CN"/>
                    </w:rPr>
                  </w:pPr>
                  <w:r>
                    <w:rPr>
                      <w:lang w:val="en-US" w:eastAsia="zh-CN"/>
                    </w:rPr>
                    <w:t>5、列入《“高污染、高风险”产品名录》产品的项目；</w:t>
                  </w:r>
                </w:p>
                <w:p>
                  <w:pPr>
                    <w:pStyle w:val="54"/>
                    <w:jc w:val="left"/>
                    <w:rPr>
                      <w:lang w:val="en-US" w:eastAsia="zh-CN"/>
                    </w:rPr>
                  </w:pPr>
                  <w:r>
                    <w:rPr>
                      <w:lang w:val="en-US" w:eastAsia="zh-CN"/>
                    </w:rPr>
                    <w:t>6、企业的清洁生产水平达不到二级水平的项目；</w:t>
                  </w:r>
                </w:p>
                <w:p>
                  <w:pPr>
                    <w:pStyle w:val="54"/>
                    <w:jc w:val="left"/>
                    <w:rPr>
                      <w:lang w:val="en-US" w:eastAsia="zh-CN"/>
                    </w:rPr>
                  </w:pPr>
                  <w:r>
                    <w:rPr>
                      <w:lang w:val="en-US" w:eastAsia="zh-CN"/>
                    </w:rPr>
                    <w:t>7、超过单位产品能源消耗限额标准的项目；</w:t>
                  </w:r>
                </w:p>
                <w:p>
                  <w:pPr>
                    <w:pStyle w:val="54"/>
                    <w:jc w:val="left"/>
                    <w:rPr>
                      <w:lang w:val="en-US" w:eastAsia="zh-CN"/>
                    </w:rPr>
                  </w:pPr>
                  <w:r>
                    <w:rPr>
                      <w:lang w:val="en-US" w:eastAsia="zh-CN"/>
                    </w:rPr>
                    <w:t>8、开采地下水的项目；</w:t>
                  </w:r>
                </w:p>
                <w:p>
                  <w:pPr>
                    <w:pStyle w:val="54"/>
                    <w:jc w:val="left"/>
                    <w:rPr>
                      <w:lang w:val="en-US" w:eastAsia="zh-CN"/>
                    </w:rPr>
                  </w:pPr>
                  <w:r>
                    <w:rPr>
                      <w:lang w:val="en-US" w:eastAsia="zh-CN"/>
                    </w:rPr>
                    <w:t>9、设置燃煤锅炉的项目；</w:t>
                  </w:r>
                </w:p>
                <w:p>
                  <w:pPr>
                    <w:pStyle w:val="54"/>
                    <w:jc w:val="left"/>
                    <w:rPr>
                      <w:lang w:val="en-US" w:eastAsia="zh-CN"/>
                    </w:rPr>
                  </w:pPr>
                  <w:r>
                    <w:rPr>
                      <w:lang w:val="en-US" w:eastAsia="zh-CN"/>
                    </w:rPr>
                    <w:t>10、其他属于国家及地方各项政策禁止的项目。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55" w:hRule="atLeast"/>
                <w:jc w:val="center"/>
              </w:trPr>
              <w:tc>
                <w:tcPr>
                  <w:tcW w:w="174" w:type="pct"/>
                  <w:vMerge w:val="restart"/>
                  <w:tcBorders>
                    <w:tl2br w:val="nil"/>
                    <w:tr2bl w:val="nil"/>
                  </w:tcBorders>
                  <w:vAlign w:val="center"/>
                </w:tcPr>
                <w:p>
                  <w:pPr>
                    <w:pStyle w:val="54"/>
                    <w:rPr>
                      <w:lang w:val="en-US" w:eastAsia="zh-CN"/>
                    </w:rPr>
                  </w:pPr>
                  <w:r>
                    <w:rPr>
                      <w:lang w:val="en-US" w:eastAsia="zh-CN"/>
                    </w:rPr>
                    <w:t>禁止</w:t>
                  </w:r>
                </w:p>
                <w:p>
                  <w:pPr>
                    <w:pStyle w:val="54"/>
                    <w:rPr>
                      <w:lang w:val="en-US" w:eastAsia="zh-CN"/>
                    </w:rPr>
                  </w:pPr>
                  <w:r>
                    <w:rPr>
                      <w:lang w:val="en-US" w:eastAsia="zh-CN"/>
                    </w:rPr>
                    <w:t>入区</w:t>
                  </w:r>
                </w:p>
                <w:p>
                  <w:pPr>
                    <w:pStyle w:val="54"/>
                    <w:rPr>
                      <w:lang w:val="en-US" w:eastAsia="zh-CN"/>
                    </w:rPr>
                  </w:pPr>
                  <w:r>
                    <w:rPr>
                      <w:lang w:val="en-US" w:eastAsia="zh-CN"/>
                    </w:rPr>
                    <w:t>项目</w:t>
                  </w:r>
                </w:p>
              </w:tc>
              <w:tc>
                <w:tcPr>
                  <w:tcW w:w="163" w:type="pct"/>
                  <w:tcBorders>
                    <w:tl2br w:val="nil"/>
                    <w:tr2bl w:val="nil"/>
                  </w:tcBorders>
                  <w:vAlign w:val="center"/>
                </w:tcPr>
                <w:p>
                  <w:pPr>
                    <w:pStyle w:val="54"/>
                    <w:rPr>
                      <w:lang w:val="en-US" w:eastAsia="zh-CN"/>
                    </w:rPr>
                  </w:pPr>
                  <w:r>
                    <w:rPr>
                      <w:lang w:val="en-US" w:eastAsia="zh-CN"/>
                    </w:rPr>
                    <w:t>高端医药产业</w:t>
                  </w:r>
                </w:p>
              </w:tc>
              <w:tc>
                <w:tcPr>
                  <w:tcW w:w="4663" w:type="pct"/>
                  <w:tcBorders>
                    <w:tl2br w:val="nil"/>
                    <w:tr2bl w:val="nil"/>
                  </w:tcBorders>
                  <w:vAlign w:val="center"/>
                </w:tcPr>
                <w:p>
                  <w:pPr>
                    <w:pStyle w:val="54"/>
                    <w:jc w:val="left"/>
                    <w:rPr>
                      <w:lang w:val="en-US" w:eastAsia="zh-CN"/>
                    </w:rPr>
                  </w:pPr>
                  <w:r>
                    <w:rPr>
                      <w:lang w:val="en-US" w:eastAsia="zh-CN"/>
                    </w:rPr>
                    <w:t>1、新建、扩建古龙酸和维生素C原粉（药用）生产装置，新建药品、食品、饲料、化妆品等用途的维生素B1、维生素B2、维生素B12(综合利用除外)、维生素E原料生产装置。</w:t>
                  </w:r>
                </w:p>
                <w:p>
                  <w:pPr>
                    <w:pStyle w:val="54"/>
                    <w:jc w:val="left"/>
                    <w:rPr>
                      <w:lang w:val="en-US" w:eastAsia="zh-CN"/>
                    </w:rPr>
                  </w:pPr>
                  <w:r>
                    <w:rPr>
                      <w:lang w:val="en-US" w:eastAsia="zh-CN"/>
                    </w:rPr>
                    <w:t>2、新建青霉素工业盐、6-氨基青霉烷酸（6-APA）、化学法生产7-氨基头孢烷酸（7-ACA）、7-氨基-3-去乙酰氧基头孢烷酸（7-ADCA）、青霉素V、氨苄青霉素、羟氨苄青霉素、头孢菌素c发酵、土霉素、四环素、氯霉素、安乃近、扑热息痛、林可霉素、庆大霉素、双氢链霉素、丁胺卡那霉素、麦迪霉素、柱晶白霉素、环丙氟哌酸、氟哌酸、氟嗪酸、利福平、咖啡因、柯柯豆碱生产装置。</w:t>
                  </w:r>
                </w:p>
                <w:p>
                  <w:pPr>
                    <w:pStyle w:val="54"/>
                    <w:jc w:val="left"/>
                    <w:rPr>
                      <w:lang w:val="en-US" w:eastAsia="zh-CN"/>
                    </w:rPr>
                  </w:pPr>
                  <w:r>
                    <w:rPr>
                      <w:lang w:val="en-US" w:eastAsia="zh-CN"/>
                    </w:rPr>
                    <w:t>3、新建紫杉醇（配套红豆杉种植除外）、植物提取法黄连素（配套黄连种植除外）生产装置。</w:t>
                  </w:r>
                </w:p>
                <w:p>
                  <w:pPr>
                    <w:pStyle w:val="54"/>
                    <w:jc w:val="left"/>
                    <w:rPr>
                      <w:lang w:val="en-US" w:eastAsia="zh-CN"/>
                    </w:rPr>
                  </w:pPr>
                  <w:r>
                    <w:rPr>
                      <w:lang w:val="en-US" w:eastAsia="zh-CN"/>
                    </w:rPr>
                    <w:t>4、新建、改扩建药用丁基橡胶塞、二步法生产输液用塑料瓶生产装置。</w:t>
                  </w:r>
                </w:p>
                <w:p>
                  <w:pPr>
                    <w:pStyle w:val="54"/>
                    <w:jc w:val="left"/>
                    <w:rPr>
                      <w:lang w:val="en-US" w:eastAsia="zh-CN"/>
                    </w:rPr>
                  </w:pPr>
                  <w:r>
                    <w:rPr>
                      <w:lang w:val="en-US" w:eastAsia="zh-CN"/>
                    </w:rPr>
                    <w:t>5、新开办无新药证书的药品生产企业。</w:t>
                  </w:r>
                </w:p>
                <w:p>
                  <w:pPr>
                    <w:pStyle w:val="54"/>
                    <w:jc w:val="left"/>
                    <w:rPr>
                      <w:lang w:val="en-US" w:eastAsia="zh-CN"/>
                    </w:rPr>
                  </w:pPr>
                  <w:r>
                    <w:rPr>
                      <w:lang w:val="en-US" w:eastAsia="zh-CN"/>
                    </w:rPr>
                    <w:t>6、新建及改扩建原料含有尚未规模化种植或养殖的濒危动植物药材的产品生产装置。</w:t>
                  </w:r>
                </w:p>
                <w:p>
                  <w:pPr>
                    <w:pStyle w:val="54"/>
                    <w:jc w:val="left"/>
                    <w:rPr>
                      <w:lang w:val="en-US" w:eastAsia="zh-CN"/>
                    </w:rPr>
                  </w:pPr>
                  <w:r>
                    <w:rPr>
                      <w:lang w:val="en-US" w:eastAsia="zh-CN"/>
                    </w:rPr>
                    <w:t>7、新建、改扩建充汞式玻璃体温计、血压计生产装置、银汞齐齿科材料、新建2亿支/年以下一次性注射器、输血器、输液器生产装置。</w:t>
                  </w:r>
                </w:p>
                <w:p>
                  <w:pPr>
                    <w:pStyle w:val="54"/>
                    <w:jc w:val="left"/>
                    <w:rPr>
                      <w:lang w:val="en-US" w:eastAsia="zh-CN"/>
                    </w:rPr>
                  </w:pPr>
                  <w:r>
                    <w:rPr>
                      <w:lang w:val="en-US" w:eastAsia="zh-CN"/>
                    </w:rPr>
                    <w:t>8、手工胶囊填充工艺。</w:t>
                  </w:r>
                </w:p>
                <w:p>
                  <w:pPr>
                    <w:pStyle w:val="54"/>
                    <w:jc w:val="left"/>
                    <w:rPr>
                      <w:lang w:val="en-US" w:eastAsia="zh-CN"/>
                    </w:rPr>
                  </w:pPr>
                  <w:r>
                    <w:rPr>
                      <w:lang w:val="en-US" w:eastAsia="zh-CN"/>
                    </w:rPr>
                    <w:t>9、软木塞烫腊包装药品工艺。</w:t>
                  </w:r>
                </w:p>
                <w:p>
                  <w:pPr>
                    <w:pStyle w:val="54"/>
                    <w:jc w:val="left"/>
                    <w:rPr>
                      <w:lang w:val="en-US" w:eastAsia="zh-CN"/>
                    </w:rPr>
                  </w:pPr>
                  <w:r>
                    <w:rPr>
                      <w:lang w:val="en-US" w:eastAsia="zh-CN"/>
                    </w:rPr>
                    <w:t>10、不符合GMP要求的安瓿拉丝灌封机。</w:t>
                  </w:r>
                </w:p>
                <w:p>
                  <w:pPr>
                    <w:pStyle w:val="54"/>
                    <w:jc w:val="left"/>
                    <w:rPr>
                      <w:lang w:val="en-US" w:eastAsia="zh-CN"/>
                    </w:rPr>
                  </w:pPr>
                  <w:r>
                    <w:rPr>
                      <w:lang w:val="en-US" w:eastAsia="zh-CN"/>
                    </w:rPr>
                    <w:t>11、塔式重蒸馏水器。</w:t>
                  </w:r>
                </w:p>
                <w:p>
                  <w:pPr>
                    <w:pStyle w:val="54"/>
                    <w:jc w:val="left"/>
                    <w:rPr>
                      <w:lang w:val="en-US" w:eastAsia="zh-CN"/>
                    </w:rPr>
                  </w:pPr>
                  <w:r>
                    <w:rPr>
                      <w:lang w:val="en-US" w:eastAsia="zh-CN"/>
                    </w:rPr>
                    <w:t>12、无净化设施的热风干燥箱。</w:t>
                  </w:r>
                </w:p>
                <w:p>
                  <w:pPr>
                    <w:pStyle w:val="54"/>
                    <w:jc w:val="left"/>
                    <w:rPr>
                      <w:lang w:val="en-US" w:eastAsia="zh-CN"/>
                    </w:rPr>
                  </w:pPr>
                  <w:r>
                    <w:rPr>
                      <w:lang w:val="en-US" w:eastAsia="zh-CN"/>
                    </w:rPr>
                    <w:t>13、劳动保护、三废治理不能达到国家标准的原料药生产装置。</w:t>
                  </w:r>
                </w:p>
                <w:p>
                  <w:pPr>
                    <w:pStyle w:val="54"/>
                    <w:jc w:val="left"/>
                    <w:rPr>
                      <w:lang w:val="en-US" w:eastAsia="zh-CN"/>
                    </w:rPr>
                  </w:pPr>
                  <w:r>
                    <w:rPr>
                      <w:lang w:val="en-US" w:eastAsia="zh-CN"/>
                    </w:rPr>
                    <w:t>14、铁粉还原法对乙酰氨基酚（扑热息痛）、咖啡因装置。</w:t>
                  </w:r>
                </w:p>
                <w:p>
                  <w:pPr>
                    <w:pStyle w:val="54"/>
                    <w:jc w:val="left"/>
                    <w:rPr>
                      <w:lang w:val="en-US" w:eastAsia="zh-CN"/>
                    </w:rPr>
                  </w:pPr>
                  <w:r>
                    <w:rPr>
                      <w:lang w:val="en-US" w:eastAsia="zh-CN"/>
                    </w:rPr>
                    <w:t>15、使用氯氟烃（CFCs）作为气雾剂、推进剂、抛射剂或分散剂的医药用品生产工艺（根据国家履行国际公约总体计划要求</w:t>
                  </w:r>
                  <w:r>
                    <w:rPr>
                      <w:lang w:val="en-US" w:eastAsia="zh-CN"/>
                    </w:rPr>
                    <w:cr/>
                  </w:r>
                  <w:r>
                    <w:rPr>
                      <w:lang w:val="en-US" w:eastAsia="zh-CN"/>
                    </w:rPr>
                    <w:t>行淘汰）。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55" w:hRule="atLeast"/>
                <w:jc w:val="center"/>
              </w:trPr>
              <w:tc>
                <w:tcPr>
                  <w:tcW w:w="174" w:type="pct"/>
                  <w:vMerge w:val="continue"/>
                  <w:tcBorders>
                    <w:tl2br w:val="nil"/>
                    <w:tr2bl w:val="nil"/>
                  </w:tcBorders>
                  <w:vAlign w:val="center"/>
                </w:tcPr>
                <w:p>
                  <w:pPr>
                    <w:pStyle w:val="54"/>
                    <w:rPr>
                      <w:lang w:val="en-US" w:eastAsia="zh-CN"/>
                    </w:rPr>
                  </w:pPr>
                </w:p>
              </w:tc>
              <w:tc>
                <w:tcPr>
                  <w:tcW w:w="163" w:type="pct"/>
                  <w:tcBorders>
                    <w:tl2br w:val="nil"/>
                    <w:tr2bl w:val="nil"/>
                  </w:tcBorders>
                  <w:vAlign w:val="center"/>
                </w:tcPr>
                <w:p>
                  <w:pPr>
                    <w:pStyle w:val="54"/>
                    <w:rPr>
                      <w:lang w:val="en-US" w:eastAsia="zh-CN"/>
                    </w:rPr>
                  </w:pPr>
                  <w:r>
                    <w:rPr>
                      <w:lang w:val="en-US" w:eastAsia="zh-CN"/>
                    </w:rPr>
                    <w:t>装备制造</w:t>
                  </w:r>
                </w:p>
              </w:tc>
              <w:tc>
                <w:tcPr>
                  <w:tcW w:w="4663" w:type="pct"/>
                  <w:tcBorders>
                    <w:tl2br w:val="nil"/>
                    <w:tr2bl w:val="nil"/>
                  </w:tcBorders>
                  <w:vAlign w:val="center"/>
                </w:tcPr>
                <w:p>
                  <w:pPr>
                    <w:pStyle w:val="54"/>
                    <w:jc w:val="left"/>
                    <w:rPr>
                      <w:lang w:val="en-US" w:eastAsia="zh-CN"/>
                    </w:rPr>
                  </w:pPr>
                  <w:r>
                    <w:rPr>
                      <w:lang w:val="en-US" w:eastAsia="zh-CN"/>
                    </w:rPr>
                    <w:t>1、TQ60、TQ80塔式起重机，QT16、QT20、QT25井架简易塔式起重机，KJ1600/1220单筒提升绞机；</w:t>
                  </w:r>
                </w:p>
                <w:p>
                  <w:pPr>
                    <w:pStyle w:val="54"/>
                    <w:jc w:val="left"/>
                    <w:rPr>
                      <w:lang w:val="en-US" w:eastAsia="zh-CN"/>
                    </w:rPr>
                  </w:pPr>
                  <w:r>
                    <w:rPr>
                      <w:lang w:val="en-US" w:eastAsia="zh-CN"/>
                    </w:rPr>
                    <w:t>2、“1”字头成卷、梳棉、清花、并条、粗纱、细纱设备，1332系列络筒机，1511型有梭织机，“1”字头整经、浆纱机等全部“1”字头的纺纱织造设备；A512、A513系列细纱机；B581、B582型精纺细纱机，BC581、BC582型粗纺细纱机，B591绒线细纱机，B601、B601A型毛捻线机，BC272、BC272B型粗梳毛纺梳毛机，B751型绒线成球机，B701A型绒线摇绞机，B250、B311、B311C、B311C（CZ）、B311C（DJ）型精梳机，H112、H112A型毛分条整经机、H212型毛织机等毛纺织设备；90年以前生产、未经技术改造的各类国产毛纺细纱机；R531型酸性粘胶纺丝机；螺杆挤出机直径小于或等于90mm，2000吨/年以下的涤纶再生纺短纤维生产装置；</w:t>
                  </w:r>
                </w:p>
                <w:p>
                  <w:pPr>
                    <w:pStyle w:val="54"/>
                    <w:jc w:val="left"/>
                    <w:rPr>
                      <w:lang w:val="en-US" w:eastAsia="zh-CN"/>
                    </w:rPr>
                  </w:pPr>
                  <w:r>
                    <w:rPr>
                      <w:lang w:val="en-US" w:eastAsia="zh-CN"/>
                    </w:rPr>
                    <w:t>3、G60型、G17型罐车</w:t>
                  </w:r>
                  <w:r>
                    <w:rPr>
                      <w:rFonts w:hint="eastAsia"/>
                      <w:lang w:val="en-US" w:eastAsia="zh-CN"/>
                    </w:rPr>
                    <w:t>、</w:t>
                  </w:r>
                  <w:r>
                    <w:rPr>
                      <w:lang w:val="en-US" w:eastAsia="zh-CN"/>
                    </w:rPr>
                    <w:t>P62型棚车，K13型矿石车，N16型、N17型平车，C62A型、C62B型敞车，轨道平车；</w:t>
                  </w:r>
                </w:p>
                <w:p>
                  <w:pPr>
                    <w:pStyle w:val="54"/>
                    <w:jc w:val="left"/>
                    <w:rPr>
                      <w:lang w:val="en-US" w:eastAsia="zh-CN"/>
                    </w:rPr>
                  </w:pPr>
                </w:p>
              </w:tc>
            </w:tr>
          </w:tbl>
          <w:p>
            <w:pPr>
              <w:pStyle w:val="14"/>
            </w:pPr>
            <w:r>
              <w:rPr>
                <w:rFonts w:hint="eastAsia"/>
              </w:rPr>
              <w:t>续表4   石家庄高新技术产业开发区（东区）环境准入负面清单（相关部分）</w:t>
            </w:r>
          </w:p>
          <w:tbl>
            <w:tblPr>
              <w:tblStyle w:val="16"/>
              <w:tblW w:w="495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8" w:type="dxa"/>
                <w:bottom w:w="0" w:type="dxa"/>
                <w:right w:w="28" w:type="dxa"/>
              </w:tblCellMar>
            </w:tblPr>
            <w:tblGrid>
              <w:gridCol w:w="302"/>
              <w:gridCol w:w="284"/>
              <w:gridCol w:w="81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12" w:hRule="atLeast"/>
                <w:jc w:val="center"/>
              </w:trPr>
              <w:tc>
                <w:tcPr>
                  <w:tcW w:w="337" w:type="pct"/>
                  <w:gridSpan w:val="2"/>
                  <w:tcBorders>
                    <w:tl2br w:val="nil"/>
                    <w:tr2bl w:val="nil"/>
                  </w:tcBorders>
                  <w:vAlign w:val="center"/>
                </w:tcPr>
                <w:p>
                  <w:pPr>
                    <w:pStyle w:val="54"/>
                    <w:rPr>
                      <w:lang w:val="en-US" w:eastAsia="zh-CN"/>
                    </w:rPr>
                  </w:pPr>
                  <w:r>
                    <w:rPr>
                      <w:lang w:val="en-US" w:eastAsia="zh-CN"/>
                    </w:rPr>
                    <w:t>类别</w:t>
                  </w:r>
                </w:p>
              </w:tc>
              <w:tc>
                <w:tcPr>
                  <w:tcW w:w="4663" w:type="pct"/>
                  <w:tcBorders>
                    <w:tl2br w:val="nil"/>
                    <w:tr2bl w:val="nil"/>
                  </w:tcBorders>
                  <w:vAlign w:val="center"/>
                </w:tcPr>
                <w:p>
                  <w:pPr>
                    <w:pStyle w:val="54"/>
                    <w:rPr>
                      <w:lang w:val="en-US" w:eastAsia="zh-CN"/>
                    </w:rPr>
                  </w:pPr>
                  <w:r>
                    <w:rPr>
                      <w:lang w:val="en-US" w:eastAsia="zh-CN"/>
                    </w:rPr>
                    <w:t>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12" w:hRule="atLeast"/>
                <w:jc w:val="center"/>
              </w:trPr>
              <w:tc>
                <w:tcPr>
                  <w:tcW w:w="174" w:type="pct"/>
                  <w:vMerge w:val="restart"/>
                  <w:tcBorders>
                    <w:tl2br w:val="nil"/>
                    <w:tr2bl w:val="nil"/>
                  </w:tcBorders>
                  <w:vAlign w:val="center"/>
                </w:tcPr>
                <w:p>
                  <w:pPr>
                    <w:pStyle w:val="54"/>
                    <w:rPr>
                      <w:lang w:val="en-US" w:eastAsia="zh-CN"/>
                    </w:rPr>
                  </w:pPr>
                  <w:r>
                    <w:rPr>
                      <w:lang w:val="en-US" w:eastAsia="zh-CN"/>
                    </w:rPr>
                    <w:t>禁止</w:t>
                  </w:r>
                </w:p>
                <w:p>
                  <w:pPr>
                    <w:pStyle w:val="54"/>
                    <w:rPr>
                      <w:lang w:val="en-US" w:eastAsia="zh-CN"/>
                    </w:rPr>
                  </w:pPr>
                  <w:r>
                    <w:rPr>
                      <w:lang w:val="en-US" w:eastAsia="zh-CN"/>
                    </w:rPr>
                    <w:t>入区</w:t>
                  </w:r>
                </w:p>
                <w:p>
                  <w:pPr>
                    <w:pStyle w:val="54"/>
                    <w:rPr>
                      <w:lang w:val="en-US" w:eastAsia="zh-CN"/>
                    </w:rPr>
                  </w:pPr>
                  <w:r>
                    <w:rPr>
                      <w:lang w:val="en-US" w:eastAsia="zh-CN"/>
                    </w:rPr>
                    <w:t>项目</w:t>
                  </w:r>
                </w:p>
              </w:tc>
              <w:tc>
                <w:tcPr>
                  <w:tcW w:w="163" w:type="pct"/>
                  <w:tcBorders>
                    <w:tl2br w:val="nil"/>
                    <w:tr2bl w:val="nil"/>
                  </w:tcBorders>
                  <w:vAlign w:val="center"/>
                </w:tcPr>
                <w:p>
                  <w:pPr>
                    <w:pStyle w:val="54"/>
                    <w:rPr>
                      <w:lang w:val="en-US" w:eastAsia="zh-CN"/>
                    </w:rPr>
                  </w:pPr>
                  <w:r>
                    <w:rPr>
                      <w:lang w:val="en-US" w:eastAsia="zh-CN"/>
                    </w:rPr>
                    <w:t>装备制造</w:t>
                  </w:r>
                </w:p>
              </w:tc>
              <w:tc>
                <w:tcPr>
                  <w:tcW w:w="4663" w:type="pct"/>
                  <w:tcBorders>
                    <w:tl2br w:val="nil"/>
                    <w:tr2bl w:val="nil"/>
                  </w:tcBorders>
                  <w:vAlign w:val="center"/>
                </w:tcPr>
                <w:p>
                  <w:pPr>
                    <w:pStyle w:val="54"/>
                    <w:jc w:val="left"/>
                    <w:rPr>
                      <w:lang w:val="en-US" w:eastAsia="zh-CN"/>
                    </w:rPr>
                  </w:pPr>
                  <w:r>
                    <w:rPr>
                      <w:lang w:val="en-US" w:eastAsia="zh-CN"/>
                    </w:rPr>
                    <w:t>4、T100、</w:t>
                  </w:r>
                  <w:r>
                    <w:rPr>
                      <w:lang w:val="en-US" w:eastAsia="zh-CN"/>
                    </w:rPr>
                    <w:cr/>
                  </w:r>
                  <w:r>
                    <w:rPr>
                      <w:lang w:val="en-US" w:eastAsia="zh-CN"/>
                    </w:rPr>
                    <w:t>100A推土机，WP-3挖掘机，矿用钢丝绳冲击式钻机，3W-0.9/7(环状阀)空气压缩机，C620、CA630普通车床，Q51汽车起重机，A571单梁起重机，TY1100型单缸立式水冷直喷式柴油机，165单缸卧式蒸发水冷、预燃室柴油机，低于国二排放的车用发动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12" w:hRule="atLeast"/>
                <w:jc w:val="center"/>
              </w:trPr>
              <w:tc>
                <w:tcPr>
                  <w:tcW w:w="174" w:type="pct"/>
                  <w:vMerge w:val="continue"/>
                  <w:tcBorders>
                    <w:tl2br w:val="nil"/>
                    <w:tr2bl w:val="nil"/>
                  </w:tcBorders>
                  <w:vAlign w:val="center"/>
                </w:tcPr>
                <w:p>
                  <w:pPr>
                    <w:pStyle w:val="54"/>
                    <w:rPr>
                      <w:lang w:val="en-US" w:eastAsia="zh-CN"/>
                    </w:rPr>
                  </w:pPr>
                </w:p>
              </w:tc>
              <w:tc>
                <w:tcPr>
                  <w:tcW w:w="163" w:type="pct"/>
                  <w:tcBorders>
                    <w:tl2br w:val="nil"/>
                    <w:tr2bl w:val="nil"/>
                  </w:tcBorders>
                  <w:vAlign w:val="center"/>
                </w:tcPr>
                <w:p>
                  <w:pPr>
                    <w:pStyle w:val="54"/>
                    <w:rPr>
                      <w:lang w:val="en-US" w:eastAsia="zh-CN"/>
                    </w:rPr>
                  </w:pPr>
                  <w:r>
                    <w:rPr>
                      <w:lang w:val="en-US" w:eastAsia="zh-CN"/>
                    </w:rPr>
                    <w:t>信息产业</w:t>
                  </w:r>
                </w:p>
              </w:tc>
              <w:tc>
                <w:tcPr>
                  <w:tcW w:w="4663" w:type="pct"/>
                  <w:tcBorders>
                    <w:tl2br w:val="nil"/>
                    <w:tr2bl w:val="nil"/>
                  </w:tcBorders>
                  <w:vAlign w:val="center"/>
                </w:tcPr>
                <w:p>
                  <w:pPr>
                    <w:pStyle w:val="54"/>
                    <w:jc w:val="left"/>
                    <w:rPr>
                      <w:lang w:val="en-US" w:eastAsia="zh-CN"/>
                    </w:rPr>
                  </w:pPr>
                  <w:r>
                    <w:rPr>
                      <w:lang w:val="en-US" w:eastAsia="zh-CN"/>
                    </w:rPr>
                    <w:t>1、激光视盘机生产线（VCD系列整机产品）。</w:t>
                  </w:r>
                </w:p>
                <w:p>
                  <w:pPr>
                    <w:pStyle w:val="54"/>
                    <w:jc w:val="left"/>
                    <w:rPr>
                      <w:lang w:val="en-US" w:eastAsia="zh-CN"/>
                    </w:rPr>
                  </w:pPr>
                  <w:r>
                    <w:rPr>
                      <w:lang w:val="en-US" w:eastAsia="zh-CN"/>
                    </w:rPr>
                    <w:t>2、模拟CRT黑白及彩色电视机项目。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55" w:hRule="atLeast"/>
                <w:jc w:val="center"/>
              </w:trPr>
              <w:tc>
                <w:tcPr>
                  <w:tcW w:w="337" w:type="pct"/>
                  <w:gridSpan w:val="2"/>
                  <w:tcBorders>
                    <w:tl2br w:val="nil"/>
                    <w:tr2bl w:val="nil"/>
                  </w:tcBorders>
                  <w:vAlign w:val="center"/>
                </w:tcPr>
                <w:p>
                  <w:pPr>
                    <w:pStyle w:val="54"/>
                    <w:rPr>
                      <w:lang w:val="en-US" w:eastAsia="zh-CN"/>
                    </w:rPr>
                  </w:pPr>
                  <w:r>
                    <w:rPr>
                      <w:lang w:val="en-US" w:eastAsia="zh-CN"/>
                    </w:rPr>
                    <w:t>限制入区项目</w:t>
                  </w:r>
                </w:p>
              </w:tc>
              <w:tc>
                <w:tcPr>
                  <w:tcW w:w="4663" w:type="pct"/>
                  <w:tcBorders>
                    <w:tl2br w:val="nil"/>
                    <w:tr2bl w:val="nil"/>
                  </w:tcBorders>
                  <w:vAlign w:val="center"/>
                </w:tcPr>
                <w:p>
                  <w:pPr>
                    <w:pStyle w:val="54"/>
                    <w:jc w:val="left"/>
                    <w:rPr>
                      <w:lang w:val="en-US" w:eastAsia="zh-CN"/>
                    </w:rPr>
                  </w:pPr>
                  <w:r>
                    <w:rPr>
                      <w:lang w:val="en-US" w:eastAsia="zh-CN"/>
                    </w:rPr>
                    <w:t>1、限制占用农田的项目入驻（项目占地调整为工业用地后可以入驻）；</w:t>
                  </w:r>
                </w:p>
                <w:p>
                  <w:pPr>
                    <w:pStyle w:val="54"/>
                    <w:jc w:val="left"/>
                    <w:rPr>
                      <w:lang w:val="en-US" w:eastAsia="zh-CN"/>
                    </w:rPr>
                  </w:pPr>
                  <w:r>
                    <w:rPr>
                      <w:lang w:val="en-US" w:eastAsia="zh-CN"/>
                    </w:rPr>
                    <w:t>2、限制占用区域大气污染物总量控制指标较大的项目入驻（实施总量消减、清洁生产后，满足国家和地方总量控制要求的项目可</w:t>
                  </w:r>
                  <w:r>
                    <w:rPr>
                      <w:lang w:val="en-US" w:eastAsia="zh-CN"/>
                    </w:rPr>
                    <w:cr/>
                  </w:r>
                  <w:r>
                    <w:rPr>
                      <w:lang w:val="en-US" w:eastAsia="zh-CN"/>
                    </w:rPr>
                    <w:t>入驻）。</w:t>
                  </w:r>
                </w:p>
              </w:tc>
            </w:tr>
          </w:tbl>
          <w:p>
            <w:pPr>
              <w:ind w:right="46" w:rightChars="19" w:firstLine="480"/>
              <w:jc w:val="left"/>
              <w:rPr>
                <w:lang w:val="zh-CN"/>
              </w:rPr>
            </w:pPr>
            <w:r>
              <w:rPr>
                <w:rFonts w:hint="eastAsia"/>
                <w:lang w:val="zh-CN"/>
              </w:rPr>
              <w:t>本项目为医院类项目，不违背石家庄高新技术产业开发区（东区）产业发展方向。项目不在负面清单之列，满足区域“三线一单”相关要求。</w:t>
            </w:r>
          </w:p>
          <w:p>
            <w:pPr>
              <w:ind w:left="24" w:leftChars="10" w:right="24" w:rightChars="10" w:firstLine="0" w:firstLineChars="0"/>
              <w:jc w:val="left"/>
              <w:rPr>
                <w:b/>
              </w:rPr>
            </w:pPr>
            <w:r>
              <w:rPr>
                <w:rFonts w:hint="eastAsia"/>
                <w:b/>
              </w:rPr>
              <w:t>5、项目与其他环保政策符合性分析</w:t>
            </w:r>
          </w:p>
          <w:p>
            <w:pPr>
              <w:pStyle w:val="14"/>
            </w:pPr>
            <w:r>
              <w:rPr>
                <w:rFonts w:hint="eastAsia"/>
              </w:rPr>
              <w:t>表5   项目与相关污染防治政策符合性分析</w:t>
            </w:r>
          </w:p>
          <w:tbl>
            <w:tblPr>
              <w:tblStyle w:val="16"/>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6" w:type="dxa"/>
                <w:bottom w:w="0" w:type="dxa"/>
                <w:right w:w="6" w:type="dxa"/>
              </w:tblCellMar>
            </w:tblPr>
            <w:tblGrid>
              <w:gridCol w:w="782"/>
              <w:gridCol w:w="4480"/>
              <w:gridCol w:w="3013"/>
              <w:gridCol w:w="4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40" w:hRule="atLeast"/>
                <w:jc w:val="center"/>
              </w:trPr>
              <w:tc>
                <w:tcPr>
                  <w:tcW w:w="446" w:type="pct"/>
                  <w:vAlign w:val="center"/>
                </w:tcPr>
                <w:p>
                  <w:pPr>
                    <w:pStyle w:val="54"/>
                    <w:rPr>
                      <w:lang w:val="en-US" w:eastAsia="zh-CN"/>
                    </w:rPr>
                  </w:pPr>
                  <w:r>
                    <w:rPr>
                      <w:lang w:val="en-US" w:eastAsia="zh-CN"/>
                    </w:rPr>
                    <w:t>相关政策名称</w:t>
                  </w:r>
                </w:p>
              </w:tc>
              <w:tc>
                <w:tcPr>
                  <w:tcW w:w="2555" w:type="pct"/>
                  <w:vAlign w:val="center"/>
                </w:tcPr>
                <w:p>
                  <w:pPr>
                    <w:pStyle w:val="54"/>
                    <w:rPr>
                      <w:lang w:val="en-US" w:eastAsia="zh-CN"/>
                    </w:rPr>
                  </w:pPr>
                  <w:r>
                    <w:rPr>
                      <w:lang w:val="en-US" w:eastAsia="zh-CN"/>
                    </w:rPr>
                    <w:t>方案要求</w:t>
                  </w:r>
                </w:p>
              </w:tc>
              <w:tc>
                <w:tcPr>
                  <w:tcW w:w="1718" w:type="pct"/>
                  <w:vAlign w:val="center"/>
                </w:tcPr>
                <w:p>
                  <w:pPr>
                    <w:pStyle w:val="54"/>
                    <w:rPr>
                      <w:lang w:val="en-US" w:eastAsia="zh-CN"/>
                    </w:rPr>
                  </w:pPr>
                  <w:r>
                    <w:rPr>
                      <w:lang w:val="en-US" w:eastAsia="zh-CN"/>
                    </w:rPr>
                    <w:t>项目建设情况</w:t>
                  </w:r>
                </w:p>
              </w:tc>
              <w:tc>
                <w:tcPr>
                  <w:tcW w:w="281" w:type="pct"/>
                  <w:vAlign w:val="center"/>
                </w:tcPr>
                <w:p>
                  <w:pPr>
                    <w:pStyle w:val="54"/>
                    <w:rPr>
                      <w:lang w:val="en-US" w:eastAsia="zh-CN"/>
                    </w:rPr>
                  </w:pPr>
                  <w:r>
                    <w:rPr>
                      <w:lang w:val="en-US" w:eastAsia="zh-CN"/>
                    </w:rPr>
                    <w:t>符合性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6" w:type="dxa"/>
                  <w:bottom w:w="0" w:type="dxa"/>
                  <w:right w:w="6" w:type="dxa"/>
                </w:tblCellMar>
              </w:tblPrEx>
              <w:trPr>
                <w:trHeight w:val="340" w:hRule="atLeast"/>
                <w:jc w:val="center"/>
              </w:trPr>
              <w:tc>
                <w:tcPr>
                  <w:tcW w:w="446" w:type="pct"/>
                  <w:vAlign w:val="center"/>
                </w:tcPr>
                <w:p>
                  <w:pPr>
                    <w:pStyle w:val="54"/>
                    <w:rPr>
                      <w:lang w:val="en-US" w:eastAsia="zh-CN"/>
                    </w:rPr>
                  </w:pPr>
                  <w:r>
                    <w:rPr>
                      <w:lang w:val="en-US" w:eastAsia="zh-CN"/>
                    </w:rPr>
                    <w:t>《关于改善大气环境质量实施区域差别化环境准入的指导意见》</w:t>
                  </w:r>
                </w:p>
              </w:tc>
              <w:tc>
                <w:tcPr>
                  <w:tcW w:w="2555" w:type="pct"/>
                  <w:vAlign w:val="center"/>
                </w:tcPr>
                <w:p>
                  <w:pPr>
                    <w:pStyle w:val="54"/>
                    <w:jc w:val="left"/>
                    <w:rPr>
                      <w:lang w:val="en-US" w:eastAsia="zh-CN"/>
                    </w:rPr>
                  </w:pPr>
                  <w:r>
                    <w:rPr>
                      <w:lang w:val="en-US" w:eastAsia="zh-CN"/>
                    </w:rPr>
                    <w:t>1、积极支持符合主体功能区位的产业发展。石家庄市是现代化省会城市，京津冀城市群区域中心城市，全国重要的战略性新兴产业和先进制造业基地。进一步做好与石家庄市有关规划的衔接，以环境承载力引导产业布局。</w:t>
                  </w:r>
                </w:p>
                <w:p>
                  <w:pPr>
                    <w:pStyle w:val="54"/>
                    <w:jc w:val="left"/>
                    <w:rPr>
                      <w:lang w:val="en-US" w:eastAsia="zh-CN"/>
                    </w:rPr>
                  </w:pPr>
                  <w:r>
                    <w:rPr>
                      <w:lang w:val="en-US" w:eastAsia="zh-CN"/>
                    </w:rPr>
                    <w:t>2、实施差别化环境准入负面清单管理。邯郸、邢台、石家庄、保定、廊坊、唐山、定州、辛集划定为大气传输通道一级红线区。在此行政辖区内（除退城搬迁产能外），禁止新建和扩建（等量置换除外）钢铁、火电（热电联产除外)、炼焦、水泥、石灰、石膏、氮肥、普通黑色金属铸造、铁合金冶炼、碳素、以煤为燃料的其他工业项目。</w:t>
                  </w:r>
                </w:p>
                <w:p>
                  <w:pPr>
                    <w:pStyle w:val="54"/>
                    <w:jc w:val="left"/>
                    <w:rPr>
                      <w:lang w:val="en-US" w:eastAsia="zh-CN"/>
                    </w:rPr>
                  </w:pPr>
                  <w:r>
                    <w:rPr>
                      <w:lang w:val="en-US" w:eastAsia="zh-CN"/>
                    </w:rPr>
                    <w:t>3、改善大气环境质量实施差别化环境准入管理名录：</w:t>
                  </w:r>
                </w:p>
                <w:p>
                  <w:pPr>
                    <w:pStyle w:val="54"/>
                    <w:jc w:val="left"/>
                    <w:rPr>
                      <w:lang w:val="en-US" w:eastAsia="zh-CN"/>
                    </w:rPr>
                  </w:pPr>
                  <w:r>
                    <w:rPr>
                      <w:lang w:val="en-US" w:eastAsia="zh-CN"/>
                    </w:rPr>
                    <w:t>限制行业类型：建筑陶瓷制品制造、农药制造、石灰石石膏开采、木材加工禁止行业类型：热电联产之外的燃煤发电、钢铁、冶炼、水泥、平板玻璃、石化、煤炭开采和洗选业、皮革鞣制加工（省级</w:t>
                  </w:r>
                  <w:r>
                    <w:rPr>
                      <w:lang w:val="en-US" w:eastAsia="zh-CN"/>
                    </w:rPr>
                    <w:cr/>
                  </w:r>
                  <w:r>
                    <w:rPr>
                      <w:lang w:val="en-US" w:eastAsia="zh-CN"/>
                    </w:rPr>
                    <w:t>业园区之外）、毛皮鞣制加工（省级工业园区之外）、露</w:t>
                  </w:r>
                  <w:r>
                    <w:rPr>
                      <w:lang w:val="en-US" w:eastAsia="zh-CN"/>
                    </w:rPr>
                    <w:cr/>
                  </w:r>
                  <w:r>
                    <w:rPr>
                      <w:lang w:val="en-US" w:eastAsia="zh-CN"/>
                    </w:rPr>
                    <w:t>采矿（此前已取得采矿许可证的除外）、超贫磁铁矿、采石砂、水泥用灰岩和生产辅料等项目以及燃煤锅炉（35吨以下）。</w:t>
                  </w:r>
                </w:p>
              </w:tc>
              <w:tc>
                <w:tcPr>
                  <w:tcW w:w="1718" w:type="pct"/>
                  <w:vAlign w:val="center"/>
                </w:tcPr>
                <w:p>
                  <w:pPr>
                    <w:pStyle w:val="54"/>
                    <w:jc w:val="left"/>
                    <w:rPr>
                      <w:lang w:val="en-US" w:eastAsia="zh-CN"/>
                    </w:rPr>
                  </w:pPr>
                  <w:r>
                    <w:rPr>
                      <w:lang w:val="en-US" w:eastAsia="zh-CN"/>
                    </w:rPr>
                    <w:t>本项目为</w:t>
                  </w:r>
                  <w:r>
                    <w:rPr>
                      <w:rFonts w:hint="eastAsia"/>
                      <w:lang w:val="en-US" w:eastAsia="zh-CN"/>
                    </w:rPr>
                    <w:t>一级医院</w:t>
                  </w:r>
                  <w:r>
                    <w:rPr>
                      <w:lang w:val="en-US" w:eastAsia="zh-CN"/>
                    </w:rPr>
                    <w:t>，不属于限制行业类型和禁止行业类型</w:t>
                  </w:r>
                </w:p>
              </w:tc>
              <w:tc>
                <w:tcPr>
                  <w:tcW w:w="281" w:type="pct"/>
                  <w:vAlign w:val="center"/>
                </w:tcPr>
                <w:p>
                  <w:pPr>
                    <w:pStyle w:val="54"/>
                    <w:rPr>
                      <w:lang w:val="en-US" w:eastAsia="zh-CN"/>
                    </w:rPr>
                  </w:pPr>
                  <w:r>
                    <w:rPr>
                      <w:lang w:val="en-US" w:eastAsia="zh-CN"/>
                    </w:rPr>
                    <w:t>符合</w:t>
                  </w:r>
                </w:p>
              </w:tc>
            </w:tr>
          </w:tbl>
          <w:p>
            <w:pPr>
              <w:pStyle w:val="14"/>
            </w:pPr>
          </w:p>
          <w:p>
            <w:pPr>
              <w:pStyle w:val="14"/>
            </w:pPr>
          </w:p>
          <w:p>
            <w:pPr>
              <w:pStyle w:val="14"/>
            </w:pPr>
          </w:p>
          <w:p>
            <w:pPr>
              <w:pStyle w:val="14"/>
            </w:pPr>
          </w:p>
          <w:p>
            <w:pPr>
              <w:pStyle w:val="14"/>
            </w:pPr>
          </w:p>
          <w:p>
            <w:pPr>
              <w:pStyle w:val="14"/>
            </w:pPr>
            <w:r>
              <w:rPr>
                <w:rFonts w:hint="eastAsia"/>
              </w:rPr>
              <w:t>续表5   项目与相关污染防治政策符合性分析</w:t>
            </w:r>
          </w:p>
          <w:tbl>
            <w:tblPr>
              <w:tblStyle w:val="16"/>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6" w:type="dxa"/>
                <w:bottom w:w="0" w:type="dxa"/>
                <w:right w:w="6" w:type="dxa"/>
              </w:tblCellMar>
            </w:tblPr>
            <w:tblGrid>
              <w:gridCol w:w="782"/>
              <w:gridCol w:w="4479"/>
              <w:gridCol w:w="3014"/>
              <w:gridCol w:w="4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6" w:type="dxa"/>
                  <w:bottom w:w="0" w:type="dxa"/>
                  <w:right w:w="6" w:type="dxa"/>
                </w:tblCellMar>
              </w:tblPrEx>
              <w:trPr>
                <w:trHeight w:val="340" w:hRule="atLeast"/>
                <w:jc w:val="center"/>
              </w:trPr>
              <w:tc>
                <w:tcPr>
                  <w:tcW w:w="446" w:type="pct"/>
                  <w:vAlign w:val="center"/>
                </w:tcPr>
                <w:p>
                  <w:pPr>
                    <w:pStyle w:val="54"/>
                    <w:rPr>
                      <w:lang w:val="en-US" w:eastAsia="zh-CN"/>
                    </w:rPr>
                  </w:pPr>
                  <w:r>
                    <w:rPr>
                      <w:lang w:val="en-US" w:eastAsia="zh-CN"/>
                    </w:rPr>
                    <w:t>相关政策名称</w:t>
                  </w:r>
                </w:p>
              </w:tc>
              <w:tc>
                <w:tcPr>
                  <w:tcW w:w="2554" w:type="pct"/>
                  <w:vAlign w:val="center"/>
                </w:tcPr>
                <w:p>
                  <w:pPr>
                    <w:pStyle w:val="54"/>
                    <w:rPr>
                      <w:lang w:val="en-US" w:eastAsia="zh-CN"/>
                    </w:rPr>
                  </w:pPr>
                  <w:r>
                    <w:rPr>
                      <w:lang w:val="en-US" w:eastAsia="zh-CN"/>
                    </w:rPr>
                    <w:t>方案要求</w:t>
                  </w:r>
                </w:p>
              </w:tc>
              <w:tc>
                <w:tcPr>
                  <w:tcW w:w="1719" w:type="pct"/>
                  <w:vAlign w:val="center"/>
                </w:tcPr>
                <w:p>
                  <w:pPr>
                    <w:pStyle w:val="54"/>
                    <w:rPr>
                      <w:lang w:val="en-US" w:eastAsia="zh-CN"/>
                    </w:rPr>
                  </w:pPr>
                  <w:r>
                    <w:rPr>
                      <w:lang w:val="en-US" w:eastAsia="zh-CN"/>
                    </w:rPr>
                    <w:t>项目建设情况</w:t>
                  </w:r>
                </w:p>
              </w:tc>
              <w:tc>
                <w:tcPr>
                  <w:tcW w:w="281" w:type="pct"/>
                  <w:vAlign w:val="center"/>
                </w:tcPr>
                <w:p>
                  <w:pPr>
                    <w:pStyle w:val="54"/>
                    <w:rPr>
                      <w:lang w:val="en-US" w:eastAsia="zh-CN"/>
                    </w:rPr>
                  </w:pPr>
                  <w:r>
                    <w:rPr>
                      <w:lang w:val="en-US" w:eastAsia="zh-CN"/>
                    </w:rPr>
                    <w:t>符合性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6" w:type="dxa"/>
                  <w:bottom w:w="0" w:type="dxa"/>
                  <w:right w:w="6" w:type="dxa"/>
                </w:tblCellMar>
              </w:tblPrEx>
              <w:trPr>
                <w:trHeight w:val="340" w:hRule="atLeast"/>
                <w:jc w:val="center"/>
              </w:trPr>
              <w:tc>
                <w:tcPr>
                  <w:tcW w:w="446" w:type="pct"/>
                  <w:vMerge w:val="restart"/>
                  <w:vAlign w:val="center"/>
                </w:tcPr>
                <w:p>
                  <w:pPr>
                    <w:pStyle w:val="54"/>
                    <w:rPr>
                      <w:lang w:val="en-US" w:eastAsia="zh-CN"/>
                    </w:rPr>
                  </w:pPr>
                  <w:r>
                    <w:rPr>
                      <w:lang w:val="en-US" w:eastAsia="zh-CN"/>
                    </w:rPr>
                    <w:t>国务院关于印发</w:t>
                  </w:r>
                  <w:r>
                    <w:rPr>
                      <w:rFonts w:hint="eastAsia"/>
                      <w:lang w:val="en-US" w:eastAsia="zh-CN"/>
                    </w:rPr>
                    <w:t>《空气质量持续改善行动计划》</w:t>
                  </w:r>
                  <w:r>
                    <w:rPr>
                      <w:lang w:val="en-US" w:eastAsia="zh-CN"/>
                    </w:rPr>
                    <w:t>的通知（国发[20</w:t>
                  </w:r>
                  <w:r>
                    <w:rPr>
                      <w:rFonts w:hint="eastAsia"/>
                      <w:lang w:val="en-US" w:eastAsia="zh-CN"/>
                    </w:rPr>
                    <w:t>2</w:t>
                  </w:r>
                  <w:r>
                    <w:rPr>
                      <w:lang w:val="en-US" w:eastAsia="zh-CN"/>
                    </w:rPr>
                    <w:t>3]</w:t>
                  </w:r>
                  <w:r>
                    <w:rPr>
                      <w:rFonts w:hint="eastAsia"/>
                      <w:lang w:val="en-US" w:eastAsia="zh-CN"/>
                    </w:rPr>
                    <w:t>24</w:t>
                  </w:r>
                  <w:r>
                    <w:rPr>
                      <w:lang w:val="en-US" w:eastAsia="zh-CN"/>
                    </w:rPr>
                    <w:t>号）</w:t>
                  </w:r>
                </w:p>
              </w:tc>
              <w:tc>
                <w:tcPr>
                  <w:tcW w:w="2554" w:type="pct"/>
                  <w:vAlign w:val="center"/>
                </w:tcPr>
                <w:p>
                  <w:pPr>
                    <w:pStyle w:val="54"/>
                    <w:jc w:val="left"/>
                    <w:rPr>
                      <w:lang w:val="en-US" w:eastAsia="zh-CN"/>
                    </w:rPr>
                  </w:pPr>
                  <w:r>
                    <w:rPr>
                      <w:rFonts w:hint="eastAsia"/>
                      <w:lang w:val="en-US" w:eastAsia="zh-CN"/>
                    </w:rPr>
                    <w:t>（四）坚决遏制高耗能、高排放、低水平项目盲目上马。严禁新增钢铁产能。</w:t>
                  </w:r>
                </w:p>
                <w:p>
                  <w:pPr>
                    <w:pStyle w:val="54"/>
                    <w:jc w:val="left"/>
                    <w:rPr>
                      <w:lang w:val="en-US" w:eastAsia="zh-CN"/>
                    </w:rPr>
                  </w:pPr>
                  <w:r>
                    <w:rPr>
                      <w:rFonts w:hint="eastAsia"/>
                      <w:lang w:val="en-US" w:eastAsia="zh-CN"/>
                    </w:rPr>
                    <w:t>（五）加快退出重点行业落后产能。</w:t>
                  </w:r>
                </w:p>
                <w:p>
                  <w:pPr>
                    <w:pStyle w:val="54"/>
                    <w:jc w:val="left"/>
                    <w:rPr>
                      <w:lang w:val="en-US" w:eastAsia="zh-CN"/>
                    </w:rPr>
                  </w:pPr>
                  <w:r>
                    <w:rPr>
                      <w:rFonts w:hint="eastAsia"/>
                      <w:lang w:val="en-US" w:eastAsia="zh-CN"/>
                    </w:rPr>
                    <w:t>（六）全面开展传统产业集群升级改造。</w:t>
                  </w:r>
                </w:p>
              </w:tc>
              <w:tc>
                <w:tcPr>
                  <w:tcW w:w="1719" w:type="pct"/>
                  <w:vAlign w:val="center"/>
                </w:tcPr>
                <w:p>
                  <w:pPr>
                    <w:pStyle w:val="54"/>
                    <w:jc w:val="left"/>
                    <w:rPr>
                      <w:lang w:val="en-US" w:eastAsia="zh-CN"/>
                    </w:rPr>
                  </w:pPr>
                  <w:r>
                    <w:rPr>
                      <w:rFonts w:hint="eastAsia"/>
                      <w:lang w:val="en-US" w:eastAsia="zh-CN"/>
                    </w:rPr>
                    <w:t>项目为一级医院，不属于传统制造企业，不属于钢铁、焦化、电解铝项目，属于《产业结构调整指导目录（2024年本）》中鼓励类项目，石家庄高新区行政审批局为该项目出具了备案信息</w:t>
                  </w:r>
                </w:p>
              </w:tc>
              <w:tc>
                <w:tcPr>
                  <w:tcW w:w="281" w:type="pct"/>
                  <w:vAlign w:val="center"/>
                </w:tcPr>
                <w:p>
                  <w:pPr>
                    <w:pStyle w:val="54"/>
                    <w:rPr>
                      <w:lang w:val="en-US" w:eastAsia="zh-CN"/>
                    </w:rPr>
                  </w:pPr>
                  <w:r>
                    <w:rPr>
                      <w:rFonts w:hint="eastAsia"/>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6" w:type="dxa"/>
                  <w:bottom w:w="0" w:type="dxa"/>
                  <w:right w:w="6" w:type="dxa"/>
                </w:tblCellMar>
              </w:tblPrEx>
              <w:trPr>
                <w:trHeight w:val="340" w:hRule="atLeast"/>
                <w:jc w:val="center"/>
              </w:trPr>
              <w:tc>
                <w:tcPr>
                  <w:tcW w:w="446" w:type="pct"/>
                  <w:vMerge w:val="continue"/>
                  <w:vAlign w:val="center"/>
                </w:tcPr>
                <w:p>
                  <w:pPr>
                    <w:pStyle w:val="54"/>
                    <w:rPr>
                      <w:lang w:val="en-US" w:eastAsia="zh-CN"/>
                    </w:rPr>
                  </w:pPr>
                </w:p>
              </w:tc>
              <w:tc>
                <w:tcPr>
                  <w:tcW w:w="2554" w:type="pct"/>
                  <w:vAlign w:val="center"/>
                </w:tcPr>
                <w:p>
                  <w:pPr>
                    <w:pStyle w:val="54"/>
                    <w:jc w:val="left"/>
                    <w:rPr>
                      <w:lang w:val="en-US" w:eastAsia="zh-CN"/>
                    </w:rPr>
                  </w:pPr>
                  <w:r>
                    <w:rPr>
                      <w:rFonts w:hint="eastAsia"/>
                      <w:lang w:val="en-US" w:eastAsia="zh-CN"/>
                    </w:rPr>
                    <w:t>（七）优化含VOCs原辅材料和产品结构。</w:t>
                  </w:r>
                </w:p>
                <w:p>
                  <w:pPr>
                    <w:pStyle w:val="54"/>
                    <w:jc w:val="left"/>
                    <w:rPr>
                      <w:lang w:val="en-US" w:eastAsia="zh-CN"/>
                    </w:rPr>
                  </w:pPr>
                  <w:r>
                    <w:rPr>
                      <w:rFonts w:hint="eastAsia"/>
                      <w:lang w:val="en-US" w:eastAsia="zh-CN"/>
                    </w:rPr>
                    <w:t>（八）推动绿色环保产业健康发展。</w:t>
                  </w:r>
                </w:p>
              </w:tc>
              <w:tc>
                <w:tcPr>
                  <w:tcW w:w="1719" w:type="pct"/>
                  <w:vAlign w:val="center"/>
                </w:tcPr>
                <w:p>
                  <w:pPr>
                    <w:pStyle w:val="54"/>
                    <w:jc w:val="left"/>
                    <w:rPr>
                      <w:lang w:val="en-US" w:eastAsia="zh-CN"/>
                    </w:rPr>
                  </w:pPr>
                  <w:r>
                    <w:rPr>
                      <w:rFonts w:hint="eastAsia"/>
                      <w:lang w:val="en-US" w:eastAsia="zh-CN"/>
                    </w:rPr>
                    <w:t>本项目不使用高VOCs含量涂料、油墨、胶粘剂、清洁剂等，不涉及涂装、包装印刷、电子行业。</w:t>
                  </w:r>
                </w:p>
              </w:tc>
              <w:tc>
                <w:tcPr>
                  <w:tcW w:w="281" w:type="pct"/>
                  <w:vAlign w:val="center"/>
                </w:tcPr>
                <w:p>
                  <w:pPr>
                    <w:pStyle w:val="54"/>
                    <w:rPr>
                      <w:lang w:val="en-US" w:eastAsia="zh-CN"/>
                    </w:rPr>
                  </w:pPr>
                  <w:r>
                    <w:rPr>
                      <w:rFonts w:hint="eastAsia"/>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6" w:type="dxa"/>
                  <w:bottom w:w="0" w:type="dxa"/>
                  <w:right w:w="6" w:type="dxa"/>
                </w:tblCellMar>
              </w:tblPrEx>
              <w:trPr>
                <w:trHeight w:val="340" w:hRule="atLeast"/>
                <w:jc w:val="center"/>
              </w:trPr>
              <w:tc>
                <w:tcPr>
                  <w:tcW w:w="446" w:type="pct"/>
                  <w:vMerge w:val="continue"/>
                  <w:vAlign w:val="center"/>
                </w:tcPr>
                <w:p>
                  <w:pPr>
                    <w:pStyle w:val="54"/>
                    <w:rPr>
                      <w:lang w:val="en-US" w:eastAsia="zh-CN"/>
                    </w:rPr>
                  </w:pPr>
                </w:p>
              </w:tc>
              <w:tc>
                <w:tcPr>
                  <w:tcW w:w="2554" w:type="pct"/>
                  <w:vAlign w:val="center"/>
                </w:tcPr>
                <w:p>
                  <w:pPr>
                    <w:pStyle w:val="54"/>
                    <w:jc w:val="left"/>
                    <w:rPr>
                      <w:lang w:val="en-US" w:eastAsia="zh-CN"/>
                    </w:rPr>
                  </w:pPr>
                  <w:r>
                    <w:rPr>
                      <w:rFonts w:hint="eastAsia"/>
                      <w:lang w:val="en-US" w:eastAsia="zh-CN"/>
                    </w:rPr>
                    <w:t>（九）大力发展新能源和清洁能源。</w:t>
                  </w:r>
                </w:p>
                <w:p>
                  <w:pPr>
                    <w:pStyle w:val="54"/>
                    <w:jc w:val="left"/>
                    <w:rPr>
                      <w:lang w:val="en-US" w:eastAsia="zh-CN"/>
                    </w:rPr>
                  </w:pPr>
                  <w:r>
                    <w:rPr>
                      <w:rFonts w:hint="eastAsia"/>
                      <w:lang w:val="en-US" w:eastAsia="zh-CN"/>
                    </w:rPr>
                    <w:t>（十）严格合理控制煤炭消费总量。</w:t>
                  </w:r>
                </w:p>
                <w:p>
                  <w:pPr>
                    <w:pStyle w:val="54"/>
                    <w:jc w:val="left"/>
                    <w:rPr>
                      <w:lang w:val="en-US" w:eastAsia="zh-CN"/>
                    </w:rPr>
                  </w:pPr>
                  <w:r>
                    <w:rPr>
                      <w:rFonts w:hint="eastAsia"/>
                      <w:lang w:val="en-US" w:eastAsia="zh-CN"/>
                    </w:rPr>
                    <w:t>（十一）积极开展燃煤锅炉关停整合。</w:t>
                  </w:r>
                </w:p>
                <w:p>
                  <w:pPr>
                    <w:pStyle w:val="54"/>
                    <w:jc w:val="left"/>
                    <w:rPr>
                      <w:lang w:val="en-US" w:eastAsia="zh-CN"/>
                    </w:rPr>
                  </w:pPr>
                  <w:r>
                    <w:rPr>
                      <w:rFonts w:hint="eastAsia"/>
                      <w:lang w:val="en-US" w:eastAsia="zh-CN"/>
                    </w:rPr>
                    <w:t>（十二）实施工业炉窑清洁能源替代。</w:t>
                  </w:r>
                </w:p>
              </w:tc>
              <w:tc>
                <w:tcPr>
                  <w:tcW w:w="1719" w:type="pct"/>
                  <w:vAlign w:val="center"/>
                </w:tcPr>
                <w:p>
                  <w:pPr>
                    <w:pStyle w:val="54"/>
                    <w:jc w:val="left"/>
                    <w:rPr>
                      <w:lang w:val="en-US" w:eastAsia="zh-CN"/>
                    </w:rPr>
                  </w:pPr>
                  <w:r>
                    <w:rPr>
                      <w:rFonts w:hint="eastAsia"/>
                      <w:lang w:val="en-US" w:eastAsia="zh-CN"/>
                    </w:rPr>
                    <w:t>项目不建设锅炉，不涉及燃煤及天然气使用。</w:t>
                  </w:r>
                </w:p>
              </w:tc>
              <w:tc>
                <w:tcPr>
                  <w:tcW w:w="281" w:type="pct"/>
                  <w:vAlign w:val="center"/>
                </w:tcPr>
                <w:p>
                  <w:pPr>
                    <w:pStyle w:val="54"/>
                    <w:rPr>
                      <w:lang w:val="en-US" w:eastAsia="zh-CN"/>
                    </w:rPr>
                  </w:pPr>
                  <w:r>
                    <w:rPr>
                      <w:rFonts w:hint="eastAsia"/>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40" w:hRule="atLeast"/>
                <w:jc w:val="center"/>
              </w:trPr>
              <w:tc>
                <w:tcPr>
                  <w:tcW w:w="446" w:type="pct"/>
                  <w:vMerge w:val="continue"/>
                  <w:vAlign w:val="center"/>
                </w:tcPr>
                <w:p>
                  <w:pPr>
                    <w:pStyle w:val="54"/>
                    <w:rPr>
                      <w:lang w:val="en-US" w:eastAsia="zh-CN"/>
                    </w:rPr>
                  </w:pPr>
                </w:p>
              </w:tc>
              <w:tc>
                <w:tcPr>
                  <w:tcW w:w="2554" w:type="pct"/>
                  <w:vAlign w:val="center"/>
                </w:tcPr>
                <w:p>
                  <w:pPr>
                    <w:pStyle w:val="54"/>
                    <w:jc w:val="left"/>
                    <w:rPr>
                      <w:lang w:val="en-US" w:eastAsia="zh-CN"/>
                    </w:rPr>
                  </w:pPr>
                  <w:r>
                    <w:rPr>
                      <w:rFonts w:hint="eastAsia"/>
                      <w:lang w:val="en-US" w:eastAsia="zh-CN"/>
                    </w:rPr>
                    <w:t>（十八）深化扬尘污染综合治理。</w:t>
                  </w:r>
                </w:p>
              </w:tc>
              <w:tc>
                <w:tcPr>
                  <w:tcW w:w="1719" w:type="pct"/>
                  <w:vAlign w:val="center"/>
                </w:tcPr>
                <w:p>
                  <w:pPr>
                    <w:pStyle w:val="54"/>
                    <w:jc w:val="left"/>
                    <w:rPr>
                      <w:lang w:val="en-US" w:eastAsia="zh-CN"/>
                    </w:rPr>
                  </w:pPr>
                  <w:r>
                    <w:rPr>
                      <w:rFonts w:hint="eastAsia"/>
                      <w:lang w:val="en-US" w:eastAsia="zh-CN"/>
                    </w:rPr>
                    <w:t>项目租用现有厂房，施工期仅涉及基础装修和设备安装，扬尘产生量较小。</w:t>
                  </w:r>
                </w:p>
              </w:tc>
              <w:tc>
                <w:tcPr>
                  <w:tcW w:w="281" w:type="pct"/>
                  <w:vAlign w:val="center"/>
                </w:tcPr>
                <w:p>
                  <w:pPr>
                    <w:pStyle w:val="54"/>
                    <w:rPr>
                      <w:lang w:val="en-US" w:eastAsia="zh-CN"/>
                    </w:rPr>
                  </w:pPr>
                  <w:r>
                    <w:rPr>
                      <w:rFonts w:hint="eastAsia"/>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6" w:type="dxa"/>
                  <w:bottom w:w="0" w:type="dxa"/>
                  <w:right w:w="6" w:type="dxa"/>
                </w:tblCellMar>
              </w:tblPrEx>
              <w:trPr>
                <w:trHeight w:val="340" w:hRule="atLeast"/>
                <w:jc w:val="center"/>
              </w:trPr>
              <w:tc>
                <w:tcPr>
                  <w:tcW w:w="446" w:type="pct"/>
                  <w:vMerge w:val="continue"/>
                  <w:vAlign w:val="center"/>
                </w:tcPr>
                <w:p>
                  <w:pPr>
                    <w:pStyle w:val="54"/>
                    <w:rPr>
                      <w:lang w:val="en-US" w:eastAsia="zh-CN"/>
                    </w:rPr>
                  </w:pPr>
                </w:p>
              </w:tc>
              <w:tc>
                <w:tcPr>
                  <w:tcW w:w="2554" w:type="pct"/>
                  <w:vAlign w:val="center"/>
                </w:tcPr>
                <w:p>
                  <w:pPr>
                    <w:pStyle w:val="54"/>
                    <w:jc w:val="left"/>
                    <w:rPr>
                      <w:lang w:val="en-US" w:eastAsia="zh-CN"/>
                    </w:rPr>
                  </w:pPr>
                  <w:r>
                    <w:rPr>
                      <w:rFonts w:hint="eastAsia"/>
                      <w:lang w:val="en-US" w:eastAsia="zh-CN"/>
                    </w:rPr>
                    <w:t>（二十一）强化VOCs全流程、全环节综合治理。</w:t>
                  </w:r>
                </w:p>
              </w:tc>
              <w:tc>
                <w:tcPr>
                  <w:tcW w:w="1719" w:type="pct"/>
                  <w:vAlign w:val="center"/>
                </w:tcPr>
                <w:p>
                  <w:pPr>
                    <w:pStyle w:val="54"/>
                    <w:jc w:val="left"/>
                    <w:rPr>
                      <w:lang w:val="en-US" w:eastAsia="zh-CN"/>
                    </w:rPr>
                  </w:pPr>
                  <w:r>
                    <w:rPr>
                      <w:rFonts w:hint="eastAsia"/>
                      <w:lang w:val="en-US" w:eastAsia="zh-CN"/>
                    </w:rPr>
                    <w:t>项目为医院，不涉及VOCs排放。</w:t>
                  </w:r>
                </w:p>
              </w:tc>
              <w:tc>
                <w:tcPr>
                  <w:tcW w:w="281" w:type="pct"/>
                  <w:vAlign w:val="center"/>
                </w:tcPr>
                <w:p>
                  <w:pPr>
                    <w:pStyle w:val="54"/>
                    <w:rPr>
                      <w:lang w:val="en-US" w:eastAsia="zh-CN"/>
                    </w:rPr>
                  </w:pPr>
                  <w:r>
                    <w:rPr>
                      <w:rFonts w:hint="eastAsia"/>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6" w:type="dxa"/>
                  <w:bottom w:w="0" w:type="dxa"/>
                  <w:right w:w="6" w:type="dxa"/>
                </w:tblCellMar>
              </w:tblPrEx>
              <w:trPr>
                <w:trHeight w:val="340" w:hRule="atLeast"/>
                <w:jc w:val="center"/>
              </w:trPr>
              <w:tc>
                <w:tcPr>
                  <w:tcW w:w="446" w:type="pct"/>
                  <w:vMerge w:val="continue"/>
                  <w:vAlign w:val="center"/>
                </w:tcPr>
                <w:p>
                  <w:pPr>
                    <w:pStyle w:val="54"/>
                    <w:rPr>
                      <w:lang w:val="en-US" w:eastAsia="zh-CN"/>
                    </w:rPr>
                  </w:pPr>
                </w:p>
              </w:tc>
              <w:tc>
                <w:tcPr>
                  <w:tcW w:w="2554" w:type="pct"/>
                  <w:vAlign w:val="center"/>
                </w:tcPr>
                <w:p>
                  <w:pPr>
                    <w:pStyle w:val="54"/>
                    <w:jc w:val="left"/>
                    <w:rPr>
                      <w:lang w:val="en-US" w:eastAsia="zh-CN"/>
                    </w:rPr>
                  </w:pPr>
                  <w:r>
                    <w:rPr>
                      <w:rFonts w:hint="eastAsia"/>
                      <w:lang w:val="en-US" w:eastAsia="zh-CN"/>
                    </w:rPr>
                    <w:t>（二十二）推进重点行业污染深度治理。</w:t>
                  </w:r>
                </w:p>
              </w:tc>
              <w:tc>
                <w:tcPr>
                  <w:tcW w:w="1719" w:type="pct"/>
                  <w:vAlign w:val="center"/>
                </w:tcPr>
                <w:p>
                  <w:pPr>
                    <w:pStyle w:val="54"/>
                    <w:jc w:val="left"/>
                    <w:rPr>
                      <w:lang w:val="en-US" w:eastAsia="zh-CN"/>
                    </w:rPr>
                  </w:pPr>
                  <w:r>
                    <w:rPr>
                      <w:rFonts w:hint="eastAsia"/>
                      <w:lang w:val="en-US" w:eastAsia="zh-CN"/>
                    </w:rPr>
                    <w:t>项目为医院，不建设燃煤锅炉，不属于重点涉气企业。</w:t>
                  </w:r>
                </w:p>
              </w:tc>
              <w:tc>
                <w:tcPr>
                  <w:tcW w:w="281" w:type="pct"/>
                  <w:vAlign w:val="center"/>
                </w:tcPr>
                <w:p>
                  <w:pPr>
                    <w:pStyle w:val="54"/>
                    <w:rPr>
                      <w:lang w:val="en-US" w:eastAsia="zh-CN"/>
                    </w:rPr>
                  </w:pPr>
                  <w:r>
                    <w:rPr>
                      <w:rFonts w:hint="eastAsia"/>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6" w:type="dxa"/>
                  <w:bottom w:w="0" w:type="dxa"/>
                  <w:right w:w="6" w:type="dxa"/>
                </w:tblCellMar>
              </w:tblPrEx>
              <w:trPr>
                <w:trHeight w:val="340" w:hRule="atLeast"/>
                <w:jc w:val="center"/>
              </w:trPr>
              <w:tc>
                <w:tcPr>
                  <w:tcW w:w="446" w:type="pct"/>
                  <w:vMerge w:val="continue"/>
                  <w:vAlign w:val="center"/>
                </w:tcPr>
                <w:p>
                  <w:pPr>
                    <w:pStyle w:val="54"/>
                    <w:rPr>
                      <w:lang w:val="en-US" w:eastAsia="zh-CN"/>
                    </w:rPr>
                  </w:pPr>
                </w:p>
              </w:tc>
              <w:tc>
                <w:tcPr>
                  <w:tcW w:w="2554" w:type="pct"/>
                  <w:vAlign w:val="center"/>
                </w:tcPr>
                <w:p>
                  <w:pPr>
                    <w:pStyle w:val="54"/>
                    <w:jc w:val="left"/>
                    <w:rPr>
                      <w:lang w:val="en-US" w:eastAsia="zh-CN"/>
                    </w:rPr>
                  </w:pPr>
                  <w:r>
                    <w:rPr>
                      <w:rFonts w:hint="eastAsia"/>
                      <w:lang w:val="en-US" w:eastAsia="zh-CN"/>
                    </w:rPr>
                    <w:t>（二十三）开展餐饮油烟、恶臭异味专项治理。</w:t>
                  </w:r>
                </w:p>
              </w:tc>
              <w:tc>
                <w:tcPr>
                  <w:tcW w:w="1719" w:type="pct"/>
                  <w:vAlign w:val="center"/>
                </w:tcPr>
                <w:p>
                  <w:pPr>
                    <w:pStyle w:val="54"/>
                    <w:jc w:val="left"/>
                    <w:rPr>
                      <w:lang w:val="en-US" w:eastAsia="zh-CN"/>
                    </w:rPr>
                  </w:pPr>
                  <w:r>
                    <w:rPr>
                      <w:rFonts w:hint="eastAsia"/>
                      <w:lang w:val="en-US" w:eastAsia="zh-CN"/>
                    </w:rPr>
                    <w:t>项目餐厅不设厨房，餐食委托专门餐饮单位送餐。</w:t>
                  </w:r>
                </w:p>
              </w:tc>
              <w:tc>
                <w:tcPr>
                  <w:tcW w:w="281" w:type="pct"/>
                  <w:vAlign w:val="center"/>
                </w:tcPr>
                <w:p>
                  <w:pPr>
                    <w:pStyle w:val="54"/>
                    <w:rPr>
                      <w:lang w:val="en-US" w:eastAsia="zh-CN"/>
                    </w:rPr>
                  </w:pPr>
                  <w:r>
                    <w:rPr>
                      <w:rFonts w:hint="eastAsia"/>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6" w:type="dxa"/>
                  <w:bottom w:w="0" w:type="dxa"/>
                  <w:right w:w="6" w:type="dxa"/>
                </w:tblCellMar>
              </w:tblPrEx>
              <w:trPr>
                <w:trHeight w:val="340" w:hRule="atLeast"/>
                <w:jc w:val="center"/>
              </w:trPr>
              <w:tc>
                <w:tcPr>
                  <w:tcW w:w="446" w:type="pct"/>
                  <w:vMerge w:val="continue"/>
                  <w:vAlign w:val="center"/>
                </w:tcPr>
                <w:p>
                  <w:pPr>
                    <w:pStyle w:val="54"/>
                    <w:rPr>
                      <w:lang w:val="en-US" w:eastAsia="zh-CN"/>
                    </w:rPr>
                  </w:pPr>
                </w:p>
              </w:tc>
              <w:tc>
                <w:tcPr>
                  <w:tcW w:w="2554" w:type="pct"/>
                  <w:vAlign w:val="center"/>
                </w:tcPr>
                <w:p>
                  <w:pPr>
                    <w:pStyle w:val="54"/>
                    <w:jc w:val="left"/>
                    <w:rPr>
                      <w:lang w:val="en-US" w:eastAsia="zh-CN"/>
                    </w:rPr>
                  </w:pPr>
                  <w:r>
                    <w:rPr>
                      <w:rFonts w:hint="eastAsia"/>
                      <w:lang w:val="en-US" w:eastAsia="zh-CN"/>
                    </w:rPr>
                    <w:t>（二十四）稳步推进大气氨污染防控。</w:t>
                  </w:r>
                </w:p>
              </w:tc>
              <w:tc>
                <w:tcPr>
                  <w:tcW w:w="1719" w:type="pct"/>
                  <w:vAlign w:val="center"/>
                </w:tcPr>
                <w:p>
                  <w:pPr>
                    <w:pStyle w:val="54"/>
                    <w:jc w:val="left"/>
                    <w:rPr>
                      <w:lang w:val="en-US" w:eastAsia="zh-CN"/>
                    </w:rPr>
                  </w:pPr>
                  <w:r>
                    <w:rPr>
                      <w:rFonts w:hint="eastAsia"/>
                      <w:lang w:val="en-US" w:eastAsia="zh-CN"/>
                    </w:rPr>
                    <w:t>项目污水处理设备密闭，处理过程产生的氨经管道收集后引入2级活性炭吸附装置处理，氨排放量小。</w:t>
                  </w:r>
                </w:p>
              </w:tc>
              <w:tc>
                <w:tcPr>
                  <w:tcW w:w="281" w:type="pct"/>
                  <w:vAlign w:val="center"/>
                </w:tcPr>
                <w:p>
                  <w:pPr>
                    <w:pStyle w:val="54"/>
                    <w:rPr>
                      <w:lang w:val="en-US" w:eastAsia="zh-CN"/>
                    </w:rPr>
                  </w:pPr>
                  <w:r>
                    <w:rPr>
                      <w:rFonts w:hint="eastAsia"/>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40" w:hRule="atLeast"/>
                <w:jc w:val="center"/>
              </w:trPr>
              <w:tc>
                <w:tcPr>
                  <w:tcW w:w="446" w:type="pct"/>
                  <w:vMerge w:val="restart"/>
                  <w:vAlign w:val="center"/>
                </w:tcPr>
                <w:p>
                  <w:pPr>
                    <w:pStyle w:val="54"/>
                    <w:rPr>
                      <w:lang w:val="en-US" w:eastAsia="zh-CN"/>
                    </w:rPr>
                  </w:pPr>
                  <w:r>
                    <w:rPr>
                      <w:rFonts w:hint="eastAsia"/>
                      <w:lang w:val="en-US" w:eastAsia="zh-CN"/>
                    </w:rPr>
                    <w:t>《河北省人民政府关于印发河北省空气质量持续改善行动计划实施方案的通知》（冀政发[2024]4号）</w:t>
                  </w:r>
                </w:p>
              </w:tc>
              <w:tc>
                <w:tcPr>
                  <w:tcW w:w="2554" w:type="pct"/>
                  <w:vAlign w:val="center"/>
                </w:tcPr>
                <w:p>
                  <w:pPr>
                    <w:pStyle w:val="54"/>
                    <w:jc w:val="left"/>
                    <w:rPr>
                      <w:lang w:val="en-US"/>
                    </w:rPr>
                  </w:pPr>
                  <w:r>
                    <w:rPr>
                      <w:lang w:val="en-US"/>
                    </w:rPr>
                    <w:t>二、深化产业结构优化调整</w:t>
                  </w:r>
                </w:p>
                <w:p>
                  <w:pPr>
                    <w:pStyle w:val="54"/>
                    <w:jc w:val="left"/>
                    <w:rPr>
                      <w:lang w:val="en-US" w:eastAsia="zh-CN"/>
                    </w:rPr>
                  </w:pPr>
                  <w:r>
                    <w:rPr>
                      <w:lang w:val="en-US" w:eastAsia="zh-CN"/>
                    </w:rPr>
                    <w:t>（一）严格环境准入。</w:t>
                  </w:r>
                  <w:r>
                    <w:rPr>
                      <w:rFonts w:hint="eastAsia"/>
                      <w:lang w:val="en-US" w:eastAsia="zh-CN"/>
                    </w:rPr>
                    <w:t>坚决遏制高耗能、高排放、低水平项目盲目上马。</w:t>
                  </w:r>
                </w:p>
                <w:p>
                  <w:pPr>
                    <w:pStyle w:val="54"/>
                    <w:jc w:val="left"/>
                    <w:rPr>
                      <w:lang w:val="en-US" w:eastAsia="zh-CN"/>
                    </w:rPr>
                  </w:pPr>
                  <w:r>
                    <w:rPr>
                      <w:rFonts w:hint="eastAsia"/>
                      <w:lang w:val="en-US" w:eastAsia="zh-CN"/>
                    </w:rPr>
                    <w:t>（二）加快退出重点行业落后产能和优化产业布局。严格执行《产业结构调整指导目录（2024年本）》，逐步淘汰步进式烧结机和球团竖炉以及半封闭式硅锰合金、镍铁、高碳铬铁、高碳锰铁矿热炉。</w:t>
                  </w:r>
                </w:p>
                <w:p>
                  <w:pPr>
                    <w:pStyle w:val="54"/>
                    <w:jc w:val="left"/>
                    <w:rPr>
                      <w:lang w:val="en-US" w:eastAsia="zh-CN"/>
                    </w:rPr>
                  </w:pPr>
                  <w:r>
                    <w:rPr>
                      <w:rFonts w:hint="eastAsia"/>
                      <w:lang w:val="en-US" w:eastAsia="zh-CN"/>
                    </w:rPr>
                    <w:t>（三）推进钢铁行业升级。</w:t>
                  </w:r>
                </w:p>
                <w:p>
                  <w:pPr>
                    <w:pStyle w:val="54"/>
                    <w:jc w:val="left"/>
                    <w:rPr>
                      <w:lang w:val="en-US" w:eastAsia="zh-CN"/>
                    </w:rPr>
                  </w:pPr>
                  <w:r>
                    <w:rPr>
                      <w:rFonts w:hint="eastAsia"/>
                      <w:lang w:val="en-US" w:eastAsia="zh-CN"/>
                    </w:rPr>
                    <w:t>（四）推进涉气产业集群绿色发展。对现有产业集群制定专项优化提升方案，因地制宜建设集中供热中心、集中喷涂中心、活性炭集中再生中心和有机溶剂集中回收处置中心等“绿岛”项目。</w:t>
                  </w:r>
                </w:p>
              </w:tc>
              <w:tc>
                <w:tcPr>
                  <w:tcW w:w="1719" w:type="pct"/>
                  <w:vAlign w:val="center"/>
                </w:tcPr>
                <w:p>
                  <w:pPr>
                    <w:pStyle w:val="54"/>
                    <w:jc w:val="left"/>
                    <w:rPr>
                      <w:lang w:val="en-US" w:eastAsia="zh-CN"/>
                    </w:rPr>
                  </w:pPr>
                  <w:r>
                    <w:rPr>
                      <w:rFonts w:hint="eastAsia"/>
                      <w:lang w:val="en-US" w:eastAsia="zh-CN"/>
                    </w:rPr>
                    <w:t>本项目为医院，不属于高耗能、高排放、低水平项目，属于《产业结构调整指导目录（2024年本）》中鼓励类项目，符合产业政策要求，不建设工业炉窑、不涉及喷涂。</w:t>
                  </w:r>
                </w:p>
              </w:tc>
              <w:tc>
                <w:tcPr>
                  <w:tcW w:w="281" w:type="pct"/>
                  <w:vAlign w:val="center"/>
                </w:tcPr>
                <w:p>
                  <w:pPr>
                    <w:pStyle w:val="54"/>
                    <w:rPr>
                      <w:lang w:val="en-US" w:eastAsia="zh-CN"/>
                    </w:rPr>
                  </w:pPr>
                  <w:r>
                    <w:rPr>
                      <w:rFonts w:hint="eastAsia"/>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6" w:type="dxa"/>
                  <w:bottom w:w="0" w:type="dxa"/>
                  <w:right w:w="6" w:type="dxa"/>
                </w:tblCellMar>
              </w:tblPrEx>
              <w:trPr>
                <w:trHeight w:val="340" w:hRule="atLeast"/>
                <w:jc w:val="center"/>
              </w:trPr>
              <w:tc>
                <w:tcPr>
                  <w:tcW w:w="446" w:type="pct"/>
                  <w:vMerge w:val="continue"/>
                  <w:vAlign w:val="center"/>
                </w:tcPr>
                <w:p>
                  <w:pPr>
                    <w:pStyle w:val="54"/>
                    <w:rPr>
                      <w:lang w:val="en-US" w:eastAsia="zh-CN"/>
                    </w:rPr>
                  </w:pPr>
                </w:p>
              </w:tc>
              <w:tc>
                <w:tcPr>
                  <w:tcW w:w="2554" w:type="pct"/>
                  <w:vAlign w:val="center"/>
                </w:tcPr>
                <w:p>
                  <w:pPr>
                    <w:pStyle w:val="54"/>
                    <w:jc w:val="left"/>
                    <w:rPr>
                      <w:lang w:val="en-US" w:eastAsia="zh-CN"/>
                    </w:rPr>
                  </w:pPr>
                  <w:r>
                    <w:rPr>
                      <w:rFonts w:hint="eastAsia"/>
                      <w:lang w:val="en-US"/>
                    </w:rPr>
                    <w:t>三、深化能源结构优化调整</w:t>
                  </w:r>
                </w:p>
                <w:p>
                  <w:pPr>
                    <w:pStyle w:val="54"/>
                    <w:jc w:val="left"/>
                    <w:rPr>
                      <w:lang w:val="en-US" w:eastAsia="zh-CN"/>
                    </w:rPr>
                  </w:pPr>
                  <w:r>
                    <w:rPr>
                      <w:rFonts w:hint="eastAsia"/>
                      <w:lang w:val="en-US" w:eastAsia="zh-CN"/>
                    </w:rPr>
                    <w:t>（五）大力发展新能源和清洁能源。大力推动电能替代工作。持续增加天然气供应。</w:t>
                  </w:r>
                </w:p>
                <w:p>
                  <w:pPr>
                    <w:pStyle w:val="54"/>
                    <w:jc w:val="left"/>
                    <w:rPr>
                      <w:lang w:val="en-US" w:eastAsia="zh-CN"/>
                    </w:rPr>
                  </w:pPr>
                  <w:r>
                    <w:rPr>
                      <w:rFonts w:hint="eastAsia"/>
                      <w:lang w:val="en-US" w:eastAsia="zh-CN"/>
                    </w:rPr>
                    <w:t>（六）严控煤炭消费总量。</w:t>
                  </w:r>
                </w:p>
                <w:p>
                  <w:pPr>
                    <w:pStyle w:val="54"/>
                    <w:jc w:val="left"/>
                    <w:rPr>
                      <w:lang w:val="en-US" w:eastAsia="zh-CN"/>
                    </w:rPr>
                  </w:pPr>
                  <w:r>
                    <w:rPr>
                      <w:rFonts w:hint="eastAsia"/>
                      <w:lang w:val="en-US" w:eastAsia="zh-CN"/>
                    </w:rPr>
                    <w:t>（七）开展燃煤（燃气）锅炉关停整合。</w:t>
                  </w:r>
                </w:p>
                <w:p>
                  <w:pPr>
                    <w:pStyle w:val="54"/>
                    <w:jc w:val="left"/>
                    <w:rPr>
                      <w:lang w:val="en-US" w:eastAsia="zh-CN"/>
                    </w:rPr>
                  </w:pPr>
                  <w:r>
                    <w:rPr>
                      <w:rFonts w:hint="eastAsia"/>
                      <w:lang w:val="en-US" w:eastAsia="zh-CN"/>
                    </w:rPr>
                    <w:t>（八）实施工业炉窑清洁能源替代。</w:t>
                  </w:r>
                </w:p>
                <w:p>
                  <w:pPr>
                    <w:pStyle w:val="54"/>
                    <w:jc w:val="left"/>
                    <w:rPr>
                      <w:lang w:val="en-US" w:eastAsia="zh-CN"/>
                    </w:rPr>
                  </w:pPr>
                  <w:r>
                    <w:rPr>
                      <w:rFonts w:hint="eastAsia"/>
                      <w:lang w:val="en-US" w:eastAsia="zh-CN"/>
                    </w:rPr>
                    <w:t>（九）巩固拓展清洁取暖成果。</w:t>
                  </w:r>
                </w:p>
              </w:tc>
              <w:tc>
                <w:tcPr>
                  <w:tcW w:w="1719" w:type="pct"/>
                  <w:vAlign w:val="center"/>
                </w:tcPr>
                <w:p>
                  <w:pPr>
                    <w:pStyle w:val="54"/>
                    <w:rPr>
                      <w:lang w:val="en-US" w:eastAsia="zh-CN"/>
                    </w:rPr>
                  </w:pPr>
                  <w:r>
                    <w:rPr>
                      <w:rFonts w:hint="eastAsia"/>
                      <w:lang w:val="en-US" w:eastAsia="zh-CN"/>
                    </w:rPr>
                    <w:t>项目不涉及燃煤，不建设锅炉。</w:t>
                  </w:r>
                </w:p>
              </w:tc>
              <w:tc>
                <w:tcPr>
                  <w:tcW w:w="281" w:type="pct"/>
                  <w:vAlign w:val="center"/>
                </w:tcPr>
                <w:p>
                  <w:pPr>
                    <w:pStyle w:val="54"/>
                    <w:rPr>
                      <w:lang w:val="en-US" w:eastAsia="zh-CN"/>
                    </w:rPr>
                  </w:pPr>
                  <w:r>
                    <w:rPr>
                      <w:rFonts w:hint="eastAsia"/>
                      <w:lang w:val="en-US" w:eastAsia="zh-CN"/>
                    </w:rPr>
                    <w:t>符合</w:t>
                  </w:r>
                </w:p>
              </w:tc>
            </w:tr>
          </w:tbl>
          <w:p>
            <w:pPr>
              <w:pStyle w:val="14"/>
            </w:pPr>
          </w:p>
          <w:p>
            <w:pPr>
              <w:pStyle w:val="14"/>
            </w:pPr>
          </w:p>
          <w:p>
            <w:pPr>
              <w:pStyle w:val="14"/>
            </w:pPr>
            <w:r>
              <w:rPr>
                <w:rFonts w:hint="eastAsia"/>
              </w:rPr>
              <w:t>续表5   项目与相关污染防治政策符合性分析</w:t>
            </w:r>
          </w:p>
          <w:tbl>
            <w:tblPr>
              <w:tblStyle w:val="16"/>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6" w:type="dxa"/>
                <w:bottom w:w="0" w:type="dxa"/>
                <w:right w:w="6" w:type="dxa"/>
              </w:tblCellMar>
            </w:tblPr>
            <w:tblGrid>
              <w:gridCol w:w="1045"/>
              <w:gridCol w:w="4253"/>
              <w:gridCol w:w="2992"/>
              <w:gridCol w:w="4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6" w:type="dxa"/>
                  <w:bottom w:w="0" w:type="dxa"/>
                  <w:right w:w="6" w:type="dxa"/>
                </w:tblCellMar>
              </w:tblPrEx>
              <w:trPr>
                <w:trHeight w:val="340" w:hRule="atLeast"/>
                <w:jc w:val="center"/>
              </w:trPr>
              <w:tc>
                <w:tcPr>
                  <w:tcW w:w="596" w:type="pct"/>
                  <w:vAlign w:val="center"/>
                </w:tcPr>
                <w:p>
                  <w:pPr>
                    <w:pStyle w:val="54"/>
                    <w:rPr>
                      <w:lang w:val="en-US" w:eastAsia="zh-CN"/>
                    </w:rPr>
                  </w:pPr>
                  <w:r>
                    <w:rPr>
                      <w:lang w:val="en-US" w:eastAsia="zh-CN"/>
                    </w:rPr>
                    <w:t>相关政策名称</w:t>
                  </w:r>
                </w:p>
              </w:tc>
              <w:tc>
                <w:tcPr>
                  <w:tcW w:w="2425" w:type="pct"/>
                  <w:vAlign w:val="center"/>
                </w:tcPr>
                <w:p>
                  <w:pPr>
                    <w:pStyle w:val="54"/>
                    <w:rPr>
                      <w:lang w:val="en-US" w:eastAsia="zh-CN"/>
                    </w:rPr>
                  </w:pPr>
                  <w:r>
                    <w:rPr>
                      <w:lang w:val="en-US" w:eastAsia="zh-CN"/>
                    </w:rPr>
                    <w:t>方案要求</w:t>
                  </w:r>
                </w:p>
              </w:tc>
              <w:tc>
                <w:tcPr>
                  <w:tcW w:w="1706" w:type="pct"/>
                  <w:vAlign w:val="center"/>
                </w:tcPr>
                <w:p>
                  <w:pPr>
                    <w:pStyle w:val="54"/>
                    <w:rPr>
                      <w:lang w:val="en-US" w:eastAsia="zh-CN"/>
                    </w:rPr>
                  </w:pPr>
                  <w:r>
                    <w:rPr>
                      <w:lang w:val="en-US" w:eastAsia="zh-CN"/>
                    </w:rPr>
                    <w:t>项目建设情况</w:t>
                  </w:r>
                </w:p>
              </w:tc>
              <w:tc>
                <w:tcPr>
                  <w:tcW w:w="273" w:type="pct"/>
                  <w:vAlign w:val="center"/>
                </w:tcPr>
                <w:p>
                  <w:pPr>
                    <w:pStyle w:val="54"/>
                    <w:rPr>
                      <w:lang w:val="en-US" w:eastAsia="zh-CN"/>
                    </w:rPr>
                  </w:pPr>
                  <w:r>
                    <w:rPr>
                      <w:lang w:val="en-US" w:eastAsia="zh-CN"/>
                    </w:rPr>
                    <w:t>符合性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6" w:type="dxa"/>
                  <w:bottom w:w="0" w:type="dxa"/>
                  <w:right w:w="6" w:type="dxa"/>
                </w:tblCellMar>
              </w:tblPrEx>
              <w:trPr>
                <w:jc w:val="center"/>
              </w:trPr>
              <w:tc>
                <w:tcPr>
                  <w:tcW w:w="596" w:type="pct"/>
                  <w:vMerge w:val="restart"/>
                  <w:vAlign w:val="center"/>
                </w:tcPr>
                <w:p>
                  <w:pPr>
                    <w:pStyle w:val="54"/>
                    <w:jc w:val="left"/>
                    <w:rPr>
                      <w:lang w:val="en-US" w:eastAsia="zh-CN"/>
                    </w:rPr>
                  </w:pPr>
                  <w:r>
                    <w:rPr>
                      <w:rFonts w:hint="eastAsia"/>
                      <w:lang w:val="en-US" w:eastAsia="zh-CN"/>
                    </w:rPr>
                    <w:t>《河北省人民政府关于印发河北省空气质量持续改善行动计划实施方案的通知》（冀政发[2024]4号）</w:t>
                  </w:r>
                </w:p>
              </w:tc>
              <w:tc>
                <w:tcPr>
                  <w:tcW w:w="2425" w:type="pct"/>
                  <w:vAlign w:val="center"/>
                </w:tcPr>
                <w:p>
                  <w:pPr>
                    <w:pStyle w:val="54"/>
                    <w:jc w:val="left"/>
                    <w:rPr>
                      <w:lang w:val="en-US" w:eastAsia="zh-CN"/>
                    </w:rPr>
                  </w:pPr>
                  <w:r>
                    <w:rPr>
                      <w:rFonts w:hint="eastAsia"/>
                      <w:lang w:val="en-US"/>
                    </w:rPr>
                    <w:t>四、深化交通结构优化调整</w:t>
                  </w:r>
                </w:p>
                <w:p>
                  <w:pPr>
                    <w:pStyle w:val="54"/>
                    <w:jc w:val="left"/>
                    <w:rPr>
                      <w:lang w:val="en-US" w:eastAsia="zh-CN"/>
                    </w:rPr>
                  </w:pPr>
                  <w:r>
                    <w:rPr>
                      <w:rFonts w:hint="eastAsia"/>
                      <w:lang w:val="en-US" w:eastAsia="zh-CN"/>
                    </w:rPr>
                    <w:t>（十）优化货物运输结构。</w:t>
                  </w:r>
                </w:p>
                <w:p>
                  <w:pPr>
                    <w:pStyle w:val="54"/>
                    <w:jc w:val="left"/>
                    <w:rPr>
                      <w:lang w:val="en-US" w:eastAsia="zh-CN"/>
                    </w:rPr>
                  </w:pPr>
                  <w:r>
                    <w:rPr>
                      <w:rFonts w:hint="eastAsia"/>
                      <w:lang w:val="en-US" w:eastAsia="zh-CN"/>
                    </w:rPr>
                    <w:t>（十一）提升机动车清洁化水平。</w:t>
                  </w:r>
                </w:p>
                <w:p>
                  <w:pPr>
                    <w:pStyle w:val="54"/>
                    <w:jc w:val="left"/>
                    <w:rPr>
                      <w:lang w:val="en-US" w:eastAsia="zh-CN"/>
                    </w:rPr>
                  </w:pPr>
                  <w:r>
                    <w:rPr>
                      <w:rFonts w:hint="eastAsia"/>
                      <w:lang w:val="en-US" w:eastAsia="zh-CN"/>
                    </w:rPr>
                    <w:t>（十二）强化非道路移动源综合治理。</w:t>
                  </w:r>
                </w:p>
                <w:p>
                  <w:pPr>
                    <w:pStyle w:val="54"/>
                    <w:jc w:val="left"/>
                    <w:rPr>
                      <w:lang w:val="en-US" w:eastAsia="zh-CN"/>
                    </w:rPr>
                  </w:pPr>
                  <w:r>
                    <w:rPr>
                      <w:rFonts w:hint="eastAsia"/>
                      <w:lang w:val="en-US" w:eastAsia="zh-CN"/>
                    </w:rPr>
                    <w:t>（十三）保障成品油质量。</w:t>
                  </w:r>
                </w:p>
              </w:tc>
              <w:tc>
                <w:tcPr>
                  <w:tcW w:w="1706" w:type="pct"/>
                  <w:vAlign w:val="center"/>
                </w:tcPr>
                <w:p>
                  <w:pPr>
                    <w:pStyle w:val="54"/>
                    <w:rPr>
                      <w:lang w:val="en-US" w:eastAsia="zh-CN"/>
                    </w:rPr>
                  </w:pPr>
                  <w:r>
                    <w:rPr>
                      <w:rFonts w:hint="eastAsia"/>
                      <w:lang w:val="en-US" w:eastAsia="zh-CN"/>
                    </w:rPr>
                    <w:t>项目不涉及大宗货物运输。</w:t>
                  </w:r>
                </w:p>
              </w:tc>
              <w:tc>
                <w:tcPr>
                  <w:tcW w:w="273" w:type="pct"/>
                  <w:vAlign w:val="center"/>
                </w:tcPr>
                <w:p>
                  <w:pPr>
                    <w:pStyle w:val="54"/>
                    <w:rPr>
                      <w:lang w:val="en-US" w:eastAsia="zh-CN"/>
                    </w:rPr>
                  </w:pPr>
                  <w:r>
                    <w:rPr>
                      <w:rFonts w:hint="eastAsia"/>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6" w:type="dxa"/>
                  <w:bottom w:w="0" w:type="dxa"/>
                  <w:right w:w="6" w:type="dxa"/>
                </w:tblCellMar>
              </w:tblPrEx>
              <w:trPr>
                <w:jc w:val="center"/>
              </w:trPr>
              <w:tc>
                <w:tcPr>
                  <w:tcW w:w="596" w:type="pct"/>
                  <w:vMerge w:val="continue"/>
                  <w:vAlign w:val="center"/>
                </w:tcPr>
                <w:p>
                  <w:pPr>
                    <w:pStyle w:val="54"/>
                    <w:rPr>
                      <w:lang w:val="en-US" w:eastAsia="zh-CN"/>
                    </w:rPr>
                  </w:pPr>
                </w:p>
              </w:tc>
              <w:tc>
                <w:tcPr>
                  <w:tcW w:w="2425" w:type="pct"/>
                  <w:vAlign w:val="center"/>
                </w:tcPr>
                <w:p>
                  <w:pPr>
                    <w:pStyle w:val="54"/>
                    <w:jc w:val="left"/>
                    <w:rPr>
                      <w:lang w:val="en-US"/>
                    </w:rPr>
                  </w:pPr>
                  <w:r>
                    <w:rPr>
                      <w:lang w:val="en-US"/>
                    </w:rPr>
                    <w:t>五、持续整治扬尘面源污染</w:t>
                  </w:r>
                </w:p>
                <w:p>
                  <w:pPr>
                    <w:pStyle w:val="54"/>
                    <w:jc w:val="left"/>
                    <w:rPr>
                      <w:lang w:val="en-US" w:eastAsia="zh-CN"/>
                    </w:rPr>
                  </w:pPr>
                  <w:r>
                    <w:rPr>
                      <w:rFonts w:hint="eastAsia"/>
                      <w:lang w:val="en-US"/>
                    </w:rPr>
                    <w:t>（十四）狠抓扬尘污染治理攻坚。</w:t>
                  </w:r>
                </w:p>
                <w:p>
                  <w:pPr>
                    <w:pStyle w:val="54"/>
                    <w:jc w:val="left"/>
                    <w:rPr>
                      <w:lang w:val="en-US" w:eastAsia="zh-CN"/>
                    </w:rPr>
                  </w:pPr>
                  <w:r>
                    <w:rPr>
                      <w:rFonts w:hint="eastAsia"/>
                      <w:lang w:val="en-US" w:eastAsia="zh-CN"/>
                    </w:rPr>
                    <w:t>（十五）推进矿山生态环境综合整治。</w:t>
                  </w:r>
                </w:p>
                <w:p>
                  <w:pPr>
                    <w:pStyle w:val="54"/>
                    <w:jc w:val="left"/>
                    <w:rPr>
                      <w:lang w:val="en-US" w:eastAsia="zh-CN"/>
                    </w:rPr>
                  </w:pPr>
                  <w:r>
                    <w:rPr>
                      <w:rFonts w:hint="eastAsia"/>
                      <w:lang w:val="en-US" w:eastAsia="zh-CN"/>
                    </w:rPr>
                    <w:t>（十六）加强秸秆综合利用和禁烧。</w:t>
                  </w:r>
                </w:p>
              </w:tc>
              <w:tc>
                <w:tcPr>
                  <w:tcW w:w="1706" w:type="pct"/>
                  <w:vAlign w:val="center"/>
                </w:tcPr>
                <w:p>
                  <w:pPr>
                    <w:pStyle w:val="54"/>
                    <w:jc w:val="left"/>
                    <w:rPr>
                      <w:lang w:val="en-US" w:eastAsia="zh-CN"/>
                    </w:rPr>
                  </w:pPr>
                  <w:r>
                    <w:rPr>
                      <w:rFonts w:hint="eastAsia"/>
                      <w:lang w:val="en-US" w:eastAsia="zh-CN"/>
                    </w:rPr>
                    <w:t xml:space="preserve">项目租用现有房屋，仅进行局部装修施工及设备安装，施工扬尘产生量很小。 </w:t>
                  </w:r>
                </w:p>
              </w:tc>
              <w:tc>
                <w:tcPr>
                  <w:tcW w:w="273" w:type="pct"/>
                  <w:vAlign w:val="center"/>
                </w:tcPr>
                <w:p>
                  <w:pPr>
                    <w:pStyle w:val="54"/>
                    <w:rPr>
                      <w:lang w:val="en-US" w:eastAsia="zh-CN"/>
                    </w:rPr>
                  </w:pPr>
                  <w:r>
                    <w:rPr>
                      <w:rFonts w:hint="eastAsia"/>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6" w:type="dxa"/>
                  <w:bottom w:w="0" w:type="dxa"/>
                  <w:right w:w="6" w:type="dxa"/>
                </w:tblCellMar>
              </w:tblPrEx>
              <w:trPr>
                <w:jc w:val="center"/>
              </w:trPr>
              <w:tc>
                <w:tcPr>
                  <w:tcW w:w="596" w:type="pct"/>
                  <w:vMerge w:val="continue"/>
                  <w:vAlign w:val="center"/>
                </w:tcPr>
                <w:p>
                  <w:pPr>
                    <w:pStyle w:val="54"/>
                    <w:rPr>
                      <w:lang w:val="en-US" w:eastAsia="zh-CN"/>
                    </w:rPr>
                  </w:pPr>
                </w:p>
              </w:tc>
              <w:tc>
                <w:tcPr>
                  <w:tcW w:w="2425" w:type="pct"/>
                  <w:vAlign w:val="center"/>
                </w:tcPr>
                <w:p>
                  <w:pPr>
                    <w:pStyle w:val="54"/>
                    <w:jc w:val="left"/>
                    <w:rPr>
                      <w:lang w:val="en-US" w:eastAsia="zh-CN"/>
                    </w:rPr>
                  </w:pPr>
                  <w:r>
                    <w:rPr>
                      <w:rFonts w:hint="eastAsia"/>
                      <w:lang w:val="en-US"/>
                    </w:rPr>
                    <w:t>六、持续强化多污染物减排</w:t>
                  </w:r>
                </w:p>
                <w:p>
                  <w:pPr>
                    <w:pStyle w:val="54"/>
                    <w:jc w:val="left"/>
                    <w:rPr>
                      <w:lang w:val="en-US" w:eastAsia="zh-CN"/>
                    </w:rPr>
                  </w:pPr>
                  <w:r>
                    <w:rPr>
                      <w:rFonts w:hint="eastAsia"/>
                      <w:lang w:val="en-US" w:eastAsia="zh-CN"/>
                    </w:rPr>
                    <w:t>（十七）强化VOCs、恶臭异味治理。</w:t>
                  </w:r>
                </w:p>
                <w:p>
                  <w:pPr>
                    <w:pStyle w:val="54"/>
                    <w:jc w:val="left"/>
                    <w:rPr>
                      <w:lang w:val="en-US" w:eastAsia="zh-CN"/>
                    </w:rPr>
                  </w:pPr>
                  <w:r>
                    <w:rPr>
                      <w:rFonts w:hint="eastAsia"/>
                      <w:lang w:val="en-US" w:eastAsia="zh-CN"/>
                    </w:rPr>
                    <w:t>（十八）加快重点行业污染深度治理。</w:t>
                  </w:r>
                </w:p>
                <w:p>
                  <w:pPr>
                    <w:pStyle w:val="54"/>
                    <w:jc w:val="left"/>
                    <w:rPr>
                      <w:lang w:val="en-US" w:eastAsia="zh-CN"/>
                    </w:rPr>
                  </w:pPr>
                  <w:r>
                    <w:rPr>
                      <w:rFonts w:hint="eastAsia"/>
                      <w:lang w:val="en-US" w:eastAsia="zh-CN"/>
                    </w:rPr>
                    <w:t>（十九）推进大气氨污染防控。</w:t>
                  </w:r>
                </w:p>
              </w:tc>
              <w:tc>
                <w:tcPr>
                  <w:tcW w:w="1706" w:type="pct"/>
                  <w:vAlign w:val="center"/>
                </w:tcPr>
                <w:p>
                  <w:pPr>
                    <w:pStyle w:val="54"/>
                    <w:rPr>
                      <w:lang w:val="en-US" w:eastAsia="zh-CN"/>
                    </w:rPr>
                  </w:pPr>
                  <w:r>
                    <w:rPr>
                      <w:rFonts w:hint="eastAsia"/>
                      <w:lang w:val="en-US" w:eastAsia="zh-CN"/>
                    </w:rPr>
                    <w:t>项目不涉及VOCs排放。</w:t>
                  </w:r>
                </w:p>
              </w:tc>
              <w:tc>
                <w:tcPr>
                  <w:tcW w:w="273" w:type="pct"/>
                  <w:vAlign w:val="center"/>
                </w:tcPr>
                <w:p>
                  <w:pPr>
                    <w:pStyle w:val="54"/>
                    <w:rPr>
                      <w:lang w:val="en-US" w:eastAsia="zh-CN"/>
                    </w:rPr>
                  </w:pPr>
                  <w:r>
                    <w:rPr>
                      <w:rFonts w:hint="eastAsia"/>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6" w:type="dxa"/>
                  <w:bottom w:w="0" w:type="dxa"/>
                  <w:right w:w="6" w:type="dxa"/>
                </w:tblCellMar>
              </w:tblPrEx>
              <w:trPr>
                <w:jc w:val="center"/>
              </w:trPr>
              <w:tc>
                <w:tcPr>
                  <w:tcW w:w="596" w:type="pct"/>
                  <w:vMerge w:val="continue"/>
                  <w:vAlign w:val="center"/>
                </w:tcPr>
                <w:p>
                  <w:pPr>
                    <w:pStyle w:val="54"/>
                    <w:rPr>
                      <w:lang w:val="en-US" w:eastAsia="zh-CN"/>
                    </w:rPr>
                  </w:pPr>
                </w:p>
              </w:tc>
              <w:tc>
                <w:tcPr>
                  <w:tcW w:w="2425" w:type="pct"/>
                  <w:vAlign w:val="center"/>
                </w:tcPr>
                <w:p>
                  <w:pPr>
                    <w:pStyle w:val="54"/>
                    <w:jc w:val="left"/>
                    <w:rPr>
                      <w:lang w:val="en-US" w:eastAsia="zh-CN"/>
                    </w:rPr>
                  </w:pPr>
                  <w:r>
                    <w:rPr>
                      <w:rFonts w:hint="eastAsia"/>
                      <w:lang w:val="en-US"/>
                    </w:rPr>
                    <w:t>七、持续完善工作机制</w:t>
                  </w:r>
                </w:p>
                <w:p>
                  <w:pPr>
                    <w:pStyle w:val="54"/>
                    <w:jc w:val="left"/>
                    <w:rPr>
                      <w:lang w:val="en-US" w:eastAsia="zh-CN"/>
                    </w:rPr>
                  </w:pPr>
                  <w:r>
                    <w:rPr>
                      <w:rFonts w:hint="eastAsia"/>
                      <w:lang w:val="en-US" w:eastAsia="zh-CN"/>
                    </w:rPr>
                    <w:t>（二十）实施空气质量达标管理。</w:t>
                  </w:r>
                </w:p>
                <w:p>
                  <w:pPr>
                    <w:pStyle w:val="54"/>
                    <w:jc w:val="left"/>
                    <w:rPr>
                      <w:lang w:val="en-US" w:eastAsia="zh-CN"/>
                    </w:rPr>
                  </w:pPr>
                  <w:r>
                    <w:rPr>
                      <w:rFonts w:hint="eastAsia"/>
                      <w:lang w:val="en-US" w:eastAsia="zh-CN"/>
                    </w:rPr>
                    <w:t>（二十一）深化联防联控机制。</w:t>
                  </w:r>
                </w:p>
                <w:p>
                  <w:pPr>
                    <w:pStyle w:val="54"/>
                    <w:jc w:val="left"/>
                    <w:rPr>
                      <w:lang w:val="en-US" w:eastAsia="zh-CN"/>
                    </w:rPr>
                  </w:pPr>
                  <w:r>
                    <w:rPr>
                      <w:rFonts w:hint="eastAsia"/>
                      <w:lang w:val="en-US" w:eastAsia="zh-CN"/>
                    </w:rPr>
                    <w:t>（二十二）健全重污染天气应对机制。</w:t>
                  </w:r>
                </w:p>
              </w:tc>
              <w:tc>
                <w:tcPr>
                  <w:tcW w:w="1706" w:type="pct"/>
                  <w:vAlign w:val="center"/>
                </w:tcPr>
                <w:p>
                  <w:pPr>
                    <w:pStyle w:val="54"/>
                    <w:rPr>
                      <w:lang w:val="en-US" w:eastAsia="zh-CN"/>
                    </w:rPr>
                  </w:pPr>
                  <w:r>
                    <w:rPr>
                      <w:rFonts w:hint="eastAsia"/>
                      <w:lang w:val="en-US" w:eastAsia="zh-CN"/>
                    </w:rPr>
                    <w:t>项目不属于重点行业</w:t>
                  </w:r>
                </w:p>
              </w:tc>
              <w:tc>
                <w:tcPr>
                  <w:tcW w:w="273" w:type="pct"/>
                  <w:vAlign w:val="center"/>
                </w:tcPr>
                <w:p>
                  <w:pPr>
                    <w:pStyle w:val="54"/>
                    <w:rPr>
                      <w:lang w:val="en-US" w:eastAsia="zh-CN"/>
                    </w:rPr>
                  </w:pPr>
                  <w:r>
                    <w:rPr>
                      <w:rFonts w:hint="eastAsia"/>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6" w:type="dxa"/>
                  <w:bottom w:w="0" w:type="dxa"/>
                  <w:right w:w="6" w:type="dxa"/>
                </w:tblCellMar>
              </w:tblPrEx>
              <w:trPr>
                <w:jc w:val="center"/>
              </w:trPr>
              <w:tc>
                <w:tcPr>
                  <w:tcW w:w="596" w:type="pct"/>
                  <w:vMerge w:val="restart"/>
                  <w:vAlign w:val="center"/>
                </w:tcPr>
                <w:p>
                  <w:pPr>
                    <w:pStyle w:val="54"/>
                    <w:jc w:val="both"/>
                    <w:rPr>
                      <w:lang w:val="en-US" w:eastAsia="zh-CN"/>
                    </w:rPr>
                  </w:pPr>
                  <w:r>
                    <w:rPr>
                      <w:rFonts w:hint="eastAsia"/>
                      <w:lang w:val="en-US" w:eastAsia="zh-CN"/>
                    </w:rPr>
                    <w:t>《石家庄市2024年大气污染防治攻坚方案》（石气领组〔2024〕1号）</w:t>
                  </w:r>
                </w:p>
              </w:tc>
              <w:tc>
                <w:tcPr>
                  <w:tcW w:w="2425" w:type="pct"/>
                  <w:vAlign w:val="center"/>
                </w:tcPr>
                <w:p>
                  <w:pPr>
                    <w:pStyle w:val="54"/>
                    <w:jc w:val="left"/>
                    <w:rPr>
                      <w:lang w:val="en-US" w:eastAsia="zh-CN"/>
                    </w:rPr>
                  </w:pPr>
                  <w:r>
                    <w:rPr>
                      <w:rFonts w:hint="eastAsia"/>
                      <w:lang w:val="en-US" w:eastAsia="zh-CN"/>
                    </w:rPr>
                    <w:t>(一)推动产业、能源、交通运输结构优化调整</w:t>
                  </w:r>
                </w:p>
                <w:p>
                  <w:pPr>
                    <w:pStyle w:val="54"/>
                    <w:jc w:val="left"/>
                    <w:rPr>
                      <w:lang w:val="en-US" w:eastAsia="zh-CN"/>
                    </w:rPr>
                  </w:pPr>
                  <w:r>
                    <w:rPr>
                      <w:rFonts w:hint="eastAsia"/>
                      <w:lang w:val="en-US" w:eastAsia="zh-CN"/>
                    </w:rPr>
                    <w:t>1. 坚定不移优化产业结构。严格环境准入，坚决遏制高耗能、高排放、低水平项目盲目上马，优化调整不符合生态环境功能定位的产业布局、规模和结构。长安区、桥西区、裕华区、新华区、高新区不再新建供暖及茶浴燃气锅炉。市区三环内除集中喷涂中心外，禁止新建汽修喷漆项目。</w:t>
                  </w:r>
                </w:p>
                <w:p>
                  <w:pPr>
                    <w:pStyle w:val="54"/>
                    <w:jc w:val="left"/>
                    <w:rPr>
                      <w:lang w:val="en-US" w:eastAsia="zh-CN"/>
                    </w:rPr>
                  </w:pPr>
                  <w:r>
                    <w:rPr>
                      <w:rFonts w:hint="eastAsia"/>
                      <w:lang w:val="en-US" w:eastAsia="zh-CN"/>
                    </w:rPr>
                    <w:t>2.平稳有序优化能源结构。在保障能源安全供应的前提下，继续实施煤炭消费总量控制，2024年，全市煤炭消费总量较2023年下降150万吨以上。</w:t>
                  </w:r>
                </w:p>
                <w:p>
                  <w:pPr>
                    <w:pStyle w:val="54"/>
                    <w:jc w:val="left"/>
                    <w:rPr>
                      <w:lang w:val="en-US" w:eastAsia="zh-CN"/>
                    </w:rPr>
                  </w:pPr>
                  <w:r>
                    <w:rPr>
                      <w:rFonts w:hint="eastAsia"/>
                      <w:lang w:val="en-US" w:eastAsia="zh-CN"/>
                    </w:rPr>
                    <w:t>3.</w:t>
                  </w:r>
                  <w:r>
                    <w:rPr>
                      <w:rFonts w:hint="eastAsia"/>
                    </w:rPr>
                    <w:t xml:space="preserve"> </w:t>
                  </w:r>
                  <w:r>
                    <w:rPr>
                      <w:rFonts w:hint="eastAsia"/>
                      <w:lang w:val="en-US" w:eastAsia="zh-CN"/>
                    </w:rPr>
                    <w:t>持之以恒优化交通运输结构。</w:t>
                  </w:r>
                </w:p>
              </w:tc>
              <w:tc>
                <w:tcPr>
                  <w:tcW w:w="1706" w:type="pct"/>
                  <w:vAlign w:val="center"/>
                </w:tcPr>
                <w:p>
                  <w:pPr>
                    <w:pStyle w:val="54"/>
                    <w:jc w:val="left"/>
                    <w:rPr>
                      <w:lang w:val="en-US" w:eastAsia="zh-CN"/>
                    </w:rPr>
                  </w:pPr>
                  <w:r>
                    <w:rPr>
                      <w:rFonts w:hint="eastAsia"/>
                      <w:lang w:val="en-US" w:eastAsia="zh-CN"/>
                    </w:rPr>
                    <w:t>1、项目为一级医院，不属于高耗能、高排放、低水平项目，属于《产业结构调整指导目录（2024年本）》中鼓励类项目，符合产业政策要求，不建设锅炉，不涉及喷涂。</w:t>
                  </w:r>
                </w:p>
                <w:p>
                  <w:pPr>
                    <w:pStyle w:val="54"/>
                    <w:jc w:val="left"/>
                    <w:rPr>
                      <w:lang w:val="en-US" w:eastAsia="zh-CN"/>
                    </w:rPr>
                  </w:pPr>
                  <w:r>
                    <w:rPr>
                      <w:rFonts w:hint="eastAsia"/>
                      <w:lang w:val="en-US" w:eastAsia="zh-CN"/>
                    </w:rPr>
                    <w:t>2、项目不涉及燃煤，冬季采暖采用市政供暖和空调。</w:t>
                  </w:r>
                </w:p>
                <w:p>
                  <w:pPr>
                    <w:pStyle w:val="54"/>
                    <w:jc w:val="left"/>
                    <w:rPr>
                      <w:lang w:val="en-US" w:eastAsia="zh-CN"/>
                    </w:rPr>
                  </w:pPr>
                  <w:r>
                    <w:rPr>
                      <w:rFonts w:hint="eastAsia"/>
                      <w:lang w:val="en-US" w:eastAsia="zh-CN"/>
                    </w:rPr>
                    <w:t>3、本项目不涉及</w:t>
                  </w:r>
                </w:p>
              </w:tc>
              <w:tc>
                <w:tcPr>
                  <w:tcW w:w="273" w:type="pct"/>
                  <w:vAlign w:val="center"/>
                </w:tcPr>
                <w:p>
                  <w:pPr>
                    <w:pStyle w:val="54"/>
                    <w:rPr>
                      <w:lang w:val="en-US" w:eastAsia="zh-CN"/>
                    </w:rPr>
                  </w:pPr>
                  <w:r>
                    <w:rPr>
                      <w:rFonts w:hint="eastAsia"/>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6" w:type="dxa"/>
                  <w:bottom w:w="0" w:type="dxa"/>
                  <w:right w:w="6" w:type="dxa"/>
                </w:tblCellMar>
              </w:tblPrEx>
              <w:trPr>
                <w:jc w:val="center"/>
              </w:trPr>
              <w:tc>
                <w:tcPr>
                  <w:tcW w:w="596" w:type="pct"/>
                  <w:vMerge w:val="continue"/>
                  <w:vAlign w:val="center"/>
                </w:tcPr>
                <w:p>
                  <w:pPr>
                    <w:pStyle w:val="54"/>
                    <w:rPr>
                      <w:lang w:val="en-US" w:eastAsia="zh-CN"/>
                    </w:rPr>
                  </w:pPr>
                </w:p>
              </w:tc>
              <w:tc>
                <w:tcPr>
                  <w:tcW w:w="2425" w:type="pct"/>
                  <w:vAlign w:val="center"/>
                </w:tcPr>
                <w:p>
                  <w:pPr>
                    <w:pStyle w:val="54"/>
                    <w:jc w:val="left"/>
                    <w:rPr>
                      <w:lang w:val="en-US" w:eastAsia="zh-CN"/>
                    </w:rPr>
                  </w:pPr>
                  <w:r>
                    <w:rPr>
                      <w:rFonts w:hint="eastAsia"/>
                      <w:lang w:val="en-US" w:eastAsia="zh-CN"/>
                    </w:rPr>
                    <w:t>（二）开展工业企业深层次治理</w:t>
                  </w:r>
                </w:p>
                <w:p>
                  <w:pPr>
                    <w:pStyle w:val="54"/>
                    <w:jc w:val="left"/>
                    <w:rPr>
                      <w:lang w:val="en-US" w:eastAsia="zh-CN"/>
                    </w:rPr>
                  </w:pPr>
                  <w:r>
                    <w:rPr>
                      <w:rFonts w:hint="eastAsia"/>
                      <w:lang w:val="en-US" w:eastAsia="zh-CN"/>
                    </w:rPr>
                    <w:t>4. 稳步推进重点行业环保绩效创A。</w:t>
                  </w:r>
                </w:p>
                <w:p>
                  <w:pPr>
                    <w:pStyle w:val="54"/>
                    <w:jc w:val="left"/>
                    <w:rPr>
                      <w:lang w:val="en-US" w:eastAsia="zh-CN"/>
                    </w:rPr>
                  </w:pPr>
                  <w:r>
                    <w:rPr>
                      <w:rFonts w:hint="eastAsia"/>
                      <w:lang w:val="en-US" w:eastAsia="zh-CN"/>
                    </w:rPr>
                    <w:t>5.加快推进工业企业治理设施升级改造。按照“一企一策”原则，对钢铁、火电、水泥、炭素等重点行业企业开展专项帮扶。</w:t>
                  </w:r>
                </w:p>
                <w:p>
                  <w:pPr>
                    <w:pStyle w:val="54"/>
                    <w:jc w:val="left"/>
                    <w:rPr>
                      <w:lang w:val="en-US" w:eastAsia="zh-CN"/>
                    </w:rPr>
                  </w:pPr>
                  <w:r>
                    <w:rPr>
                      <w:rFonts w:hint="eastAsia"/>
                      <w:lang w:val="en-US" w:eastAsia="zh-CN"/>
                    </w:rPr>
                    <w:t>6.强力推进挥发性有机物减排。开展挥发性有机物源头替代、泄漏检测与修复整治、低效设施淘汰、活性炭管理等4个专项行动，突出抓好无组织收集、内浮顶罐改造、高效治理设施评估、在线监测设备安装等4项重点工作，建立源头减排、过程管控、末端治理全流程控制体系。</w:t>
                  </w:r>
                </w:p>
              </w:tc>
              <w:tc>
                <w:tcPr>
                  <w:tcW w:w="1706" w:type="pct"/>
                  <w:vAlign w:val="center"/>
                </w:tcPr>
                <w:p>
                  <w:pPr>
                    <w:pStyle w:val="54"/>
                    <w:jc w:val="left"/>
                    <w:rPr>
                      <w:lang w:val="en-US" w:eastAsia="zh-CN"/>
                    </w:rPr>
                  </w:pPr>
                  <w:r>
                    <w:rPr>
                      <w:rFonts w:hint="eastAsia"/>
                      <w:lang w:val="en-US" w:eastAsia="zh-CN"/>
                    </w:rPr>
                    <w:t>4、项目不属于重点行业</w:t>
                  </w:r>
                </w:p>
                <w:p>
                  <w:pPr>
                    <w:pStyle w:val="54"/>
                    <w:jc w:val="left"/>
                    <w:rPr>
                      <w:lang w:val="en-US" w:eastAsia="zh-CN"/>
                    </w:rPr>
                  </w:pPr>
                  <w:r>
                    <w:rPr>
                      <w:rFonts w:hint="eastAsia"/>
                      <w:lang w:val="en-US" w:eastAsia="zh-CN"/>
                    </w:rPr>
                    <w:t>5、项目为一级医院，不属于钢铁、火电、水泥、炭素等重点行业</w:t>
                  </w:r>
                </w:p>
                <w:p>
                  <w:pPr>
                    <w:pStyle w:val="54"/>
                    <w:jc w:val="left"/>
                    <w:rPr>
                      <w:lang w:val="en-US" w:eastAsia="zh-CN"/>
                    </w:rPr>
                  </w:pPr>
                  <w:r>
                    <w:rPr>
                      <w:rFonts w:hint="eastAsia"/>
                      <w:lang w:val="en-US" w:eastAsia="zh-CN"/>
                    </w:rPr>
                    <w:t>6、项目不涉及VOC排放。</w:t>
                  </w:r>
                </w:p>
              </w:tc>
              <w:tc>
                <w:tcPr>
                  <w:tcW w:w="273" w:type="pct"/>
                  <w:vAlign w:val="center"/>
                </w:tcPr>
                <w:p>
                  <w:pPr>
                    <w:pStyle w:val="54"/>
                    <w:rPr>
                      <w:lang w:val="en-US" w:eastAsia="zh-CN"/>
                    </w:rPr>
                  </w:pPr>
                  <w:r>
                    <w:rPr>
                      <w:rFonts w:hint="eastAsia"/>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6" w:type="dxa"/>
                  <w:bottom w:w="0" w:type="dxa"/>
                  <w:right w:w="6" w:type="dxa"/>
                </w:tblCellMar>
              </w:tblPrEx>
              <w:trPr>
                <w:jc w:val="center"/>
              </w:trPr>
              <w:tc>
                <w:tcPr>
                  <w:tcW w:w="596" w:type="pct"/>
                  <w:vMerge w:val="continue"/>
                  <w:vAlign w:val="center"/>
                </w:tcPr>
                <w:p>
                  <w:pPr>
                    <w:pStyle w:val="54"/>
                    <w:rPr>
                      <w:lang w:val="en-US" w:eastAsia="zh-CN"/>
                    </w:rPr>
                  </w:pPr>
                </w:p>
              </w:tc>
              <w:tc>
                <w:tcPr>
                  <w:tcW w:w="2425" w:type="pct"/>
                  <w:vAlign w:val="center"/>
                </w:tcPr>
                <w:p>
                  <w:pPr>
                    <w:pStyle w:val="54"/>
                    <w:jc w:val="left"/>
                    <w:rPr>
                      <w:lang w:val="en-US" w:eastAsia="zh-CN"/>
                    </w:rPr>
                  </w:pPr>
                  <w:r>
                    <w:rPr>
                      <w:rFonts w:hint="eastAsia"/>
                      <w:lang w:val="en-US" w:eastAsia="zh-CN"/>
                    </w:rPr>
                    <w:t>（三）推进移动源污染协同治理</w:t>
                  </w:r>
                </w:p>
              </w:tc>
              <w:tc>
                <w:tcPr>
                  <w:tcW w:w="1706" w:type="pct"/>
                  <w:vAlign w:val="center"/>
                </w:tcPr>
                <w:p>
                  <w:pPr>
                    <w:pStyle w:val="54"/>
                    <w:jc w:val="left"/>
                    <w:rPr>
                      <w:lang w:val="en-US" w:eastAsia="zh-CN"/>
                    </w:rPr>
                  </w:pPr>
                  <w:r>
                    <w:rPr>
                      <w:rFonts w:hint="eastAsia"/>
                      <w:lang w:val="en-US" w:eastAsia="zh-CN"/>
                    </w:rPr>
                    <w:t>本项目不涉及</w:t>
                  </w:r>
                </w:p>
              </w:tc>
              <w:tc>
                <w:tcPr>
                  <w:tcW w:w="273" w:type="pct"/>
                  <w:vAlign w:val="center"/>
                </w:tcPr>
                <w:p>
                  <w:pPr>
                    <w:pStyle w:val="54"/>
                    <w:rPr>
                      <w:lang w:val="en-US" w:eastAsia="zh-CN"/>
                    </w:rPr>
                  </w:pPr>
                  <w:r>
                    <w:rPr>
                      <w:rFonts w:hint="eastAsia"/>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6" w:type="dxa"/>
                  <w:bottom w:w="0" w:type="dxa"/>
                  <w:right w:w="6" w:type="dxa"/>
                </w:tblCellMar>
              </w:tblPrEx>
              <w:trPr>
                <w:jc w:val="center"/>
              </w:trPr>
              <w:tc>
                <w:tcPr>
                  <w:tcW w:w="596" w:type="pct"/>
                  <w:vMerge w:val="continue"/>
                  <w:vAlign w:val="center"/>
                </w:tcPr>
                <w:p>
                  <w:pPr>
                    <w:pStyle w:val="54"/>
                    <w:rPr>
                      <w:lang w:val="en-US" w:eastAsia="zh-CN"/>
                    </w:rPr>
                  </w:pPr>
                </w:p>
              </w:tc>
              <w:tc>
                <w:tcPr>
                  <w:tcW w:w="2425" w:type="pct"/>
                  <w:vAlign w:val="center"/>
                </w:tcPr>
                <w:p>
                  <w:pPr>
                    <w:pStyle w:val="54"/>
                    <w:jc w:val="left"/>
                    <w:rPr>
                      <w:lang w:val="en-US" w:eastAsia="zh-CN"/>
                    </w:rPr>
                  </w:pPr>
                  <w:r>
                    <w:rPr>
                      <w:rFonts w:hint="eastAsia"/>
                      <w:lang w:val="en-US" w:eastAsia="zh-CN"/>
                    </w:rPr>
                    <w:t>（四）强化城乡环境精细化管理</w:t>
                  </w:r>
                </w:p>
                <w:p>
                  <w:pPr>
                    <w:pStyle w:val="54"/>
                    <w:jc w:val="left"/>
                    <w:rPr>
                      <w:lang w:val="en-US" w:eastAsia="zh-CN"/>
                    </w:rPr>
                  </w:pPr>
                  <w:r>
                    <w:rPr>
                      <w:rFonts w:hint="eastAsia"/>
                      <w:lang w:val="en-US" w:eastAsia="zh-CN"/>
                    </w:rPr>
                    <w:t>14. 狠抓施工工地控尘。</w:t>
                  </w:r>
                </w:p>
              </w:tc>
              <w:tc>
                <w:tcPr>
                  <w:tcW w:w="1706" w:type="pct"/>
                  <w:vAlign w:val="center"/>
                </w:tcPr>
                <w:p>
                  <w:pPr>
                    <w:pStyle w:val="54"/>
                    <w:jc w:val="left"/>
                    <w:rPr>
                      <w:lang w:val="en-US" w:eastAsia="zh-CN"/>
                    </w:rPr>
                  </w:pPr>
                  <w:r>
                    <w:rPr>
                      <w:rFonts w:hint="eastAsia"/>
                      <w:lang w:val="en-US" w:eastAsia="zh-CN"/>
                    </w:rPr>
                    <w:t xml:space="preserve">本项目租用现有房屋仅进行局部装修及设备安装，施工扬尘产生量小。 </w:t>
                  </w:r>
                </w:p>
              </w:tc>
              <w:tc>
                <w:tcPr>
                  <w:tcW w:w="273" w:type="pct"/>
                  <w:vAlign w:val="center"/>
                </w:tcPr>
                <w:p>
                  <w:pPr>
                    <w:pStyle w:val="54"/>
                    <w:rPr>
                      <w:lang w:val="en-US" w:eastAsia="zh-CN"/>
                    </w:rPr>
                  </w:pPr>
                  <w:r>
                    <w:rPr>
                      <w:rFonts w:hint="eastAsia"/>
                      <w:lang w:val="en-US" w:eastAsia="zh-CN"/>
                    </w:rPr>
                    <w:t>符合</w:t>
                  </w:r>
                </w:p>
              </w:tc>
            </w:tr>
          </w:tbl>
          <w:p>
            <w:pPr>
              <w:pStyle w:val="14"/>
            </w:pPr>
          </w:p>
          <w:p>
            <w:pPr>
              <w:pStyle w:val="14"/>
            </w:pPr>
            <w:r>
              <w:rPr>
                <w:rFonts w:hint="eastAsia"/>
              </w:rPr>
              <w:t>续表5   项目与相关污染防治政策符合性分析</w:t>
            </w:r>
          </w:p>
          <w:tbl>
            <w:tblPr>
              <w:tblStyle w:val="16"/>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6" w:type="dxa"/>
                <w:bottom w:w="0" w:type="dxa"/>
                <w:right w:w="6" w:type="dxa"/>
              </w:tblCellMar>
            </w:tblPr>
            <w:tblGrid>
              <w:gridCol w:w="905"/>
              <w:gridCol w:w="4535"/>
              <w:gridCol w:w="2851"/>
              <w:gridCol w:w="4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6" w:type="dxa"/>
                  <w:bottom w:w="0" w:type="dxa"/>
                  <w:right w:w="6" w:type="dxa"/>
                </w:tblCellMar>
              </w:tblPrEx>
              <w:trPr>
                <w:trHeight w:val="340" w:hRule="atLeast"/>
                <w:jc w:val="center"/>
              </w:trPr>
              <w:tc>
                <w:tcPr>
                  <w:tcW w:w="516" w:type="pct"/>
                  <w:vAlign w:val="center"/>
                </w:tcPr>
                <w:p>
                  <w:pPr>
                    <w:pStyle w:val="54"/>
                    <w:rPr>
                      <w:lang w:val="en-US" w:eastAsia="zh-CN"/>
                    </w:rPr>
                  </w:pPr>
                  <w:r>
                    <w:rPr>
                      <w:lang w:val="en-US" w:eastAsia="zh-CN"/>
                    </w:rPr>
                    <w:t>相关政策名称</w:t>
                  </w:r>
                </w:p>
              </w:tc>
              <w:tc>
                <w:tcPr>
                  <w:tcW w:w="2586" w:type="pct"/>
                  <w:vAlign w:val="center"/>
                </w:tcPr>
                <w:p>
                  <w:pPr>
                    <w:pStyle w:val="54"/>
                    <w:rPr>
                      <w:lang w:val="en-US" w:eastAsia="zh-CN"/>
                    </w:rPr>
                  </w:pPr>
                  <w:r>
                    <w:rPr>
                      <w:lang w:val="en-US" w:eastAsia="zh-CN"/>
                    </w:rPr>
                    <w:t>方案要求</w:t>
                  </w:r>
                </w:p>
              </w:tc>
              <w:tc>
                <w:tcPr>
                  <w:tcW w:w="1626" w:type="pct"/>
                  <w:vAlign w:val="center"/>
                </w:tcPr>
                <w:p>
                  <w:pPr>
                    <w:pStyle w:val="54"/>
                    <w:rPr>
                      <w:lang w:val="en-US" w:eastAsia="zh-CN"/>
                    </w:rPr>
                  </w:pPr>
                  <w:r>
                    <w:rPr>
                      <w:lang w:val="en-US" w:eastAsia="zh-CN"/>
                    </w:rPr>
                    <w:t>项目建设情况</w:t>
                  </w:r>
                </w:p>
              </w:tc>
              <w:tc>
                <w:tcPr>
                  <w:tcW w:w="272" w:type="pct"/>
                  <w:vAlign w:val="center"/>
                </w:tcPr>
                <w:p>
                  <w:pPr>
                    <w:pStyle w:val="54"/>
                    <w:rPr>
                      <w:lang w:val="en-US" w:eastAsia="zh-CN"/>
                    </w:rPr>
                  </w:pPr>
                  <w:r>
                    <w:rPr>
                      <w:lang w:val="en-US" w:eastAsia="zh-CN"/>
                    </w:rPr>
                    <w:t>符合性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6" w:type="dxa"/>
                  <w:bottom w:w="0" w:type="dxa"/>
                  <w:right w:w="6" w:type="dxa"/>
                </w:tblCellMar>
              </w:tblPrEx>
              <w:trPr>
                <w:trHeight w:val="340" w:hRule="atLeast"/>
                <w:jc w:val="center"/>
              </w:trPr>
              <w:tc>
                <w:tcPr>
                  <w:tcW w:w="516" w:type="pct"/>
                  <w:vMerge w:val="restart"/>
                  <w:vAlign w:val="center"/>
                </w:tcPr>
                <w:p>
                  <w:pPr>
                    <w:pStyle w:val="54"/>
                    <w:jc w:val="left"/>
                    <w:rPr>
                      <w:lang w:val="en-US" w:eastAsia="zh-CN"/>
                    </w:rPr>
                  </w:pPr>
                  <w:r>
                    <w:rPr>
                      <w:lang w:val="en-US" w:eastAsia="zh-CN"/>
                    </w:rPr>
                    <w:t>河北省人民政府关于印发河北省生态环境保护“十四五”规划的通知（2022年1 月12 日）</w:t>
                  </w:r>
                </w:p>
              </w:tc>
              <w:tc>
                <w:tcPr>
                  <w:tcW w:w="2586" w:type="pct"/>
                  <w:vAlign w:val="center"/>
                </w:tcPr>
                <w:p>
                  <w:pPr>
                    <w:pStyle w:val="54"/>
                    <w:jc w:val="left"/>
                    <w:rPr>
                      <w:lang w:val="en-US" w:eastAsia="zh-CN"/>
                    </w:rPr>
                  </w:pPr>
                  <w:r>
                    <w:rPr>
                      <w:lang w:val="en-US" w:eastAsia="zh-CN"/>
                    </w:rPr>
                    <w:t>1.推动重点行业深度治理和超低排放。巩固钢铁、焦化、煤电、水泥、平板玻璃、陶瓷等行业超低排放成效，实施工艺全流程深度治理，全面加强无组织排放管控。推进砖瓦、石灰、铸造、铁合金、耐火材料等重点行业污染深度治理。以工业炉窑污染综合治理为重点，深化工业氮氧化物减排。开展生活垃圾焚烧</w:t>
                  </w:r>
                  <w:r>
                    <w:rPr>
                      <w:rFonts w:hint="eastAsia"/>
                      <w:lang w:val="en-US" w:eastAsia="zh-CN"/>
                    </w:rPr>
                    <w:t>烟</w:t>
                  </w:r>
                  <w:r>
                    <w:rPr>
                      <w:lang w:val="en-US" w:eastAsia="zh-CN"/>
                    </w:rPr>
                    <w:t>气深度治理，探索研发二噁英治理和控制技术，到2025年，所有焚烧炉烟气达到生活垃圾焚烧大气污染物排放控制标准。</w:t>
                  </w:r>
                </w:p>
              </w:tc>
              <w:tc>
                <w:tcPr>
                  <w:tcW w:w="1626" w:type="pct"/>
                  <w:vAlign w:val="center"/>
                </w:tcPr>
                <w:p>
                  <w:pPr>
                    <w:pStyle w:val="54"/>
                    <w:jc w:val="left"/>
                    <w:rPr>
                      <w:lang w:val="en-US" w:eastAsia="zh-CN"/>
                    </w:rPr>
                  </w:pPr>
                  <w:r>
                    <w:rPr>
                      <w:lang w:val="en-US" w:eastAsia="zh-CN"/>
                    </w:rPr>
                    <w:t>本项目为</w:t>
                  </w:r>
                  <w:r>
                    <w:rPr>
                      <w:rFonts w:hint="eastAsia"/>
                      <w:lang w:val="en-US" w:eastAsia="zh-CN"/>
                    </w:rPr>
                    <w:t>一级医院</w:t>
                  </w:r>
                  <w:r>
                    <w:rPr>
                      <w:lang w:val="en-US" w:eastAsia="zh-CN"/>
                    </w:rPr>
                    <w:t>，不属于重污染企业</w:t>
                  </w:r>
                  <w:r>
                    <w:rPr>
                      <w:rFonts w:hint="eastAsia"/>
                      <w:lang w:val="en-US" w:eastAsia="zh-CN"/>
                    </w:rPr>
                    <w:t>，不涉及</w:t>
                  </w:r>
                  <w:r>
                    <w:rPr>
                      <w:lang w:val="en-US" w:eastAsia="zh-CN"/>
                    </w:rPr>
                    <w:t>锅炉烟气产生</w:t>
                  </w:r>
                  <w:r>
                    <w:rPr>
                      <w:rFonts w:hint="eastAsia"/>
                      <w:lang w:val="en-US" w:eastAsia="zh-CN"/>
                    </w:rPr>
                    <w:t>及排放</w:t>
                  </w:r>
                  <w:r>
                    <w:rPr>
                      <w:lang w:val="en-US" w:eastAsia="zh-CN"/>
                    </w:rPr>
                    <w:t>。</w:t>
                  </w:r>
                </w:p>
              </w:tc>
              <w:tc>
                <w:tcPr>
                  <w:tcW w:w="272" w:type="pct"/>
                  <w:vAlign w:val="center"/>
                </w:tcPr>
                <w:p>
                  <w:pPr>
                    <w:pStyle w:val="54"/>
                    <w:rPr>
                      <w:lang w:val="en-US" w:eastAsia="zh-CN"/>
                    </w:rPr>
                  </w:pPr>
                  <w:r>
                    <w:rPr>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6" w:type="dxa"/>
                  <w:bottom w:w="0" w:type="dxa"/>
                  <w:right w:w="6" w:type="dxa"/>
                </w:tblCellMar>
              </w:tblPrEx>
              <w:trPr>
                <w:jc w:val="center"/>
              </w:trPr>
              <w:tc>
                <w:tcPr>
                  <w:tcW w:w="516" w:type="pct"/>
                  <w:vMerge w:val="continue"/>
                  <w:vAlign w:val="center"/>
                </w:tcPr>
                <w:p>
                  <w:pPr>
                    <w:pStyle w:val="54"/>
                    <w:jc w:val="left"/>
                    <w:rPr>
                      <w:lang w:val="en-US" w:eastAsia="zh-CN"/>
                    </w:rPr>
                  </w:pPr>
                </w:p>
              </w:tc>
              <w:tc>
                <w:tcPr>
                  <w:tcW w:w="2586" w:type="pct"/>
                  <w:vAlign w:val="center"/>
                </w:tcPr>
                <w:p>
                  <w:pPr>
                    <w:pStyle w:val="54"/>
                    <w:jc w:val="left"/>
                    <w:rPr>
                      <w:lang w:val="en-US" w:eastAsia="zh-CN"/>
                    </w:rPr>
                  </w:pPr>
                  <w:r>
                    <w:rPr>
                      <w:lang w:val="en-US" w:eastAsia="zh-CN"/>
                    </w:rPr>
                    <w:t>2.深化重点行业挥发性有机物（VOCs）治理。以石化、化工、涂装、医药、包装印刷、油品储运销等行业领域为重点，安全高效推进挥发性有机物（VOCs）综合治理，实施原辅材料和产品源头替代、无组织排放和末端深度治理等提升改造工程。取消非必要的挥发性有机物（VOCs）废气排放系统旁路，必须保留的加强监管与治理。推行加油站夏季高温时段错时装卸油，提倡城市主城区和县城建筑墙体涂刷、建筑装饰以及道路划线、栏杆喷涂、沥青铺装等户外工程错时作业。加强汽修行业挥发性有机物（VOCs）综合治理，加大餐饮油烟污染治理力度。开展工业园区和产业集群挥发性有机物（VOCs）综合治理，重点工业园区建立统一的泄漏检测与修复（LDAR）管理系统，推广建设涉挥发性有机物（VOCs）“绿岛”项目，规划建设一批集中涂装中心、活性炭集中处理中心、溶剂回收中心等。建立健全监测预警监控体系，探索挥发性有机物（VOCs）有组织、无组织超标排放自动留样监测，强化自动监测数据执法应用。</w:t>
                  </w:r>
                </w:p>
              </w:tc>
              <w:tc>
                <w:tcPr>
                  <w:tcW w:w="1626" w:type="pct"/>
                  <w:vAlign w:val="center"/>
                </w:tcPr>
                <w:p>
                  <w:pPr>
                    <w:pStyle w:val="54"/>
                    <w:jc w:val="left"/>
                    <w:rPr>
                      <w:lang w:val="en-US" w:eastAsia="zh-CN"/>
                    </w:rPr>
                  </w:pPr>
                  <w:r>
                    <w:rPr>
                      <w:lang w:val="en-US" w:eastAsia="zh-CN"/>
                    </w:rPr>
                    <w:t>本项目</w:t>
                  </w:r>
                  <w:r>
                    <w:rPr>
                      <w:rFonts w:hint="eastAsia"/>
                      <w:lang w:val="en-US" w:eastAsia="zh-CN"/>
                    </w:rPr>
                    <w:t>不建设厨房，不涉及餐饮油烟，不涉及VOC排放。</w:t>
                  </w:r>
                </w:p>
              </w:tc>
              <w:tc>
                <w:tcPr>
                  <w:tcW w:w="272" w:type="pct"/>
                  <w:vAlign w:val="center"/>
                </w:tcPr>
                <w:p>
                  <w:pPr>
                    <w:pStyle w:val="54"/>
                    <w:rPr>
                      <w:lang w:val="en-US" w:eastAsia="zh-CN"/>
                    </w:rPr>
                  </w:pPr>
                  <w:r>
                    <w:rPr>
                      <w:lang w:val="en-US" w:eastAsia="zh-CN"/>
                    </w:rPr>
                    <w:t>符合</w:t>
                  </w:r>
                </w:p>
              </w:tc>
            </w:tr>
          </w:tbl>
          <w:p>
            <w:pPr>
              <w:pStyle w:val="14"/>
            </w:pPr>
          </w:p>
          <w:p>
            <w:pPr>
              <w:pStyle w:val="14"/>
            </w:pPr>
          </w:p>
          <w:p>
            <w:pPr>
              <w:spacing w:line="240" w:lineRule="auto"/>
              <w:ind w:right="46" w:rightChars="19" w:firstLine="0" w:firstLineChars="0"/>
              <w:jc w:val="center"/>
            </w:pPr>
          </w:p>
          <w:p>
            <w:pPr>
              <w:spacing w:line="240" w:lineRule="auto"/>
              <w:ind w:right="46" w:rightChars="19" w:firstLine="0" w:firstLineChars="0"/>
              <w:jc w:val="center"/>
            </w:pPr>
          </w:p>
          <w:p>
            <w:pPr>
              <w:spacing w:line="240" w:lineRule="auto"/>
              <w:ind w:right="46" w:rightChars="19" w:firstLine="0" w:firstLineChars="0"/>
              <w:jc w:val="center"/>
            </w:pPr>
          </w:p>
          <w:p>
            <w:pPr>
              <w:spacing w:line="240" w:lineRule="auto"/>
              <w:ind w:right="46" w:rightChars="19" w:firstLine="0" w:firstLineChars="0"/>
              <w:jc w:val="center"/>
            </w:pPr>
          </w:p>
          <w:p>
            <w:pPr>
              <w:spacing w:line="240" w:lineRule="auto"/>
              <w:ind w:right="46" w:rightChars="19" w:firstLine="0" w:firstLineChars="0"/>
              <w:jc w:val="center"/>
            </w:pPr>
          </w:p>
          <w:p>
            <w:pPr>
              <w:spacing w:line="240" w:lineRule="auto"/>
              <w:ind w:right="46" w:rightChars="19" w:firstLine="0" w:firstLineChars="0"/>
              <w:jc w:val="center"/>
            </w:pPr>
          </w:p>
          <w:p>
            <w:pPr>
              <w:spacing w:line="240" w:lineRule="auto"/>
              <w:ind w:right="46" w:rightChars="19" w:firstLine="0" w:firstLineChars="0"/>
              <w:jc w:val="center"/>
            </w:pPr>
          </w:p>
          <w:p>
            <w:pPr>
              <w:spacing w:line="240" w:lineRule="auto"/>
              <w:ind w:right="46" w:rightChars="19" w:firstLine="0" w:firstLineChars="0"/>
              <w:jc w:val="center"/>
            </w:pPr>
          </w:p>
          <w:p>
            <w:pPr>
              <w:spacing w:line="240" w:lineRule="auto"/>
              <w:ind w:right="46" w:rightChars="19" w:firstLine="0" w:firstLineChars="0"/>
              <w:jc w:val="center"/>
            </w:pPr>
          </w:p>
          <w:p>
            <w:pPr>
              <w:spacing w:line="240" w:lineRule="auto"/>
              <w:ind w:right="46" w:rightChars="19" w:firstLine="0" w:firstLineChars="0"/>
              <w:jc w:val="center"/>
            </w:pPr>
          </w:p>
          <w:p>
            <w:pPr>
              <w:spacing w:line="240" w:lineRule="auto"/>
              <w:ind w:right="46" w:rightChars="19" w:firstLine="0" w:firstLineChars="0"/>
              <w:jc w:val="center"/>
            </w:pPr>
          </w:p>
          <w:p>
            <w:pPr>
              <w:spacing w:line="240" w:lineRule="auto"/>
              <w:ind w:right="46" w:rightChars="19" w:firstLine="0" w:firstLineChars="0"/>
              <w:jc w:val="center"/>
            </w:pPr>
          </w:p>
          <w:p>
            <w:pPr>
              <w:spacing w:line="240" w:lineRule="auto"/>
              <w:ind w:right="46" w:rightChars="19" w:firstLine="0" w:firstLineChars="0"/>
              <w:jc w:val="center"/>
            </w:pPr>
          </w:p>
          <w:p>
            <w:pPr>
              <w:spacing w:line="240" w:lineRule="auto"/>
              <w:ind w:right="46" w:rightChars="19" w:firstLine="0" w:firstLineChars="0"/>
              <w:jc w:val="center"/>
            </w:pPr>
          </w:p>
        </w:tc>
      </w:tr>
    </w:tbl>
    <w:p>
      <w:pPr>
        <w:spacing w:line="240" w:lineRule="auto"/>
        <w:ind w:right="46" w:rightChars="19" w:firstLine="0" w:firstLineChars="0"/>
        <w:sectPr>
          <w:footerReference r:id="rId11" w:type="default"/>
          <w:pgSz w:w="11906" w:h="16838"/>
          <w:pgMar w:top="1440" w:right="1800" w:bottom="1440" w:left="1800" w:header="851" w:footer="992" w:gutter="0"/>
          <w:pgNumType w:start="1"/>
          <w:cols w:space="425" w:num="1"/>
          <w:docGrid w:type="lines" w:linePitch="312" w:charSpace="0"/>
        </w:sectPr>
      </w:pPr>
    </w:p>
    <w:p>
      <w:pPr>
        <w:pStyle w:val="2"/>
        <w:ind w:right="46" w:rightChars="19"/>
      </w:pPr>
      <w:r>
        <w:rPr>
          <w:rFonts w:hint="eastAsia"/>
        </w:rPr>
        <w:t>二、建设项目工程分析</w:t>
      </w:r>
    </w:p>
    <w:tbl>
      <w:tblPr>
        <w:tblStyle w:val="17"/>
        <w:tblW w:w="570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589"/>
        <w:gridCol w:w="89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310" w:type="pct"/>
            <w:vAlign w:val="center"/>
          </w:tcPr>
          <w:p>
            <w:pPr>
              <w:spacing w:line="400" w:lineRule="exact"/>
              <w:ind w:right="46" w:rightChars="19" w:firstLine="0" w:firstLineChars="0"/>
              <w:jc w:val="center"/>
            </w:pPr>
            <w:r>
              <w:rPr>
                <w:rFonts w:hint="eastAsia"/>
              </w:rPr>
              <w:t>建设内容</w:t>
            </w:r>
          </w:p>
        </w:tc>
        <w:tc>
          <w:tcPr>
            <w:tcW w:w="4690" w:type="pct"/>
            <w:vAlign w:val="center"/>
          </w:tcPr>
          <w:p>
            <w:pPr>
              <w:ind w:left="48" w:leftChars="20" w:right="48" w:rightChars="20" w:firstLine="0" w:firstLineChars="0"/>
              <w:jc w:val="left"/>
              <w:rPr>
                <w:b/>
              </w:rPr>
            </w:pPr>
            <w:r>
              <w:rPr>
                <w:rFonts w:hint="eastAsia"/>
                <w:b/>
              </w:rPr>
              <w:t>一、项目由来</w:t>
            </w:r>
          </w:p>
          <w:p>
            <w:pPr>
              <w:ind w:left="48" w:leftChars="20" w:right="48" w:rightChars="20" w:firstLine="480"/>
              <w:jc w:val="left"/>
            </w:pPr>
            <w:bookmarkStart w:id="0" w:name="OLE_LINK42"/>
            <w:r>
              <w:rPr>
                <w:rFonts w:hint="eastAsia"/>
              </w:rPr>
              <w:t>石家庄慈爱中医医院</w:t>
            </w:r>
            <w:bookmarkEnd w:id="0"/>
            <w:r>
              <w:rPr>
                <w:rFonts w:hint="eastAsia"/>
              </w:rPr>
              <w:t>有限公司成立于2023年，旗下石家庄慈爱中医医院为一家一级医院，“石家庄慈爱中医医院建设项目”备案信息于2024年12月20日通过了石家庄高新区行政审批局审批（石高行审投资备字〔2024〕224号），该项目新建医院租用河北省石家庄市高新区学苑路30号副6号傲湖小区1号商业楼01-204，对现有建筑进行内部装修，设置诊疗室、检验室、药房、煎药室、病房等科室，建设为有30张床位的中医医院。</w:t>
            </w:r>
          </w:p>
          <w:p>
            <w:pPr>
              <w:ind w:left="48" w:leftChars="20" w:right="48" w:rightChars="20" w:firstLine="480"/>
              <w:jc w:val="left"/>
            </w:pPr>
            <w:r>
              <w:rPr>
                <w:rFonts w:hint="eastAsia"/>
              </w:rPr>
              <w:t>根据《建设项目环境影响评价分类管理名录》（2021年版），本项目属于分类管理名录中的“四十九、卫生-108-医院841-其他（住院床位20张以下的除外）”，应编制环境影响报告表。我单位接受委托后，通过现场踏勘、资料收集等工作，并按照《建设项目环境影响报告表编制技术指南（污染影响类）（试行）》的规定编制完成了《石家庄慈爱中医医院建设项目环境影响报告表》。</w:t>
            </w:r>
          </w:p>
          <w:p>
            <w:pPr>
              <w:ind w:left="24" w:leftChars="10" w:firstLine="0" w:firstLineChars="0"/>
              <w:jc w:val="left"/>
              <w:rPr>
                <w:b/>
              </w:rPr>
            </w:pPr>
            <w:r>
              <w:rPr>
                <w:rFonts w:hint="eastAsia"/>
                <w:b/>
              </w:rPr>
              <w:t>二、建设内容</w:t>
            </w:r>
          </w:p>
          <w:p>
            <w:pPr>
              <w:ind w:left="24" w:leftChars="10" w:firstLine="0" w:firstLineChars="0"/>
              <w:jc w:val="left"/>
              <w:rPr>
                <w:b/>
              </w:rPr>
            </w:pPr>
            <w:r>
              <w:rPr>
                <w:rFonts w:hint="eastAsia"/>
                <w:b/>
              </w:rPr>
              <w:t>1、项目选址</w:t>
            </w:r>
          </w:p>
          <w:p>
            <w:pPr>
              <w:ind w:left="48" w:leftChars="20" w:right="48" w:rightChars="20" w:firstLine="480"/>
              <w:jc w:val="left"/>
            </w:pPr>
            <w:r>
              <w:rPr>
                <w:rFonts w:hint="eastAsia"/>
              </w:rPr>
              <w:t>本项目选址位于</w:t>
            </w:r>
            <w:bookmarkStart w:id="1" w:name="OLE_LINK24"/>
            <w:bookmarkStart w:id="2" w:name="OLE_LINK25"/>
            <w:r>
              <w:rPr>
                <w:rFonts w:hint="eastAsia"/>
              </w:rPr>
              <w:t>河北省石家庄市高新区学苑路30号副6号傲湖小区1号商业楼01-204</w:t>
            </w:r>
            <w:bookmarkEnd w:id="1"/>
            <w:bookmarkEnd w:id="2"/>
            <w:r>
              <w:rPr>
                <w:rFonts w:hint="eastAsia"/>
              </w:rPr>
              <w:t>，</w:t>
            </w:r>
            <w:r>
              <w:t>地理位置坐标114°</w:t>
            </w:r>
            <w:r>
              <w:rPr>
                <w:rFonts w:hint="eastAsia"/>
              </w:rPr>
              <w:t>35</w:t>
            </w:r>
            <w:r>
              <w:t>′</w:t>
            </w:r>
            <w:r>
              <w:rPr>
                <w:rFonts w:hint="eastAsia"/>
              </w:rPr>
              <w:t>18.812</w:t>
            </w:r>
            <w:r>
              <w:t>″E、38°</w:t>
            </w:r>
            <w:r>
              <w:rPr>
                <w:rFonts w:hint="eastAsia"/>
              </w:rPr>
              <w:t>0</w:t>
            </w:r>
            <w:r>
              <w:t>′</w:t>
            </w:r>
            <w:r>
              <w:rPr>
                <w:rFonts w:hint="eastAsia"/>
              </w:rPr>
              <w:t>38.336</w:t>
            </w:r>
            <w:r>
              <w:t>″N。</w:t>
            </w:r>
            <w:r>
              <w:rPr>
                <w:rFonts w:hint="eastAsia"/>
              </w:rPr>
              <w:t>项目北侧30m为润都荣园小区，东侧10m为傲湖小区居民楼，西侧紧邻封龙大街，南侧为商铺。项目最近敏感点为东侧10m的傲湖小区，具体</w:t>
            </w:r>
            <w:r>
              <w:t>地理位置图见附图1，周边关系图见附图2</w:t>
            </w:r>
            <w:r>
              <w:rPr>
                <w:rFonts w:hint="eastAsia"/>
              </w:rPr>
              <w:t>。</w:t>
            </w:r>
          </w:p>
          <w:p>
            <w:pPr>
              <w:ind w:left="24" w:leftChars="10" w:firstLine="0" w:firstLineChars="0"/>
              <w:jc w:val="left"/>
              <w:rPr>
                <w:b/>
              </w:rPr>
            </w:pPr>
            <w:r>
              <w:rPr>
                <w:rFonts w:hint="eastAsia"/>
                <w:b/>
              </w:rPr>
              <w:t>2、建设内容及规模</w:t>
            </w:r>
          </w:p>
          <w:p>
            <w:pPr>
              <w:ind w:left="48" w:leftChars="20" w:right="48" w:rightChars="20" w:firstLine="480"/>
              <w:jc w:val="left"/>
            </w:pPr>
            <w:r>
              <w:rPr>
                <w:rFonts w:hint="eastAsia"/>
              </w:rPr>
              <w:t>项目对租赁的房屋（地上2层）进行基础装修，设置中医外科、中医内科、中医康复科、检验科、中医针灸科、妇科、心电图和彩超室、中西医药房、煎药室、放射科等科室，并设置医疗废物暂存间、办公室、病房及其辅助设施，总建筑面积2327.99m</w:t>
            </w:r>
            <w:r>
              <w:rPr>
                <w:rFonts w:hint="eastAsia"/>
                <w:vertAlign w:val="superscript"/>
              </w:rPr>
              <w:t>2</w:t>
            </w:r>
            <w:r>
              <w:rPr>
                <w:rFonts w:hint="eastAsia"/>
              </w:rPr>
              <w:t>，设置30张床位，建成后预计日门诊就诊人数50人。</w:t>
            </w:r>
          </w:p>
          <w:p>
            <w:pPr>
              <w:ind w:firstLine="480"/>
              <w:jc w:val="left"/>
            </w:pPr>
            <w:r>
              <w:rPr>
                <w:rFonts w:hint="eastAsia"/>
              </w:rPr>
              <w:t>项目采用DR新设备，直接数码成像，不产生洗相废水；化验室等使用试剂盒进行化验，不使用氰化钾、氰化钠、铁氰化钾、亚铁氰化钾等含氰化合物以及重铬酸钾、三氧化铬、铬酸钾等化学品，不产生含氰、含铬废水；项目涉及辐射设备的建设应按照国家有关辐射环境管理规定和环境保护主管部门的要求，进行辐射环境影响评价，本次评价不包含辐射项目的评价内容，含辐射项目另行评价。项目建设内容见下表。</w:t>
            </w:r>
          </w:p>
          <w:p>
            <w:pPr>
              <w:pStyle w:val="14"/>
            </w:pPr>
            <w:r>
              <w:rPr>
                <w:rFonts w:hint="eastAsia"/>
              </w:rPr>
              <w:t>表6   医院建设内容一览表</w:t>
            </w:r>
          </w:p>
          <w:tbl>
            <w:tblPr>
              <w:tblStyle w:val="1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490"/>
              <w:gridCol w:w="851"/>
              <w:gridCol w:w="283"/>
              <w:gridCol w:w="71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490" w:type="dxa"/>
                  <w:vAlign w:val="center"/>
                </w:tcPr>
                <w:p>
                  <w:pPr>
                    <w:spacing w:line="240" w:lineRule="auto"/>
                    <w:ind w:firstLine="0" w:firstLineChars="0"/>
                    <w:jc w:val="center"/>
                    <w:rPr>
                      <w:sz w:val="21"/>
                      <w:szCs w:val="21"/>
                    </w:rPr>
                  </w:pPr>
                  <w:r>
                    <w:rPr>
                      <w:rFonts w:hint="eastAsia"/>
                      <w:sz w:val="21"/>
                      <w:szCs w:val="21"/>
                    </w:rPr>
                    <w:t>类别</w:t>
                  </w:r>
                </w:p>
              </w:tc>
              <w:tc>
                <w:tcPr>
                  <w:tcW w:w="851" w:type="dxa"/>
                  <w:vAlign w:val="center"/>
                </w:tcPr>
                <w:p>
                  <w:pPr>
                    <w:spacing w:line="240" w:lineRule="auto"/>
                    <w:ind w:firstLine="0" w:firstLineChars="0"/>
                    <w:jc w:val="center"/>
                    <w:rPr>
                      <w:sz w:val="21"/>
                      <w:szCs w:val="21"/>
                    </w:rPr>
                  </w:pPr>
                  <w:r>
                    <w:rPr>
                      <w:rFonts w:hint="eastAsia"/>
                      <w:sz w:val="21"/>
                      <w:szCs w:val="21"/>
                    </w:rPr>
                    <w:t>工程名称</w:t>
                  </w:r>
                </w:p>
              </w:tc>
              <w:tc>
                <w:tcPr>
                  <w:tcW w:w="7390" w:type="dxa"/>
                  <w:gridSpan w:val="2"/>
                  <w:vAlign w:val="center"/>
                </w:tcPr>
                <w:p>
                  <w:pPr>
                    <w:spacing w:line="240" w:lineRule="auto"/>
                    <w:ind w:firstLine="0" w:firstLineChars="0"/>
                    <w:jc w:val="center"/>
                    <w:rPr>
                      <w:sz w:val="21"/>
                      <w:szCs w:val="21"/>
                    </w:rPr>
                  </w:pPr>
                  <w:r>
                    <w:rPr>
                      <w:rFonts w:hint="eastAsia"/>
                      <w:sz w:val="21"/>
                      <w:szCs w:val="21"/>
                    </w:rPr>
                    <w:t>建设内容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490" w:type="dxa"/>
                  <w:vMerge w:val="restart"/>
                  <w:vAlign w:val="center"/>
                </w:tcPr>
                <w:p>
                  <w:pPr>
                    <w:spacing w:line="240" w:lineRule="auto"/>
                    <w:ind w:firstLine="0" w:firstLineChars="0"/>
                    <w:jc w:val="center"/>
                    <w:rPr>
                      <w:sz w:val="21"/>
                      <w:szCs w:val="21"/>
                    </w:rPr>
                  </w:pPr>
                  <w:r>
                    <w:rPr>
                      <w:rFonts w:hint="eastAsia"/>
                      <w:sz w:val="21"/>
                      <w:szCs w:val="21"/>
                    </w:rPr>
                    <w:t>主体</w:t>
                  </w:r>
                </w:p>
                <w:p>
                  <w:pPr>
                    <w:spacing w:line="240" w:lineRule="auto"/>
                    <w:ind w:firstLine="0" w:firstLineChars="0"/>
                    <w:jc w:val="center"/>
                    <w:rPr>
                      <w:sz w:val="21"/>
                      <w:szCs w:val="21"/>
                    </w:rPr>
                  </w:pPr>
                  <w:r>
                    <w:rPr>
                      <w:rFonts w:hint="eastAsia"/>
                      <w:sz w:val="21"/>
                      <w:szCs w:val="21"/>
                    </w:rPr>
                    <w:t>工程</w:t>
                  </w:r>
                </w:p>
              </w:tc>
              <w:tc>
                <w:tcPr>
                  <w:tcW w:w="851" w:type="dxa"/>
                  <w:vMerge w:val="restart"/>
                  <w:vAlign w:val="center"/>
                </w:tcPr>
                <w:p>
                  <w:pPr>
                    <w:spacing w:line="240" w:lineRule="auto"/>
                    <w:ind w:firstLine="0" w:firstLineChars="0"/>
                    <w:jc w:val="center"/>
                    <w:rPr>
                      <w:sz w:val="21"/>
                      <w:szCs w:val="21"/>
                    </w:rPr>
                  </w:pPr>
                  <w:r>
                    <w:rPr>
                      <w:rFonts w:hint="eastAsia"/>
                      <w:sz w:val="21"/>
                      <w:szCs w:val="21"/>
                    </w:rPr>
                    <w:t>医院综合楼</w:t>
                  </w:r>
                </w:p>
              </w:tc>
              <w:tc>
                <w:tcPr>
                  <w:tcW w:w="283" w:type="dxa"/>
                  <w:vAlign w:val="center"/>
                </w:tcPr>
                <w:p>
                  <w:pPr>
                    <w:spacing w:line="240" w:lineRule="auto"/>
                    <w:ind w:firstLine="0" w:firstLineChars="0"/>
                    <w:jc w:val="center"/>
                    <w:rPr>
                      <w:sz w:val="21"/>
                      <w:szCs w:val="21"/>
                    </w:rPr>
                  </w:pPr>
                  <w:r>
                    <w:rPr>
                      <w:rFonts w:hint="eastAsia"/>
                      <w:sz w:val="21"/>
                      <w:szCs w:val="21"/>
                    </w:rPr>
                    <w:t>一层</w:t>
                  </w:r>
                </w:p>
              </w:tc>
              <w:tc>
                <w:tcPr>
                  <w:tcW w:w="7107" w:type="dxa"/>
                  <w:vAlign w:val="center"/>
                </w:tcPr>
                <w:p>
                  <w:pPr>
                    <w:spacing w:line="240" w:lineRule="auto"/>
                    <w:ind w:firstLine="0" w:firstLineChars="0"/>
                    <w:jc w:val="left"/>
                    <w:rPr>
                      <w:sz w:val="21"/>
                      <w:szCs w:val="21"/>
                    </w:rPr>
                  </w:pPr>
                  <w:r>
                    <w:rPr>
                      <w:rFonts w:hint="eastAsia"/>
                      <w:sz w:val="21"/>
                      <w:szCs w:val="21"/>
                    </w:rPr>
                    <w:t>建筑面积685.8m</w:t>
                  </w:r>
                  <w:r>
                    <w:rPr>
                      <w:rFonts w:hint="eastAsia"/>
                      <w:sz w:val="21"/>
                      <w:szCs w:val="21"/>
                      <w:vertAlign w:val="superscript"/>
                    </w:rPr>
                    <w:t>2</w:t>
                  </w:r>
                  <w:r>
                    <w:rPr>
                      <w:rFonts w:hint="eastAsia"/>
                      <w:sz w:val="21"/>
                      <w:szCs w:val="21"/>
                    </w:rPr>
                    <w:t>，设置中医外科、中医内科、检验科、心电图和彩超室、中西医药房、煎药室、放射科，污水处理间、餐厅、医疗废物暂存间、危险废物暂存间。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490" w:type="dxa"/>
                  <w:vMerge w:val="continue"/>
                  <w:vAlign w:val="center"/>
                </w:tcPr>
                <w:p>
                  <w:pPr>
                    <w:spacing w:line="240" w:lineRule="auto"/>
                    <w:ind w:firstLine="0" w:firstLineChars="0"/>
                    <w:jc w:val="center"/>
                    <w:rPr>
                      <w:sz w:val="21"/>
                      <w:szCs w:val="21"/>
                    </w:rPr>
                  </w:pPr>
                </w:p>
              </w:tc>
              <w:tc>
                <w:tcPr>
                  <w:tcW w:w="851" w:type="dxa"/>
                  <w:vMerge w:val="continue"/>
                  <w:vAlign w:val="center"/>
                </w:tcPr>
                <w:p>
                  <w:pPr>
                    <w:spacing w:line="240" w:lineRule="auto"/>
                    <w:ind w:firstLine="0" w:firstLineChars="0"/>
                    <w:jc w:val="center"/>
                    <w:rPr>
                      <w:sz w:val="21"/>
                      <w:szCs w:val="21"/>
                    </w:rPr>
                  </w:pPr>
                </w:p>
              </w:tc>
              <w:tc>
                <w:tcPr>
                  <w:tcW w:w="283" w:type="dxa"/>
                  <w:vAlign w:val="center"/>
                </w:tcPr>
                <w:p>
                  <w:pPr>
                    <w:spacing w:line="240" w:lineRule="auto"/>
                    <w:ind w:firstLine="0" w:firstLineChars="0"/>
                    <w:jc w:val="center"/>
                    <w:rPr>
                      <w:sz w:val="21"/>
                      <w:szCs w:val="21"/>
                    </w:rPr>
                  </w:pPr>
                  <w:r>
                    <w:rPr>
                      <w:rFonts w:hint="eastAsia"/>
                      <w:sz w:val="21"/>
                      <w:szCs w:val="21"/>
                    </w:rPr>
                    <w:t>二层</w:t>
                  </w:r>
                </w:p>
              </w:tc>
              <w:tc>
                <w:tcPr>
                  <w:tcW w:w="7107" w:type="dxa"/>
                  <w:vAlign w:val="center"/>
                </w:tcPr>
                <w:p>
                  <w:pPr>
                    <w:spacing w:line="240" w:lineRule="auto"/>
                    <w:ind w:firstLine="0" w:firstLineChars="0"/>
                    <w:jc w:val="left"/>
                    <w:rPr>
                      <w:sz w:val="21"/>
                      <w:szCs w:val="21"/>
                    </w:rPr>
                  </w:pPr>
                  <w:r>
                    <w:rPr>
                      <w:rFonts w:hint="eastAsia"/>
                      <w:sz w:val="21"/>
                      <w:szCs w:val="21"/>
                    </w:rPr>
                    <w:t>建筑面积1642.19m</w:t>
                  </w:r>
                  <w:r>
                    <w:rPr>
                      <w:rFonts w:hint="eastAsia"/>
                      <w:sz w:val="21"/>
                      <w:szCs w:val="21"/>
                      <w:vertAlign w:val="superscript"/>
                    </w:rPr>
                    <w:t>2</w:t>
                  </w:r>
                  <w:r>
                    <w:rPr>
                      <w:rFonts w:hint="eastAsia"/>
                      <w:sz w:val="21"/>
                      <w:szCs w:val="21"/>
                    </w:rPr>
                    <w:t>，设置中医康复科、中医针灸科、妇科、办公室、病房、仓库等。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490" w:type="dxa"/>
                  <w:vMerge w:val="restart"/>
                  <w:vAlign w:val="center"/>
                </w:tcPr>
                <w:p>
                  <w:pPr>
                    <w:spacing w:line="240" w:lineRule="auto"/>
                    <w:ind w:firstLine="0" w:firstLineChars="0"/>
                    <w:jc w:val="center"/>
                    <w:rPr>
                      <w:sz w:val="21"/>
                      <w:szCs w:val="21"/>
                    </w:rPr>
                  </w:pPr>
                  <w:r>
                    <w:rPr>
                      <w:rFonts w:hint="eastAsia"/>
                      <w:sz w:val="21"/>
                      <w:szCs w:val="21"/>
                    </w:rPr>
                    <w:t>辅助工程</w:t>
                  </w:r>
                </w:p>
              </w:tc>
              <w:tc>
                <w:tcPr>
                  <w:tcW w:w="851" w:type="dxa"/>
                  <w:vAlign w:val="center"/>
                </w:tcPr>
                <w:p>
                  <w:pPr>
                    <w:spacing w:line="240" w:lineRule="auto"/>
                    <w:ind w:firstLine="0" w:firstLineChars="0"/>
                    <w:jc w:val="center"/>
                    <w:rPr>
                      <w:sz w:val="21"/>
                      <w:szCs w:val="21"/>
                    </w:rPr>
                  </w:pPr>
                  <w:r>
                    <w:rPr>
                      <w:rFonts w:hint="eastAsia"/>
                      <w:sz w:val="21"/>
                      <w:szCs w:val="21"/>
                    </w:rPr>
                    <w:t>办公室</w:t>
                  </w:r>
                </w:p>
              </w:tc>
              <w:tc>
                <w:tcPr>
                  <w:tcW w:w="7390" w:type="dxa"/>
                  <w:gridSpan w:val="2"/>
                  <w:vAlign w:val="center"/>
                </w:tcPr>
                <w:p>
                  <w:pPr>
                    <w:spacing w:line="240" w:lineRule="auto"/>
                    <w:ind w:firstLine="0" w:firstLineChars="0"/>
                    <w:rPr>
                      <w:sz w:val="21"/>
                      <w:szCs w:val="21"/>
                    </w:rPr>
                  </w:pPr>
                  <w:r>
                    <w:rPr>
                      <w:rFonts w:hint="eastAsia"/>
                      <w:sz w:val="21"/>
                      <w:szCs w:val="21"/>
                    </w:rPr>
                    <w:t>在医院1层设置导医台，在2层设置1间办公室、1间护士站。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490" w:type="dxa"/>
                  <w:vMerge w:val="continue"/>
                  <w:vAlign w:val="center"/>
                </w:tcPr>
                <w:p>
                  <w:pPr>
                    <w:spacing w:line="240" w:lineRule="auto"/>
                    <w:ind w:firstLine="0" w:firstLineChars="0"/>
                    <w:jc w:val="center"/>
                    <w:rPr>
                      <w:sz w:val="21"/>
                      <w:szCs w:val="21"/>
                    </w:rPr>
                  </w:pPr>
                </w:p>
              </w:tc>
              <w:tc>
                <w:tcPr>
                  <w:tcW w:w="851" w:type="dxa"/>
                  <w:vAlign w:val="center"/>
                </w:tcPr>
                <w:p>
                  <w:pPr>
                    <w:spacing w:line="240" w:lineRule="auto"/>
                    <w:ind w:firstLine="0" w:firstLineChars="0"/>
                    <w:jc w:val="center"/>
                    <w:rPr>
                      <w:sz w:val="21"/>
                      <w:szCs w:val="21"/>
                    </w:rPr>
                  </w:pPr>
                  <w:r>
                    <w:rPr>
                      <w:rFonts w:hint="eastAsia"/>
                      <w:sz w:val="21"/>
                      <w:szCs w:val="21"/>
                    </w:rPr>
                    <w:t>餐厅</w:t>
                  </w:r>
                </w:p>
              </w:tc>
              <w:tc>
                <w:tcPr>
                  <w:tcW w:w="7390" w:type="dxa"/>
                  <w:gridSpan w:val="2"/>
                  <w:vAlign w:val="center"/>
                </w:tcPr>
                <w:p>
                  <w:pPr>
                    <w:spacing w:line="240" w:lineRule="auto"/>
                    <w:ind w:firstLine="0" w:firstLineChars="0"/>
                    <w:rPr>
                      <w:sz w:val="21"/>
                      <w:szCs w:val="21"/>
                    </w:rPr>
                  </w:pPr>
                  <w:r>
                    <w:rPr>
                      <w:rFonts w:hint="eastAsia"/>
                      <w:sz w:val="21"/>
                      <w:szCs w:val="21"/>
                    </w:rPr>
                    <w:t>在医院1层设置1间餐厅，建筑面积100m</w:t>
                  </w:r>
                  <w:r>
                    <w:rPr>
                      <w:rFonts w:hint="eastAsia"/>
                      <w:sz w:val="21"/>
                      <w:szCs w:val="21"/>
                      <w:vertAlign w:val="superscript"/>
                    </w:rPr>
                    <w:t>2</w:t>
                  </w:r>
                  <w:r>
                    <w:rPr>
                      <w:rFonts w:hint="eastAsia"/>
                      <w:sz w:val="21"/>
                      <w:szCs w:val="21"/>
                    </w:rPr>
                    <w:t>，餐厅不设厨房，餐食委托专门餐饮单位送餐。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490" w:type="dxa"/>
                  <w:vMerge w:val="continue"/>
                  <w:vAlign w:val="center"/>
                </w:tcPr>
                <w:p>
                  <w:pPr>
                    <w:spacing w:line="240" w:lineRule="auto"/>
                    <w:ind w:firstLine="0" w:firstLineChars="0"/>
                    <w:jc w:val="center"/>
                    <w:rPr>
                      <w:sz w:val="21"/>
                      <w:szCs w:val="21"/>
                    </w:rPr>
                  </w:pPr>
                </w:p>
              </w:tc>
              <w:tc>
                <w:tcPr>
                  <w:tcW w:w="851" w:type="dxa"/>
                  <w:vAlign w:val="center"/>
                </w:tcPr>
                <w:p>
                  <w:pPr>
                    <w:spacing w:line="240" w:lineRule="auto"/>
                    <w:ind w:firstLine="0" w:firstLineChars="0"/>
                    <w:jc w:val="center"/>
                    <w:rPr>
                      <w:sz w:val="21"/>
                      <w:szCs w:val="21"/>
                    </w:rPr>
                  </w:pPr>
                  <w:r>
                    <w:rPr>
                      <w:rFonts w:hint="eastAsia"/>
                      <w:sz w:val="21"/>
                      <w:szCs w:val="21"/>
                    </w:rPr>
                    <w:t>医用气体供应系统</w:t>
                  </w:r>
                </w:p>
              </w:tc>
              <w:tc>
                <w:tcPr>
                  <w:tcW w:w="7390" w:type="dxa"/>
                  <w:gridSpan w:val="2"/>
                  <w:vAlign w:val="center"/>
                </w:tcPr>
                <w:p>
                  <w:pPr>
                    <w:spacing w:line="240" w:lineRule="auto"/>
                    <w:ind w:firstLine="0" w:firstLineChars="0"/>
                    <w:rPr>
                      <w:sz w:val="21"/>
                      <w:szCs w:val="21"/>
                    </w:rPr>
                  </w:pPr>
                  <w:r>
                    <w:rPr>
                      <w:rFonts w:hint="eastAsia"/>
                      <w:sz w:val="21"/>
                      <w:szCs w:val="21"/>
                    </w:rPr>
                    <w:t>医院设置中央供氧系统，液氧钢瓶外购取得。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490" w:type="dxa"/>
                  <w:vMerge w:val="restart"/>
                  <w:vAlign w:val="center"/>
                </w:tcPr>
                <w:p>
                  <w:pPr>
                    <w:spacing w:line="240" w:lineRule="auto"/>
                    <w:ind w:firstLine="0" w:firstLineChars="0"/>
                    <w:jc w:val="center"/>
                    <w:rPr>
                      <w:sz w:val="21"/>
                      <w:szCs w:val="21"/>
                    </w:rPr>
                  </w:pPr>
                  <w:r>
                    <w:rPr>
                      <w:rFonts w:hint="eastAsia"/>
                      <w:sz w:val="21"/>
                      <w:szCs w:val="21"/>
                    </w:rPr>
                    <w:t>公用工程</w:t>
                  </w:r>
                </w:p>
              </w:tc>
              <w:tc>
                <w:tcPr>
                  <w:tcW w:w="851" w:type="dxa"/>
                  <w:vAlign w:val="center"/>
                </w:tcPr>
                <w:p>
                  <w:pPr>
                    <w:spacing w:line="240" w:lineRule="auto"/>
                    <w:ind w:firstLine="0" w:firstLineChars="0"/>
                    <w:jc w:val="center"/>
                    <w:rPr>
                      <w:sz w:val="21"/>
                      <w:szCs w:val="21"/>
                    </w:rPr>
                  </w:pPr>
                  <w:r>
                    <w:rPr>
                      <w:rFonts w:hint="eastAsia"/>
                      <w:sz w:val="21"/>
                      <w:szCs w:val="21"/>
                    </w:rPr>
                    <w:t>供水</w:t>
                  </w:r>
                </w:p>
              </w:tc>
              <w:tc>
                <w:tcPr>
                  <w:tcW w:w="7390" w:type="dxa"/>
                  <w:gridSpan w:val="2"/>
                  <w:vAlign w:val="center"/>
                </w:tcPr>
                <w:p>
                  <w:pPr>
                    <w:spacing w:line="240" w:lineRule="auto"/>
                    <w:ind w:firstLine="0" w:firstLineChars="0"/>
                    <w:rPr>
                      <w:sz w:val="21"/>
                      <w:szCs w:val="21"/>
                    </w:rPr>
                  </w:pPr>
                  <w:r>
                    <w:rPr>
                      <w:rFonts w:hint="eastAsia"/>
                      <w:sz w:val="21"/>
                      <w:szCs w:val="21"/>
                    </w:rPr>
                    <w:t>由市政供水管网供给，新鲜水消耗量为</w:t>
                  </w:r>
                  <w:r>
                    <w:rPr>
                      <w:sz w:val="21"/>
                      <w:szCs w:val="21"/>
                    </w:rPr>
                    <w:t>4288.75</w:t>
                  </w:r>
                  <w:r>
                    <w:rPr>
                      <w:rFonts w:hint="eastAsia"/>
                      <w:sz w:val="21"/>
                      <w:szCs w:val="21"/>
                    </w:rPr>
                    <w:t>m</w:t>
                  </w:r>
                  <w:r>
                    <w:rPr>
                      <w:rFonts w:hint="eastAsia"/>
                      <w:sz w:val="21"/>
                      <w:szCs w:val="21"/>
                      <w:vertAlign w:val="superscript"/>
                    </w:rPr>
                    <w:t>3</w:t>
                  </w:r>
                  <w:r>
                    <w:rPr>
                      <w:rFonts w:hint="eastAsia"/>
                      <w:sz w:val="21"/>
                      <w:szCs w:val="21"/>
                    </w:rPr>
                    <w: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490" w:type="dxa"/>
                  <w:vMerge w:val="continue"/>
                  <w:vAlign w:val="center"/>
                </w:tcPr>
                <w:p>
                  <w:pPr>
                    <w:spacing w:line="240" w:lineRule="auto"/>
                    <w:ind w:firstLine="0" w:firstLineChars="0"/>
                    <w:jc w:val="center"/>
                    <w:rPr>
                      <w:sz w:val="21"/>
                      <w:szCs w:val="21"/>
                    </w:rPr>
                  </w:pPr>
                </w:p>
              </w:tc>
              <w:tc>
                <w:tcPr>
                  <w:tcW w:w="851" w:type="dxa"/>
                  <w:vAlign w:val="center"/>
                </w:tcPr>
                <w:p>
                  <w:pPr>
                    <w:spacing w:line="240" w:lineRule="auto"/>
                    <w:ind w:firstLine="0" w:firstLineChars="0"/>
                    <w:jc w:val="center"/>
                    <w:rPr>
                      <w:sz w:val="21"/>
                      <w:szCs w:val="21"/>
                    </w:rPr>
                  </w:pPr>
                  <w:r>
                    <w:rPr>
                      <w:rFonts w:hint="eastAsia"/>
                      <w:sz w:val="21"/>
                      <w:szCs w:val="21"/>
                    </w:rPr>
                    <w:t>排水</w:t>
                  </w:r>
                </w:p>
              </w:tc>
              <w:tc>
                <w:tcPr>
                  <w:tcW w:w="7390" w:type="dxa"/>
                  <w:gridSpan w:val="2"/>
                  <w:vAlign w:val="center"/>
                </w:tcPr>
                <w:p>
                  <w:pPr>
                    <w:spacing w:line="240" w:lineRule="auto"/>
                    <w:ind w:firstLine="0" w:firstLineChars="0"/>
                    <w:rPr>
                      <w:sz w:val="21"/>
                      <w:szCs w:val="21"/>
                    </w:rPr>
                  </w:pPr>
                  <w:r>
                    <w:rPr>
                      <w:rFonts w:hint="eastAsia"/>
                      <w:sz w:val="21"/>
                      <w:szCs w:val="21"/>
                    </w:rPr>
                    <w:t>项目排水经医院污水处理系统处理，出水满足《医疗机构水污染物排放标准》（GB18466-2005）表2中预处理标准及石家庄高新区污水处理厂协议水质标准后，经市政管网排入石家庄高新区污水处理厂进一步处理。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490" w:type="dxa"/>
                  <w:vMerge w:val="continue"/>
                  <w:vAlign w:val="center"/>
                </w:tcPr>
                <w:p>
                  <w:pPr>
                    <w:spacing w:line="240" w:lineRule="auto"/>
                    <w:ind w:firstLine="0" w:firstLineChars="0"/>
                    <w:jc w:val="center"/>
                    <w:rPr>
                      <w:sz w:val="21"/>
                      <w:szCs w:val="21"/>
                    </w:rPr>
                  </w:pPr>
                </w:p>
              </w:tc>
              <w:tc>
                <w:tcPr>
                  <w:tcW w:w="851" w:type="dxa"/>
                  <w:vAlign w:val="center"/>
                </w:tcPr>
                <w:p>
                  <w:pPr>
                    <w:spacing w:line="240" w:lineRule="auto"/>
                    <w:ind w:firstLine="0" w:firstLineChars="0"/>
                    <w:jc w:val="center"/>
                    <w:rPr>
                      <w:sz w:val="21"/>
                      <w:szCs w:val="21"/>
                    </w:rPr>
                  </w:pPr>
                  <w:r>
                    <w:rPr>
                      <w:rFonts w:hint="eastAsia"/>
                      <w:sz w:val="21"/>
                      <w:szCs w:val="21"/>
                    </w:rPr>
                    <w:t>供电</w:t>
                  </w:r>
                </w:p>
              </w:tc>
              <w:tc>
                <w:tcPr>
                  <w:tcW w:w="7390" w:type="dxa"/>
                  <w:gridSpan w:val="2"/>
                  <w:vAlign w:val="center"/>
                </w:tcPr>
                <w:p>
                  <w:pPr>
                    <w:spacing w:line="240" w:lineRule="auto"/>
                    <w:ind w:firstLine="0" w:firstLineChars="0"/>
                    <w:rPr>
                      <w:sz w:val="21"/>
                      <w:szCs w:val="21"/>
                    </w:rPr>
                  </w:pPr>
                  <w:r>
                    <w:rPr>
                      <w:rFonts w:hint="eastAsia"/>
                      <w:sz w:val="21"/>
                      <w:szCs w:val="21"/>
                    </w:rPr>
                    <w:t>由市政电网供电，用电量80万kWh/a。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490" w:type="dxa"/>
                  <w:vMerge w:val="continue"/>
                  <w:vAlign w:val="center"/>
                </w:tcPr>
                <w:p>
                  <w:pPr>
                    <w:spacing w:line="240" w:lineRule="auto"/>
                    <w:ind w:firstLine="0" w:firstLineChars="0"/>
                    <w:jc w:val="center"/>
                    <w:rPr>
                      <w:sz w:val="21"/>
                      <w:szCs w:val="21"/>
                    </w:rPr>
                  </w:pPr>
                </w:p>
              </w:tc>
              <w:tc>
                <w:tcPr>
                  <w:tcW w:w="851" w:type="dxa"/>
                  <w:vAlign w:val="center"/>
                </w:tcPr>
                <w:p>
                  <w:pPr>
                    <w:spacing w:line="240" w:lineRule="auto"/>
                    <w:ind w:firstLine="0" w:firstLineChars="0"/>
                    <w:jc w:val="center"/>
                    <w:rPr>
                      <w:sz w:val="21"/>
                      <w:szCs w:val="21"/>
                    </w:rPr>
                  </w:pPr>
                  <w:r>
                    <w:rPr>
                      <w:rFonts w:hint="eastAsia"/>
                      <w:sz w:val="21"/>
                      <w:szCs w:val="21"/>
                    </w:rPr>
                    <w:t>供热制冷</w:t>
                  </w:r>
                </w:p>
              </w:tc>
              <w:tc>
                <w:tcPr>
                  <w:tcW w:w="7390" w:type="dxa"/>
                  <w:gridSpan w:val="2"/>
                  <w:vAlign w:val="center"/>
                </w:tcPr>
                <w:p>
                  <w:pPr>
                    <w:spacing w:line="240" w:lineRule="auto"/>
                    <w:ind w:firstLine="0" w:firstLineChars="0"/>
                    <w:rPr>
                      <w:sz w:val="21"/>
                      <w:szCs w:val="21"/>
                    </w:rPr>
                  </w:pPr>
                  <w:r>
                    <w:rPr>
                      <w:rFonts w:hint="eastAsia"/>
                      <w:sz w:val="21"/>
                      <w:szCs w:val="21"/>
                    </w:rPr>
                    <w:t>冬季供暖由市政供热系统及空调系统提供，四季热水由电热水器提供，</w:t>
                  </w:r>
                  <w:bookmarkStart w:id="3" w:name="OLE_LINK6"/>
                  <w:bookmarkStart w:id="4" w:name="OLE_LINK7"/>
                  <w:r>
                    <w:rPr>
                      <w:rFonts w:hint="eastAsia"/>
                      <w:sz w:val="21"/>
                      <w:szCs w:val="21"/>
                    </w:rPr>
                    <w:t>制冷由空调系统提供</w:t>
                  </w:r>
                  <w:bookmarkEnd w:id="3"/>
                  <w:bookmarkEnd w:id="4"/>
                  <w:r>
                    <w:rPr>
                      <w:rFonts w:hint="eastAsia"/>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490" w:type="dxa"/>
                  <w:vMerge w:val="restart"/>
                  <w:vAlign w:val="center"/>
                </w:tcPr>
                <w:p>
                  <w:pPr>
                    <w:spacing w:line="240" w:lineRule="auto"/>
                    <w:ind w:firstLine="0" w:firstLineChars="0"/>
                    <w:jc w:val="center"/>
                    <w:rPr>
                      <w:sz w:val="21"/>
                      <w:szCs w:val="21"/>
                    </w:rPr>
                  </w:pPr>
                  <w:r>
                    <w:rPr>
                      <w:rFonts w:hint="eastAsia"/>
                      <w:sz w:val="21"/>
                      <w:szCs w:val="21"/>
                    </w:rPr>
                    <w:t>储运</w:t>
                  </w:r>
                </w:p>
                <w:p>
                  <w:pPr>
                    <w:spacing w:line="240" w:lineRule="auto"/>
                    <w:ind w:firstLine="0" w:firstLineChars="0"/>
                    <w:jc w:val="center"/>
                    <w:rPr>
                      <w:sz w:val="21"/>
                      <w:szCs w:val="21"/>
                    </w:rPr>
                  </w:pPr>
                  <w:r>
                    <w:rPr>
                      <w:rFonts w:hint="eastAsia"/>
                      <w:sz w:val="21"/>
                      <w:szCs w:val="21"/>
                    </w:rPr>
                    <w:t>工程</w:t>
                  </w:r>
                </w:p>
              </w:tc>
              <w:tc>
                <w:tcPr>
                  <w:tcW w:w="851" w:type="dxa"/>
                  <w:vAlign w:val="center"/>
                </w:tcPr>
                <w:p>
                  <w:pPr>
                    <w:spacing w:line="240" w:lineRule="auto"/>
                    <w:ind w:firstLine="0" w:firstLineChars="0"/>
                    <w:jc w:val="left"/>
                    <w:rPr>
                      <w:sz w:val="21"/>
                      <w:szCs w:val="21"/>
                    </w:rPr>
                  </w:pPr>
                  <w:r>
                    <w:rPr>
                      <w:rFonts w:hint="eastAsia"/>
                      <w:sz w:val="21"/>
                      <w:szCs w:val="21"/>
                    </w:rPr>
                    <w:t>医疗废物暂存间</w:t>
                  </w:r>
                </w:p>
              </w:tc>
              <w:tc>
                <w:tcPr>
                  <w:tcW w:w="7390" w:type="dxa"/>
                  <w:gridSpan w:val="2"/>
                  <w:vAlign w:val="center"/>
                </w:tcPr>
                <w:p>
                  <w:pPr>
                    <w:spacing w:line="240" w:lineRule="auto"/>
                    <w:ind w:firstLine="0" w:firstLineChars="0"/>
                    <w:rPr>
                      <w:sz w:val="21"/>
                      <w:szCs w:val="21"/>
                    </w:rPr>
                  </w:pPr>
                  <w:r>
                    <w:rPr>
                      <w:rFonts w:hint="eastAsia"/>
                      <w:sz w:val="21"/>
                      <w:szCs w:val="21"/>
                    </w:rPr>
                    <w:t>在医院1层设置1间医疗废物暂存间，建筑面积5m</w:t>
                  </w:r>
                  <w:r>
                    <w:rPr>
                      <w:rFonts w:hint="eastAsia"/>
                      <w:sz w:val="21"/>
                      <w:szCs w:val="21"/>
                      <w:vertAlign w:val="superscript"/>
                    </w:rPr>
                    <w:t>2</w:t>
                  </w:r>
                  <w:r>
                    <w:rPr>
                      <w:rFonts w:hint="eastAsia"/>
                      <w:sz w:val="21"/>
                      <w:szCs w:val="21"/>
                    </w:rPr>
                    <w:t>，用于储存医院日常产生的医疗废物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490" w:type="dxa"/>
                  <w:vMerge w:val="continue"/>
                  <w:vAlign w:val="center"/>
                </w:tcPr>
                <w:p>
                  <w:pPr>
                    <w:spacing w:line="240" w:lineRule="auto"/>
                    <w:ind w:firstLine="0" w:firstLineChars="0"/>
                    <w:jc w:val="center"/>
                    <w:rPr>
                      <w:sz w:val="21"/>
                      <w:szCs w:val="21"/>
                    </w:rPr>
                  </w:pPr>
                </w:p>
              </w:tc>
              <w:tc>
                <w:tcPr>
                  <w:tcW w:w="851" w:type="dxa"/>
                  <w:vAlign w:val="center"/>
                </w:tcPr>
                <w:p>
                  <w:pPr>
                    <w:spacing w:line="240" w:lineRule="auto"/>
                    <w:ind w:firstLine="0" w:firstLineChars="0"/>
                    <w:jc w:val="left"/>
                    <w:rPr>
                      <w:sz w:val="21"/>
                      <w:szCs w:val="21"/>
                    </w:rPr>
                  </w:pPr>
                  <w:r>
                    <w:rPr>
                      <w:rFonts w:hint="eastAsia"/>
                      <w:sz w:val="21"/>
                      <w:szCs w:val="21"/>
                    </w:rPr>
                    <w:t>危险废物暂存间</w:t>
                  </w:r>
                </w:p>
              </w:tc>
              <w:tc>
                <w:tcPr>
                  <w:tcW w:w="7390" w:type="dxa"/>
                  <w:gridSpan w:val="2"/>
                  <w:vAlign w:val="center"/>
                </w:tcPr>
                <w:p>
                  <w:pPr>
                    <w:spacing w:line="240" w:lineRule="auto"/>
                    <w:ind w:firstLine="0" w:firstLineChars="0"/>
                    <w:rPr>
                      <w:sz w:val="21"/>
                      <w:szCs w:val="21"/>
                    </w:rPr>
                  </w:pPr>
                  <w:r>
                    <w:rPr>
                      <w:rFonts w:hint="eastAsia"/>
                      <w:sz w:val="21"/>
                      <w:szCs w:val="21"/>
                    </w:rPr>
                    <w:t>在医院1层设置1间医疗废物暂存间，建筑面积4m</w:t>
                  </w:r>
                  <w:r>
                    <w:rPr>
                      <w:rFonts w:hint="eastAsia"/>
                      <w:sz w:val="21"/>
                      <w:szCs w:val="21"/>
                      <w:vertAlign w:val="superscript"/>
                    </w:rPr>
                    <w:t>2</w:t>
                  </w:r>
                  <w:r>
                    <w:rPr>
                      <w:rFonts w:hint="eastAsia"/>
                      <w:sz w:val="21"/>
                      <w:szCs w:val="21"/>
                    </w:rPr>
                    <w:t>，用于储存医院日常产生的除医疗废物外的危险废物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490" w:type="dxa"/>
                  <w:vMerge w:val="continue"/>
                  <w:vAlign w:val="center"/>
                </w:tcPr>
                <w:p>
                  <w:pPr>
                    <w:spacing w:line="240" w:lineRule="auto"/>
                    <w:ind w:firstLine="0" w:firstLineChars="0"/>
                    <w:jc w:val="center"/>
                    <w:rPr>
                      <w:sz w:val="21"/>
                      <w:szCs w:val="21"/>
                    </w:rPr>
                  </w:pPr>
                </w:p>
              </w:tc>
              <w:tc>
                <w:tcPr>
                  <w:tcW w:w="851" w:type="dxa"/>
                  <w:vAlign w:val="center"/>
                </w:tcPr>
                <w:p>
                  <w:pPr>
                    <w:spacing w:line="240" w:lineRule="auto"/>
                    <w:ind w:firstLine="0" w:firstLineChars="0"/>
                    <w:jc w:val="center"/>
                    <w:rPr>
                      <w:sz w:val="21"/>
                      <w:szCs w:val="21"/>
                    </w:rPr>
                  </w:pPr>
                  <w:r>
                    <w:rPr>
                      <w:rFonts w:hint="eastAsia"/>
                      <w:sz w:val="21"/>
                      <w:szCs w:val="21"/>
                    </w:rPr>
                    <w:t>仓库</w:t>
                  </w:r>
                </w:p>
              </w:tc>
              <w:tc>
                <w:tcPr>
                  <w:tcW w:w="7390" w:type="dxa"/>
                  <w:gridSpan w:val="2"/>
                  <w:vAlign w:val="center"/>
                </w:tcPr>
                <w:p>
                  <w:pPr>
                    <w:spacing w:line="240" w:lineRule="auto"/>
                    <w:ind w:firstLine="0" w:firstLineChars="0"/>
                    <w:rPr>
                      <w:sz w:val="21"/>
                      <w:szCs w:val="21"/>
                    </w:rPr>
                  </w:pPr>
                  <w:r>
                    <w:rPr>
                      <w:rFonts w:hint="eastAsia"/>
                      <w:sz w:val="21"/>
                      <w:szCs w:val="21"/>
                    </w:rPr>
                    <w:t>在医院2层设置1间仓库，建筑面积24m</w:t>
                  </w:r>
                  <w:r>
                    <w:rPr>
                      <w:rFonts w:hint="eastAsia"/>
                      <w:sz w:val="21"/>
                      <w:szCs w:val="21"/>
                      <w:vertAlign w:val="superscript"/>
                    </w:rPr>
                    <w:t>2</w:t>
                  </w:r>
                  <w:r>
                    <w:rPr>
                      <w:rFonts w:hint="eastAsia"/>
                      <w:sz w:val="21"/>
                      <w:szCs w:val="21"/>
                    </w:rPr>
                    <w:t>，用于储存医务用品。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490" w:type="dxa"/>
                  <w:vMerge w:val="restart"/>
                  <w:vAlign w:val="center"/>
                </w:tcPr>
                <w:p>
                  <w:pPr>
                    <w:spacing w:line="240" w:lineRule="auto"/>
                    <w:ind w:firstLine="0" w:firstLineChars="0"/>
                    <w:jc w:val="center"/>
                    <w:rPr>
                      <w:sz w:val="21"/>
                      <w:szCs w:val="21"/>
                    </w:rPr>
                  </w:pPr>
                  <w:r>
                    <w:rPr>
                      <w:rFonts w:hint="eastAsia"/>
                      <w:sz w:val="21"/>
                      <w:szCs w:val="21"/>
                    </w:rPr>
                    <w:t>环保</w:t>
                  </w:r>
                </w:p>
                <w:p>
                  <w:pPr>
                    <w:spacing w:line="240" w:lineRule="auto"/>
                    <w:ind w:firstLine="0" w:firstLineChars="0"/>
                    <w:jc w:val="center"/>
                    <w:rPr>
                      <w:sz w:val="21"/>
                      <w:szCs w:val="21"/>
                    </w:rPr>
                  </w:pPr>
                  <w:r>
                    <w:rPr>
                      <w:rFonts w:hint="eastAsia"/>
                      <w:sz w:val="21"/>
                      <w:szCs w:val="21"/>
                    </w:rPr>
                    <w:t>工程</w:t>
                  </w:r>
                </w:p>
              </w:tc>
              <w:tc>
                <w:tcPr>
                  <w:tcW w:w="851" w:type="dxa"/>
                  <w:vAlign w:val="center"/>
                </w:tcPr>
                <w:p>
                  <w:pPr>
                    <w:spacing w:line="240" w:lineRule="auto"/>
                    <w:ind w:firstLine="0" w:firstLineChars="0"/>
                    <w:jc w:val="center"/>
                    <w:rPr>
                      <w:sz w:val="21"/>
                      <w:szCs w:val="21"/>
                    </w:rPr>
                  </w:pPr>
                  <w:r>
                    <w:rPr>
                      <w:rFonts w:hint="eastAsia"/>
                      <w:sz w:val="21"/>
                      <w:szCs w:val="21"/>
                    </w:rPr>
                    <w:t>废气处理</w:t>
                  </w:r>
                </w:p>
              </w:tc>
              <w:tc>
                <w:tcPr>
                  <w:tcW w:w="7390" w:type="dxa"/>
                  <w:gridSpan w:val="2"/>
                  <w:vAlign w:val="center"/>
                </w:tcPr>
                <w:p>
                  <w:pPr>
                    <w:spacing w:line="240" w:lineRule="auto"/>
                    <w:ind w:firstLine="0" w:firstLineChars="0"/>
                    <w:jc w:val="left"/>
                    <w:rPr>
                      <w:sz w:val="21"/>
                      <w:szCs w:val="21"/>
                    </w:rPr>
                  </w:pPr>
                  <w:r>
                    <w:rPr>
                      <w:rFonts w:hint="eastAsia"/>
                      <w:sz w:val="21"/>
                      <w:szCs w:val="21"/>
                    </w:rPr>
                    <w:t>煎药废气经集气罩收集后与污水处理站经管道收集的恶臭气体共同由管道引入二级活性炭吸附装置处理后经15m排气筒排放（DA001）。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490" w:type="dxa"/>
                  <w:vMerge w:val="continue"/>
                  <w:vAlign w:val="center"/>
                </w:tcPr>
                <w:p>
                  <w:pPr>
                    <w:spacing w:line="240" w:lineRule="auto"/>
                    <w:ind w:firstLine="0" w:firstLineChars="0"/>
                    <w:jc w:val="center"/>
                    <w:rPr>
                      <w:sz w:val="21"/>
                      <w:szCs w:val="21"/>
                    </w:rPr>
                  </w:pPr>
                </w:p>
              </w:tc>
              <w:tc>
                <w:tcPr>
                  <w:tcW w:w="851" w:type="dxa"/>
                  <w:vAlign w:val="center"/>
                </w:tcPr>
                <w:p>
                  <w:pPr>
                    <w:spacing w:line="240" w:lineRule="auto"/>
                    <w:ind w:firstLine="0" w:firstLineChars="0"/>
                    <w:jc w:val="center"/>
                    <w:rPr>
                      <w:sz w:val="21"/>
                      <w:szCs w:val="21"/>
                    </w:rPr>
                  </w:pPr>
                  <w:r>
                    <w:rPr>
                      <w:rFonts w:hint="eastAsia"/>
                      <w:sz w:val="21"/>
                      <w:szCs w:val="21"/>
                    </w:rPr>
                    <w:t>废水处理</w:t>
                  </w:r>
                </w:p>
              </w:tc>
              <w:tc>
                <w:tcPr>
                  <w:tcW w:w="7390" w:type="dxa"/>
                  <w:gridSpan w:val="2"/>
                  <w:vAlign w:val="center"/>
                </w:tcPr>
                <w:p>
                  <w:pPr>
                    <w:spacing w:line="240" w:lineRule="auto"/>
                    <w:ind w:firstLine="0" w:firstLineChars="0"/>
                    <w:jc w:val="left"/>
                    <w:rPr>
                      <w:sz w:val="21"/>
                      <w:szCs w:val="21"/>
                    </w:rPr>
                  </w:pPr>
                  <w:r>
                    <w:rPr>
                      <w:rFonts w:hint="eastAsia"/>
                      <w:sz w:val="21"/>
                      <w:szCs w:val="21"/>
                    </w:rPr>
                    <w:t>在1层建设一座污水处理间，检验设备清洗废水经酸碱中和处理后与其他废水共同经化粪池+污水处理设备处理达标后再经市政管网排入石家庄高新区污水处理厂进一步处理。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490" w:type="dxa"/>
                  <w:vMerge w:val="continue"/>
                  <w:vAlign w:val="center"/>
                </w:tcPr>
                <w:p>
                  <w:pPr>
                    <w:spacing w:line="240" w:lineRule="auto"/>
                    <w:ind w:firstLine="0" w:firstLineChars="0"/>
                    <w:jc w:val="center"/>
                    <w:rPr>
                      <w:sz w:val="21"/>
                      <w:szCs w:val="21"/>
                    </w:rPr>
                  </w:pPr>
                </w:p>
              </w:tc>
              <w:tc>
                <w:tcPr>
                  <w:tcW w:w="851" w:type="dxa"/>
                  <w:vAlign w:val="center"/>
                </w:tcPr>
                <w:p>
                  <w:pPr>
                    <w:spacing w:line="240" w:lineRule="auto"/>
                    <w:ind w:firstLine="0" w:firstLineChars="0"/>
                    <w:jc w:val="center"/>
                    <w:rPr>
                      <w:sz w:val="21"/>
                      <w:szCs w:val="21"/>
                    </w:rPr>
                  </w:pPr>
                  <w:r>
                    <w:rPr>
                      <w:rFonts w:hint="eastAsia"/>
                      <w:sz w:val="21"/>
                      <w:szCs w:val="21"/>
                    </w:rPr>
                    <w:t>噪声控制</w:t>
                  </w:r>
                </w:p>
              </w:tc>
              <w:tc>
                <w:tcPr>
                  <w:tcW w:w="7390" w:type="dxa"/>
                  <w:gridSpan w:val="2"/>
                  <w:vAlign w:val="center"/>
                </w:tcPr>
                <w:p>
                  <w:pPr>
                    <w:adjustRightInd w:val="0"/>
                    <w:snapToGrid w:val="0"/>
                    <w:spacing w:line="240" w:lineRule="auto"/>
                    <w:ind w:firstLine="0" w:firstLineChars="0"/>
                    <w:rPr>
                      <w:sz w:val="21"/>
                      <w:szCs w:val="21"/>
                      <w:highlight w:val="yellow"/>
                    </w:rPr>
                  </w:pPr>
                  <w:r>
                    <w:rPr>
                      <w:rFonts w:hint="eastAsia"/>
                      <w:sz w:val="21"/>
                      <w:szCs w:val="21"/>
                    </w:rPr>
                    <w:t>项目选用低噪声设备，运行过程中产生的噪声采用基础减振、建筑隔声的措施。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490" w:type="dxa"/>
                  <w:vMerge w:val="continue"/>
                  <w:vAlign w:val="center"/>
                </w:tcPr>
                <w:p>
                  <w:pPr>
                    <w:spacing w:line="240" w:lineRule="auto"/>
                    <w:ind w:firstLine="0" w:firstLineChars="0"/>
                    <w:jc w:val="center"/>
                    <w:rPr>
                      <w:sz w:val="21"/>
                      <w:szCs w:val="21"/>
                    </w:rPr>
                  </w:pPr>
                </w:p>
              </w:tc>
              <w:tc>
                <w:tcPr>
                  <w:tcW w:w="851" w:type="dxa"/>
                  <w:vAlign w:val="center"/>
                </w:tcPr>
                <w:p>
                  <w:pPr>
                    <w:spacing w:line="240" w:lineRule="auto"/>
                    <w:ind w:firstLine="0" w:firstLineChars="0"/>
                    <w:jc w:val="left"/>
                    <w:rPr>
                      <w:sz w:val="21"/>
                      <w:szCs w:val="21"/>
                    </w:rPr>
                  </w:pPr>
                  <w:r>
                    <w:rPr>
                      <w:rFonts w:hint="eastAsia"/>
                      <w:sz w:val="21"/>
                      <w:szCs w:val="21"/>
                    </w:rPr>
                    <w:t>固废处理处置</w:t>
                  </w:r>
                </w:p>
              </w:tc>
              <w:tc>
                <w:tcPr>
                  <w:tcW w:w="7390" w:type="dxa"/>
                  <w:gridSpan w:val="2"/>
                  <w:vAlign w:val="center"/>
                </w:tcPr>
                <w:p>
                  <w:pPr>
                    <w:spacing w:line="240" w:lineRule="auto"/>
                    <w:ind w:firstLine="0" w:firstLineChars="0"/>
                    <w:jc w:val="left"/>
                    <w:rPr>
                      <w:sz w:val="21"/>
                      <w:szCs w:val="21"/>
                    </w:rPr>
                  </w:pPr>
                  <w:r>
                    <w:rPr>
                      <w:rFonts w:hint="eastAsia"/>
                      <w:sz w:val="21"/>
                      <w:szCs w:val="21"/>
                    </w:rPr>
                    <w:t>项目产生的固废主要包括：生活垃圾、医疗废物（含废药品）、中药渣、医疗耗材和药品外包装、污水处理污泥和栅渣（含化粪池污泥、栅渣）、废活性炭、软水制备废树脂、污水处理等过程使用的药剂废包装、污水处理在线监测废液。</w:t>
                  </w:r>
                </w:p>
                <w:p>
                  <w:pPr>
                    <w:spacing w:line="240" w:lineRule="auto"/>
                    <w:ind w:firstLine="0" w:firstLineChars="0"/>
                    <w:jc w:val="left"/>
                    <w:rPr>
                      <w:sz w:val="21"/>
                      <w:szCs w:val="21"/>
                    </w:rPr>
                  </w:pPr>
                  <w:r>
                    <w:rPr>
                      <w:rFonts w:hint="eastAsia"/>
                      <w:sz w:val="21"/>
                      <w:szCs w:val="21"/>
                    </w:rPr>
                    <w:t>生活垃圾由环卫部门每日清运；中药渣集中收集至密闭塑料桶内，由肥料生产企业定期拉运制作肥料；医疗耗材和药品的外包装收集后交物资回收部门回收；软水制备废树脂由厂家更换回收；医疗废物（含废药品）分类收集并暂存于医废暂存间，定期交有资质单位处置；污水处理等过程使用的药剂废包装暂存于危废暂存间，定期交有资质单位处置；污水处理污泥（含化粪池污泥、栅渣）暂存于医废间，定期交有资质单位处置；废活性炭暂存于危废暂存间，定期交有资质单位处置；污水处理在线检测废液收集后暂存于危废间，定期交有资质单位处置。</w:t>
                  </w:r>
                </w:p>
              </w:tc>
            </w:tr>
          </w:tbl>
          <w:p>
            <w:pPr>
              <w:spacing w:line="340" w:lineRule="exact"/>
              <w:ind w:left="24" w:leftChars="10" w:firstLine="0" w:firstLineChars="0"/>
              <w:jc w:val="left"/>
              <w:rPr>
                <w:b/>
              </w:rPr>
            </w:pPr>
            <w:r>
              <w:rPr>
                <w:rFonts w:hint="eastAsia"/>
                <w:b/>
              </w:rPr>
              <w:t>3、主要生产设备</w:t>
            </w:r>
          </w:p>
          <w:p>
            <w:pPr>
              <w:ind w:left="48" w:leftChars="20" w:right="48" w:rightChars="20" w:firstLine="480"/>
              <w:jc w:val="left"/>
            </w:pPr>
            <w:r>
              <w:rPr>
                <w:rFonts w:hint="eastAsia"/>
              </w:rPr>
              <w:t>项目主要设备情况见下表。</w:t>
            </w:r>
          </w:p>
          <w:p>
            <w:pPr>
              <w:pStyle w:val="14"/>
            </w:pPr>
            <w:r>
              <w:rPr>
                <w:rFonts w:hint="eastAsia"/>
              </w:rPr>
              <w:t xml:space="preserve">表7  医院主要设备一览表  </w:t>
            </w:r>
          </w:p>
          <w:tbl>
            <w:tblPr>
              <w:tblStyle w:val="17"/>
              <w:tblW w:w="494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244"/>
              <w:gridCol w:w="562"/>
              <w:gridCol w:w="1698"/>
              <w:gridCol w:w="1134"/>
              <w:gridCol w:w="851"/>
              <w:gridCol w:w="285"/>
              <w:gridCol w:w="388"/>
              <w:gridCol w:w="1380"/>
              <w:gridCol w:w="1417"/>
              <w:gridCol w:w="8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39" w:type="pct"/>
                  <w:vAlign w:val="center"/>
                </w:tcPr>
                <w:p>
                  <w:pPr>
                    <w:spacing w:line="240" w:lineRule="auto"/>
                    <w:ind w:right="24" w:rightChars="10" w:firstLine="0" w:firstLineChars="0"/>
                    <w:jc w:val="center"/>
                    <w:rPr>
                      <w:sz w:val="21"/>
                      <w:szCs w:val="21"/>
                    </w:rPr>
                  </w:pPr>
                  <w:r>
                    <w:rPr>
                      <w:rFonts w:hint="eastAsia"/>
                      <w:sz w:val="21"/>
                      <w:szCs w:val="21"/>
                    </w:rPr>
                    <w:t>序号</w:t>
                  </w:r>
                </w:p>
              </w:tc>
              <w:tc>
                <w:tcPr>
                  <w:tcW w:w="1286" w:type="pct"/>
                  <w:gridSpan w:val="2"/>
                  <w:vAlign w:val="center"/>
                </w:tcPr>
                <w:p>
                  <w:pPr>
                    <w:spacing w:line="240" w:lineRule="auto"/>
                    <w:ind w:right="24" w:rightChars="10" w:firstLine="0" w:firstLineChars="0"/>
                    <w:jc w:val="center"/>
                    <w:rPr>
                      <w:sz w:val="21"/>
                      <w:szCs w:val="21"/>
                    </w:rPr>
                  </w:pPr>
                  <w:r>
                    <w:rPr>
                      <w:rFonts w:hint="eastAsia"/>
                      <w:sz w:val="21"/>
                      <w:szCs w:val="21"/>
                    </w:rPr>
                    <w:t>仪器</w:t>
                  </w:r>
                </w:p>
              </w:tc>
              <w:tc>
                <w:tcPr>
                  <w:tcW w:w="645" w:type="pct"/>
                  <w:vAlign w:val="center"/>
                </w:tcPr>
                <w:p>
                  <w:pPr>
                    <w:spacing w:line="240" w:lineRule="auto"/>
                    <w:ind w:right="24" w:rightChars="10" w:firstLine="0" w:firstLineChars="0"/>
                    <w:jc w:val="center"/>
                    <w:rPr>
                      <w:sz w:val="21"/>
                      <w:szCs w:val="21"/>
                    </w:rPr>
                  </w:pPr>
                  <w:r>
                    <w:rPr>
                      <w:rFonts w:hint="eastAsia"/>
                      <w:sz w:val="21"/>
                      <w:szCs w:val="21"/>
                    </w:rPr>
                    <w:t>型号</w:t>
                  </w:r>
                </w:p>
              </w:tc>
              <w:tc>
                <w:tcPr>
                  <w:tcW w:w="484" w:type="pct"/>
                  <w:tcBorders>
                    <w:right w:val="double" w:color="auto" w:sz="4" w:space="0"/>
                  </w:tcBorders>
                  <w:vAlign w:val="center"/>
                </w:tcPr>
                <w:p>
                  <w:pPr>
                    <w:spacing w:line="240" w:lineRule="auto"/>
                    <w:ind w:right="24" w:rightChars="10" w:firstLine="0" w:firstLineChars="0"/>
                    <w:jc w:val="center"/>
                    <w:rPr>
                      <w:sz w:val="21"/>
                      <w:szCs w:val="21"/>
                    </w:rPr>
                  </w:pPr>
                  <w:r>
                    <w:rPr>
                      <w:rFonts w:hint="eastAsia"/>
                      <w:sz w:val="21"/>
                      <w:szCs w:val="21"/>
                    </w:rPr>
                    <w:t>数量</w:t>
                  </w:r>
                </w:p>
                <w:p>
                  <w:pPr>
                    <w:spacing w:line="240" w:lineRule="auto"/>
                    <w:ind w:right="24" w:rightChars="10" w:firstLine="0" w:firstLineChars="0"/>
                    <w:jc w:val="center"/>
                    <w:rPr>
                      <w:sz w:val="21"/>
                      <w:szCs w:val="21"/>
                    </w:rPr>
                  </w:pPr>
                  <w:r>
                    <w:rPr>
                      <w:rFonts w:hint="eastAsia"/>
                      <w:sz w:val="21"/>
                      <w:szCs w:val="21"/>
                    </w:rPr>
                    <w:t>（台/套）</w:t>
                  </w:r>
                </w:p>
              </w:tc>
              <w:tc>
                <w:tcPr>
                  <w:tcW w:w="162" w:type="pct"/>
                  <w:tcBorders>
                    <w:left w:val="double" w:color="auto" w:sz="4" w:space="0"/>
                    <w:right w:val="single" w:color="auto" w:sz="4" w:space="0"/>
                  </w:tcBorders>
                  <w:vAlign w:val="center"/>
                </w:tcPr>
                <w:p>
                  <w:pPr>
                    <w:spacing w:line="240" w:lineRule="auto"/>
                    <w:ind w:right="24" w:rightChars="10" w:firstLine="0" w:firstLineChars="0"/>
                    <w:jc w:val="center"/>
                    <w:rPr>
                      <w:sz w:val="21"/>
                      <w:szCs w:val="21"/>
                    </w:rPr>
                  </w:pPr>
                  <w:r>
                    <w:rPr>
                      <w:rFonts w:hint="eastAsia"/>
                      <w:sz w:val="21"/>
                      <w:szCs w:val="21"/>
                    </w:rPr>
                    <w:t>序号</w:t>
                  </w:r>
                </w:p>
              </w:tc>
              <w:tc>
                <w:tcPr>
                  <w:tcW w:w="1006" w:type="pct"/>
                  <w:gridSpan w:val="2"/>
                  <w:tcBorders>
                    <w:right w:val="single" w:color="auto" w:sz="4" w:space="0"/>
                  </w:tcBorders>
                  <w:vAlign w:val="center"/>
                </w:tcPr>
                <w:p>
                  <w:pPr>
                    <w:spacing w:line="240" w:lineRule="auto"/>
                    <w:ind w:right="24" w:rightChars="10" w:firstLine="0" w:firstLineChars="0"/>
                    <w:jc w:val="center"/>
                    <w:rPr>
                      <w:sz w:val="21"/>
                      <w:szCs w:val="21"/>
                    </w:rPr>
                  </w:pPr>
                  <w:r>
                    <w:rPr>
                      <w:rFonts w:hint="eastAsia"/>
                      <w:sz w:val="21"/>
                      <w:szCs w:val="21"/>
                    </w:rPr>
                    <w:t>仪器</w:t>
                  </w:r>
                </w:p>
              </w:tc>
              <w:tc>
                <w:tcPr>
                  <w:tcW w:w="806" w:type="pct"/>
                  <w:vAlign w:val="center"/>
                </w:tcPr>
                <w:p>
                  <w:pPr>
                    <w:spacing w:line="240" w:lineRule="auto"/>
                    <w:ind w:right="24" w:rightChars="10" w:firstLine="0" w:firstLineChars="0"/>
                    <w:jc w:val="center"/>
                    <w:rPr>
                      <w:sz w:val="21"/>
                      <w:szCs w:val="21"/>
                    </w:rPr>
                  </w:pPr>
                  <w:r>
                    <w:rPr>
                      <w:rFonts w:hint="eastAsia"/>
                      <w:sz w:val="21"/>
                      <w:szCs w:val="21"/>
                    </w:rPr>
                    <w:t>型号</w:t>
                  </w:r>
                </w:p>
              </w:tc>
              <w:tc>
                <w:tcPr>
                  <w:tcW w:w="472" w:type="pct"/>
                  <w:tcBorders>
                    <w:right w:val="single" w:color="auto" w:sz="4" w:space="0"/>
                  </w:tcBorders>
                  <w:vAlign w:val="center"/>
                </w:tcPr>
                <w:p>
                  <w:pPr>
                    <w:spacing w:line="240" w:lineRule="auto"/>
                    <w:ind w:right="24" w:rightChars="10" w:firstLine="0" w:firstLineChars="0"/>
                    <w:jc w:val="center"/>
                    <w:rPr>
                      <w:sz w:val="21"/>
                      <w:szCs w:val="21"/>
                    </w:rPr>
                  </w:pPr>
                  <w:r>
                    <w:rPr>
                      <w:rFonts w:hint="eastAsia"/>
                      <w:sz w:val="21"/>
                      <w:szCs w:val="21"/>
                    </w:rPr>
                    <w:t>数量</w:t>
                  </w:r>
                </w:p>
                <w:p>
                  <w:pPr>
                    <w:spacing w:line="240" w:lineRule="auto"/>
                    <w:ind w:right="24" w:rightChars="10" w:firstLine="0" w:firstLineChars="0"/>
                    <w:jc w:val="center"/>
                    <w:rPr>
                      <w:sz w:val="21"/>
                      <w:szCs w:val="21"/>
                    </w:rPr>
                  </w:pPr>
                  <w:r>
                    <w:rPr>
                      <w:rFonts w:hint="eastAsia"/>
                      <w:sz w:val="21"/>
                      <w:szCs w:val="21"/>
                    </w:rPr>
                    <w:t>（台/套）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39" w:type="pct"/>
                  <w:vAlign w:val="center"/>
                </w:tcPr>
                <w:p>
                  <w:pPr>
                    <w:spacing w:line="240" w:lineRule="auto"/>
                    <w:ind w:right="24" w:rightChars="10" w:firstLine="0" w:firstLineChars="0"/>
                    <w:jc w:val="center"/>
                    <w:rPr>
                      <w:sz w:val="21"/>
                      <w:szCs w:val="21"/>
                    </w:rPr>
                  </w:pPr>
                  <w:r>
                    <w:rPr>
                      <w:rFonts w:hint="eastAsia"/>
                      <w:sz w:val="21"/>
                      <w:szCs w:val="21"/>
                    </w:rPr>
                    <w:t>1</w:t>
                  </w:r>
                </w:p>
              </w:tc>
              <w:tc>
                <w:tcPr>
                  <w:tcW w:w="320" w:type="pct"/>
                  <w:vAlign w:val="center"/>
                </w:tcPr>
                <w:p>
                  <w:pPr>
                    <w:spacing w:line="240" w:lineRule="auto"/>
                    <w:ind w:firstLine="0" w:firstLineChars="0"/>
                    <w:jc w:val="center"/>
                    <w:rPr>
                      <w:sz w:val="21"/>
                      <w:szCs w:val="21"/>
                    </w:rPr>
                  </w:pPr>
                  <w:r>
                    <w:rPr>
                      <w:rFonts w:hint="eastAsia"/>
                      <w:sz w:val="21"/>
                      <w:szCs w:val="21"/>
                    </w:rPr>
                    <w:t>放射科</w:t>
                  </w:r>
                </w:p>
              </w:tc>
              <w:tc>
                <w:tcPr>
                  <w:tcW w:w="966" w:type="pct"/>
                  <w:vAlign w:val="center"/>
                </w:tcPr>
                <w:p>
                  <w:pPr>
                    <w:spacing w:line="240" w:lineRule="auto"/>
                    <w:ind w:firstLine="0" w:firstLineChars="0"/>
                    <w:jc w:val="center"/>
                    <w:rPr>
                      <w:sz w:val="21"/>
                      <w:szCs w:val="21"/>
                    </w:rPr>
                  </w:pPr>
                  <w:r>
                    <w:rPr>
                      <w:rFonts w:hint="eastAsia"/>
                      <w:sz w:val="21"/>
                      <w:szCs w:val="21"/>
                    </w:rPr>
                    <w:t>DR系统</w:t>
                  </w:r>
                </w:p>
              </w:tc>
              <w:tc>
                <w:tcPr>
                  <w:tcW w:w="645" w:type="pct"/>
                  <w:vAlign w:val="center"/>
                </w:tcPr>
                <w:p>
                  <w:pPr>
                    <w:spacing w:line="240" w:lineRule="auto"/>
                    <w:ind w:right="24" w:rightChars="10" w:firstLine="0" w:firstLineChars="0"/>
                    <w:jc w:val="center"/>
                    <w:rPr>
                      <w:sz w:val="21"/>
                      <w:szCs w:val="21"/>
                    </w:rPr>
                  </w:pPr>
                  <w:r>
                    <w:rPr>
                      <w:rFonts w:hint="eastAsia"/>
                      <w:sz w:val="21"/>
                      <w:szCs w:val="21"/>
                    </w:rPr>
                    <w:t>RDR-1800</w:t>
                  </w:r>
                </w:p>
              </w:tc>
              <w:tc>
                <w:tcPr>
                  <w:tcW w:w="484" w:type="pct"/>
                  <w:tcBorders>
                    <w:right w:val="double" w:color="auto" w:sz="4" w:space="0"/>
                  </w:tcBorders>
                  <w:vAlign w:val="center"/>
                </w:tcPr>
                <w:p>
                  <w:pPr>
                    <w:spacing w:line="240" w:lineRule="auto"/>
                    <w:ind w:right="24" w:rightChars="10" w:firstLine="0" w:firstLineChars="0"/>
                    <w:jc w:val="center"/>
                    <w:rPr>
                      <w:sz w:val="21"/>
                      <w:szCs w:val="21"/>
                    </w:rPr>
                  </w:pPr>
                  <w:r>
                    <w:rPr>
                      <w:rFonts w:hint="eastAsia"/>
                      <w:sz w:val="21"/>
                      <w:szCs w:val="21"/>
                    </w:rPr>
                    <w:t>1</w:t>
                  </w:r>
                </w:p>
              </w:tc>
              <w:tc>
                <w:tcPr>
                  <w:tcW w:w="162" w:type="pct"/>
                  <w:tcBorders>
                    <w:left w:val="double" w:color="auto" w:sz="4" w:space="0"/>
                    <w:right w:val="single" w:color="auto" w:sz="4" w:space="0"/>
                  </w:tcBorders>
                  <w:vAlign w:val="center"/>
                </w:tcPr>
                <w:p>
                  <w:pPr>
                    <w:spacing w:line="240" w:lineRule="auto"/>
                    <w:ind w:right="24" w:rightChars="10" w:firstLine="0" w:firstLineChars="0"/>
                    <w:jc w:val="center"/>
                    <w:rPr>
                      <w:sz w:val="21"/>
                      <w:szCs w:val="21"/>
                    </w:rPr>
                  </w:pPr>
                  <w:r>
                    <w:rPr>
                      <w:rFonts w:hint="eastAsia"/>
                      <w:sz w:val="21"/>
                      <w:szCs w:val="21"/>
                    </w:rPr>
                    <w:t>17</w:t>
                  </w:r>
                </w:p>
              </w:tc>
              <w:tc>
                <w:tcPr>
                  <w:tcW w:w="221" w:type="pct"/>
                  <w:vMerge w:val="restart"/>
                  <w:tcBorders>
                    <w:right w:val="single" w:color="auto" w:sz="4" w:space="0"/>
                  </w:tcBorders>
                  <w:vAlign w:val="center"/>
                </w:tcPr>
                <w:p>
                  <w:pPr>
                    <w:spacing w:line="240" w:lineRule="auto"/>
                    <w:ind w:firstLine="0" w:firstLineChars="0"/>
                    <w:jc w:val="center"/>
                    <w:rPr>
                      <w:sz w:val="21"/>
                      <w:szCs w:val="21"/>
                    </w:rPr>
                  </w:pPr>
                  <w:r>
                    <w:rPr>
                      <w:rFonts w:hint="eastAsia"/>
                      <w:sz w:val="21"/>
                      <w:szCs w:val="21"/>
                    </w:rPr>
                    <w:t>污水处理间</w:t>
                  </w:r>
                </w:p>
              </w:tc>
              <w:tc>
                <w:tcPr>
                  <w:tcW w:w="785" w:type="pct"/>
                  <w:tcBorders>
                    <w:right w:val="single" w:color="auto" w:sz="4" w:space="0"/>
                  </w:tcBorders>
                  <w:vAlign w:val="center"/>
                </w:tcPr>
                <w:p>
                  <w:pPr>
                    <w:spacing w:line="240" w:lineRule="auto"/>
                    <w:ind w:firstLine="0" w:firstLineChars="0"/>
                    <w:jc w:val="center"/>
                    <w:rPr>
                      <w:sz w:val="21"/>
                      <w:szCs w:val="21"/>
                    </w:rPr>
                  </w:pPr>
                  <w:r>
                    <w:rPr>
                      <w:rFonts w:hint="eastAsia"/>
                      <w:sz w:val="21"/>
                      <w:szCs w:val="21"/>
                    </w:rPr>
                    <w:t>提升泵</w:t>
                  </w:r>
                </w:p>
              </w:tc>
              <w:tc>
                <w:tcPr>
                  <w:tcW w:w="806" w:type="pct"/>
                  <w:vAlign w:val="center"/>
                </w:tcPr>
                <w:p>
                  <w:pPr>
                    <w:spacing w:line="240" w:lineRule="auto"/>
                    <w:ind w:right="24" w:rightChars="10" w:firstLine="0" w:firstLineChars="0"/>
                    <w:jc w:val="center"/>
                    <w:rPr>
                      <w:sz w:val="21"/>
                      <w:szCs w:val="21"/>
                    </w:rPr>
                  </w:pPr>
                  <w:r>
                    <w:rPr>
                      <w:sz w:val="21"/>
                      <w:szCs w:val="21"/>
                    </w:rPr>
                    <w:t>50WQ15-22-2.2</w:t>
                  </w:r>
                </w:p>
              </w:tc>
              <w:tc>
                <w:tcPr>
                  <w:tcW w:w="472" w:type="pct"/>
                  <w:tcBorders>
                    <w:right w:val="single" w:color="auto" w:sz="4" w:space="0"/>
                  </w:tcBorders>
                  <w:vAlign w:val="center"/>
                </w:tcPr>
                <w:p>
                  <w:pPr>
                    <w:spacing w:line="240" w:lineRule="auto"/>
                    <w:ind w:right="24" w:rightChars="10" w:firstLine="0" w:firstLineChars="0"/>
                    <w:jc w:val="center"/>
                    <w:rPr>
                      <w:sz w:val="21"/>
                      <w:szCs w:val="21"/>
                    </w:rPr>
                  </w:pPr>
                  <w:r>
                    <w:rPr>
                      <w:rFonts w:hint="eastAsia"/>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39" w:type="pct"/>
                  <w:vAlign w:val="center"/>
                </w:tcPr>
                <w:p>
                  <w:pPr>
                    <w:spacing w:line="240" w:lineRule="auto"/>
                    <w:ind w:right="24" w:rightChars="10" w:firstLine="0" w:firstLineChars="0"/>
                    <w:jc w:val="center"/>
                    <w:rPr>
                      <w:sz w:val="21"/>
                      <w:szCs w:val="21"/>
                    </w:rPr>
                  </w:pPr>
                  <w:r>
                    <w:rPr>
                      <w:rFonts w:hint="eastAsia"/>
                      <w:sz w:val="21"/>
                      <w:szCs w:val="21"/>
                    </w:rPr>
                    <w:t>2</w:t>
                  </w:r>
                </w:p>
              </w:tc>
              <w:tc>
                <w:tcPr>
                  <w:tcW w:w="320" w:type="pct"/>
                  <w:vMerge w:val="restart"/>
                  <w:vAlign w:val="center"/>
                </w:tcPr>
                <w:p>
                  <w:pPr>
                    <w:spacing w:line="240" w:lineRule="auto"/>
                    <w:ind w:firstLine="0" w:firstLineChars="0"/>
                    <w:jc w:val="center"/>
                    <w:rPr>
                      <w:sz w:val="21"/>
                      <w:szCs w:val="21"/>
                    </w:rPr>
                  </w:pPr>
                  <w:r>
                    <w:rPr>
                      <w:rFonts w:hint="eastAsia"/>
                      <w:sz w:val="21"/>
                      <w:szCs w:val="21"/>
                    </w:rPr>
                    <w:t>心电图和彩超室</w:t>
                  </w:r>
                </w:p>
              </w:tc>
              <w:tc>
                <w:tcPr>
                  <w:tcW w:w="966" w:type="pct"/>
                  <w:vAlign w:val="center"/>
                </w:tcPr>
                <w:p>
                  <w:pPr>
                    <w:spacing w:line="240" w:lineRule="auto"/>
                    <w:ind w:firstLine="0" w:firstLineChars="0"/>
                    <w:jc w:val="center"/>
                    <w:rPr>
                      <w:sz w:val="21"/>
                      <w:szCs w:val="21"/>
                    </w:rPr>
                  </w:pPr>
                  <w:r>
                    <w:rPr>
                      <w:rFonts w:hint="eastAsia"/>
                      <w:sz w:val="21"/>
                      <w:szCs w:val="21"/>
                    </w:rPr>
                    <w:t>多道心电图机</w:t>
                  </w:r>
                </w:p>
              </w:tc>
              <w:tc>
                <w:tcPr>
                  <w:tcW w:w="645" w:type="pct"/>
                  <w:vAlign w:val="center"/>
                </w:tcPr>
                <w:p>
                  <w:pPr>
                    <w:spacing w:line="240" w:lineRule="auto"/>
                    <w:ind w:right="24" w:rightChars="10" w:firstLine="0" w:firstLineChars="0"/>
                    <w:jc w:val="center"/>
                    <w:rPr>
                      <w:sz w:val="21"/>
                      <w:szCs w:val="21"/>
                    </w:rPr>
                  </w:pPr>
                  <w:r>
                    <w:rPr>
                      <w:rFonts w:hint="eastAsia"/>
                      <w:sz w:val="21"/>
                      <w:szCs w:val="21"/>
                    </w:rPr>
                    <w:t>E12B</w:t>
                  </w:r>
                </w:p>
              </w:tc>
              <w:tc>
                <w:tcPr>
                  <w:tcW w:w="484" w:type="pct"/>
                  <w:tcBorders>
                    <w:right w:val="double" w:color="auto" w:sz="4" w:space="0"/>
                  </w:tcBorders>
                  <w:vAlign w:val="center"/>
                </w:tcPr>
                <w:p>
                  <w:pPr>
                    <w:spacing w:line="240" w:lineRule="auto"/>
                    <w:ind w:right="24" w:rightChars="10" w:firstLine="0" w:firstLineChars="0"/>
                    <w:jc w:val="center"/>
                    <w:rPr>
                      <w:sz w:val="21"/>
                      <w:szCs w:val="21"/>
                    </w:rPr>
                  </w:pPr>
                  <w:r>
                    <w:rPr>
                      <w:rFonts w:hint="eastAsia"/>
                      <w:sz w:val="21"/>
                      <w:szCs w:val="21"/>
                    </w:rPr>
                    <w:t>1</w:t>
                  </w:r>
                </w:p>
              </w:tc>
              <w:tc>
                <w:tcPr>
                  <w:tcW w:w="162" w:type="pct"/>
                  <w:tcBorders>
                    <w:left w:val="double" w:color="auto" w:sz="4" w:space="0"/>
                    <w:right w:val="single" w:color="auto" w:sz="4" w:space="0"/>
                  </w:tcBorders>
                  <w:vAlign w:val="center"/>
                </w:tcPr>
                <w:p>
                  <w:pPr>
                    <w:spacing w:line="240" w:lineRule="auto"/>
                    <w:ind w:right="24" w:rightChars="10" w:firstLine="0" w:firstLineChars="0"/>
                    <w:jc w:val="center"/>
                    <w:rPr>
                      <w:sz w:val="21"/>
                      <w:szCs w:val="21"/>
                    </w:rPr>
                  </w:pPr>
                  <w:r>
                    <w:rPr>
                      <w:rFonts w:hint="eastAsia"/>
                      <w:sz w:val="21"/>
                      <w:szCs w:val="21"/>
                    </w:rPr>
                    <w:t>18</w:t>
                  </w:r>
                </w:p>
              </w:tc>
              <w:tc>
                <w:tcPr>
                  <w:tcW w:w="221" w:type="pct"/>
                  <w:vMerge w:val="continue"/>
                  <w:tcBorders>
                    <w:right w:val="single" w:color="auto" w:sz="4" w:space="0"/>
                  </w:tcBorders>
                  <w:vAlign w:val="center"/>
                </w:tcPr>
                <w:p>
                  <w:pPr>
                    <w:spacing w:line="240" w:lineRule="auto"/>
                    <w:ind w:right="24" w:rightChars="10" w:firstLine="0" w:firstLineChars="0"/>
                    <w:jc w:val="center"/>
                    <w:rPr>
                      <w:sz w:val="21"/>
                      <w:szCs w:val="21"/>
                    </w:rPr>
                  </w:pPr>
                </w:p>
              </w:tc>
              <w:tc>
                <w:tcPr>
                  <w:tcW w:w="785" w:type="pct"/>
                  <w:tcBorders>
                    <w:right w:val="single" w:color="auto" w:sz="4" w:space="0"/>
                  </w:tcBorders>
                  <w:vAlign w:val="center"/>
                </w:tcPr>
                <w:p>
                  <w:pPr>
                    <w:spacing w:line="240" w:lineRule="auto"/>
                    <w:ind w:firstLine="0" w:firstLineChars="0"/>
                    <w:jc w:val="center"/>
                    <w:rPr>
                      <w:sz w:val="21"/>
                      <w:szCs w:val="21"/>
                    </w:rPr>
                  </w:pPr>
                  <w:r>
                    <w:rPr>
                      <w:rFonts w:hint="eastAsia"/>
                      <w:sz w:val="21"/>
                      <w:szCs w:val="21"/>
                    </w:rPr>
                    <w:t>液位控制器</w:t>
                  </w:r>
                </w:p>
              </w:tc>
              <w:tc>
                <w:tcPr>
                  <w:tcW w:w="806" w:type="pct"/>
                  <w:vAlign w:val="center"/>
                </w:tcPr>
                <w:p>
                  <w:pPr>
                    <w:spacing w:line="240" w:lineRule="auto"/>
                    <w:ind w:right="24" w:rightChars="10" w:firstLine="0" w:firstLineChars="0"/>
                    <w:jc w:val="center"/>
                    <w:rPr>
                      <w:sz w:val="21"/>
                      <w:szCs w:val="21"/>
                    </w:rPr>
                  </w:pPr>
                  <w:r>
                    <w:rPr>
                      <w:rFonts w:hint="eastAsia"/>
                      <w:sz w:val="21"/>
                      <w:szCs w:val="21"/>
                    </w:rPr>
                    <w:t>MHC3；0-5m</w:t>
                  </w:r>
                </w:p>
              </w:tc>
              <w:tc>
                <w:tcPr>
                  <w:tcW w:w="472" w:type="pct"/>
                  <w:tcBorders>
                    <w:right w:val="single" w:color="auto" w:sz="4" w:space="0"/>
                  </w:tcBorders>
                  <w:vAlign w:val="center"/>
                </w:tcPr>
                <w:p>
                  <w:pPr>
                    <w:spacing w:line="240" w:lineRule="auto"/>
                    <w:ind w:right="24" w:rightChars="10" w:firstLine="0" w:firstLineChars="0"/>
                    <w:jc w:val="center"/>
                    <w:rPr>
                      <w:sz w:val="21"/>
                      <w:szCs w:val="21"/>
                    </w:rPr>
                  </w:pPr>
                  <w:r>
                    <w:rPr>
                      <w:rFonts w:hint="eastAsia"/>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39" w:type="pct"/>
                  <w:vAlign w:val="center"/>
                </w:tcPr>
                <w:p>
                  <w:pPr>
                    <w:spacing w:line="240" w:lineRule="auto"/>
                    <w:ind w:right="24" w:rightChars="10" w:firstLine="0" w:firstLineChars="0"/>
                    <w:jc w:val="center"/>
                    <w:rPr>
                      <w:sz w:val="21"/>
                      <w:szCs w:val="21"/>
                    </w:rPr>
                  </w:pPr>
                  <w:r>
                    <w:rPr>
                      <w:rFonts w:hint="eastAsia"/>
                      <w:sz w:val="21"/>
                      <w:szCs w:val="21"/>
                    </w:rPr>
                    <w:t>3</w:t>
                  </w:r>
                </w:p>
              </w:tc>
              <w:tc>
                <w:tcPr>
                  <w:tcW w:w="320" w:type="pct"/>
                  <w:vMerge w:val="continue"/>
                  <w:vAlign w:val="center"/>
                </w:tcPr>
                <w:p>
                  <w:pPr>
                    <w:spacing w:line="240" w:lineRule="auto"/>
                    <w:ind w:firstLine="0" w:firstLineChars="0"/>
                    <w:jc w:val="center"/>
                    <w:rPr>
                      <w:sz w:val="21"/>
                      <w:szCs w:val="21"/>
                    </w:rPr>
                  </w:pPr>
                </w:p>
              </w:tc>
              <w:tc>
                <w:tcPr>
                  <w:tcW w:w="966" w:type="pct"/>
                  <w:vAlign w:val="center"/>
                </w:tcPr>
                <w:p>
                  <w:pPr>
                    <w:spacing w:line="240" w:lineRule="auto"/>
                    <w:ind w:firstLine="0" w:firstLineChars="0"/>
                    <w:jc w:val="center"/>
                    <w:rPr>
                      <w:sz w:val="21"/>
                      <w:szCs w:val="21"/>
                    </w:rPr>
                  </w:pPr>
                  <w:r>
                    <w:rPr>
                      <w:rFonts w:hint="eastAsia"/>
                      <w:sz w:val="21"/>
                      <w:szCs w:val="21"/>
                    </w:rPr>
                    <w:t>全数字彩色多普勒</w:t>
                  </w:r>
                  <w:r>
                    <w:rPr>
                      <w:sz w:val="21"/>
                      <w:szCs w:val="21"/>
                    </w:rPr>
                    <w:t>超声</w:t>
                  </w:r>
                </w:p>
              </w:tc>
              <w:tc>
                <w:tcPr>
                  <w:tcW w:w="645" w:type="pct"/>
                  <w:vAlign w:val="center"/>
                </w:tcPr>
                <w:p>
                  <w:pPr>
                    <w:spacing w:line="240" w:lineRule="auto"/>
                    <w:ind w:right="24" w:rightChars="10" w:firstLine="0" w:firstLineChars="0"/>
                    <w:jc w:val="center"/>
                    <w:rPr>
                      <w:sz w:val="21"/>
                      <w:szCs w:val="21"/>
                    </w:rPr>
                  </w:pPr>
                  <w:r>
                    <w:rPr>
                      <w:rFonts w:hint="eastAsia"/>
                      <w:sz w:val="21"/>
                      <w:szCs w:val="21"/>
                    </w:rPr>
                    <w:t>G70</w:t>
                  </w:r>
                </w:p>
              </w:tc>
              <w:tc>
                <w:tcPr>
                  <w:tcW w:w="484" w:type="pct"/>
                  <w:tcBorders>
                    <w:right w:val="double" w:color="auto" w:sz="4" w:space="0"/>
                  </w:tcBorders>
                  <w:vAlign w:val="center"/>
                </w:tcPr>
                <w:p>
                  <w:pPr>
                    <w:spacing w:line="240" w:lineRule="auto"/>
                    <w:ind w:right="24" w:rightChars="10" w:firstLine="0" w:firstLineChars="0"/>
                    <w:jc w:val="center"/>
                    <w:rPr>
                      <w:sz w:val="21"/>
                      <w:szCs w:val="21"/>
                    </w:rPr>
                  </w:pPr>
                  <w:r>
                    <w:rPr>
                      <w:rFonts w:hint="eastAsia"/>
                      <w:sz w:val="21"/>
                      <w:szCs w:val="21"/>
                    </w:rPr>
                    <w:t>1</w:t>
                  </w:r>
                </w:p>
              </w:tc>
              <w:tc>
                <w:tcPr>
                  <w:tcW w:w="162" w:type="pct"/>
                  <w:tcBorders>
                    <w:left w:val="double" w:color="auto" w:sz="4" w:space="0"/>
                    <w:right w:val="single" w:color="auto" w:sz="4" w:space="0"/>
                  </w:tcBorders>
                  <w:vAlign w:val="center"/>
                </w:tcPr>
                <w:p>
                  <w:pPr>
                    <w:spacing w:line="240" w:lineRule="auto"/>
                    <w:ind w:right="24" w:rightChars="10" w:firstLine="0" w:firstLineChars="0"/>
                    <w:jc w:val="center"/>
                    <w:rPr>
                      <w:sz w:val="21"/>
                      <w:szCs w:val="21"/>
                    </w:rPr>
                  </w:pPr>
                  <w:r>
                    <w:rPr>
                      <w:rFonts w:hint="eastAsia"/>
                      <w:sz w:val="21"/>
                      <w:szCs w:val="21"/>
                    </w:rPr>
                    <w:t>19</w:t>
                  </w:r>
                </w:p>
              </w:tc>
              <w:tc>
                <w:tcPr>
                  <w:tcW w:w="221" w:type="pct"/>
                  <w:vMerge w:val="continue"/>
                  <w:tcBorders>
                    <w:right w:val="single" w:color="auto" w:sz="4" w:space="0"/>
                  </w:tcBorders>
                  <w:vAlign w:val="center"/>
                </w:tcPr>
                <w:p>
                  <w:pPr>
                    <w:spacing w:line="240" w:lineRule="auto"/>
                    <w:ind w:right="24" w:rightChars="10" w:firstLine="0" w:firstLineChars="0"/>
                    <w:jc w:val="center"/>
                    <w:rPr>
                      <w:sz w:val="21"/>
                      <w:szCs w:val="21"/>
                    </w:rPr>
                  </w:pPr>
                </w:p>
              </w:tc>
              <w:tc>
                <w:tcPr>
                  <w:tcW w:w="785" w:type="pct"/>
                  <w:tcBorders>
                    <w:right w:val="single" w:color="auto" w:sz="4" w:space="0"/>
                  </w:tcBorders>
                  <w:vAlign w:val="center"/>
                </w:tcPr>
                <w:p>
                  <w:pPr>
                    <w:spacing w:line="240" w:lineRule="auto"/>
                    <w:ind w:firstLine="0" w:firstLineChars="0"/>
                    <w:jc w:val="center"/>
                    <w:rPr>
                      <w:sz w:val="21"/>
                      <w:szCs w:val="21"/>
                    </w:rPr>
                  </w:pPr>
                  <w:r>
                    <w:rPr>
                      <w:rFonts w:hint="eastAsia"/>
                      <w:sz w:val="21"/>
                      <w:szCs w:val="21"/>
                    </w:rPr>
                    <w:t>硝化液回流泵</w:t>
                  </w:r>
                </w:p>
              </w:tc>
              <w:tc>
                <w:tcPr>
                  <w:tcW w:w="806" w:type="pct"/>
                  <w:vAlign w:val="center"/>
                </w:tcPr>
                <w:p>
                  <w:pPr>
                    <w:spacing w:line="240" w:lineRule="auto"/>
                    <w:ind w:right="24" w:rightChars="10" w:firstLine="0" w:firstLineChars="0"/>
                    <w:jc w:val="center"/>
                    <w:rPr>
                      <w:sz w:val="21"/>
                      <w:szCs w:val="21"/>
                    </w:rPr>
                  </w:pPr>
                  <w:r>
                    <w:rPr>
                      <w:sz w:val="21"/>
                      <w:szCs w:val="21"/>
                    </w:rPr>
                    <w:t>50WQ10-15-1.1</w:t>
                  </w:r>
                </w:p>
              </w:tc>
              <w:tc>
                <w:tcPr>
                  <w:tcW w:w="472" w:type="pct"/>
                  <w:tcBorders>
                    <w:right w:val="single" w:color="auto" w:sz="4" w:space="0"/>
                  </w:tcBorders>
                  <w:vAlign w:val="center"/>
                </w:tcPr>
                <w:p>
                  <w:pPr>
                    <w:spacing w:line="240" w:lineRule="auto"/>
                    <w:ind w:right="24" w:rightChars="10" w:firstLine="0" w:firstLineChars="0"/>
                    <w:jc w:val="center"/>
                    <w:rPr>
                      <w:sz w:val="21"/>
                      <w:szCs w:val="21"/>
                    </w:rPr>
                  </w:pPr>
                  <w:r>
                    <w:rPr>
                      <w:rFonts w:hint="eastAsia"/>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39" w:type="pct"/>
                  <w:vAlign w:val="center"/>
                </w:tcPr>
                <w:p>
                  <w:pPr>
                    <w:spacing w:line="240" w:lineRule="auto"/>
                    <w:ind w:right="24" w:rightChars="10" w:firstLine="0" w:firstLineChars="0"/>
                    <w:jc w:val="center"/>
                    <w:rPr>
                      <w:sz w:val="21"/>
                      <w:szCs w:val="21"/>
                    </w:rPr>
                  </w:pPr>
                  <w:r>
                    <w:rPr>
                      <w:rFonts w:hint="eastAsia"/>
                      <w:sz w:val="21"/>
                      <w:szCs w:val="21"/>
                    </w:rPr>
                    <w:t>4</w:t>
                  </w:r>
                </w:p>
              </w:tc>
              <w:tc>
                <w:tcPr>
                  <w:tcW w:w="1286" w:type="pct"/>
                  <w:gridSpan w:val="2"/>
                  <w:vAlign w:val="center"/>
                </w:tcPr>
                <w:p>
                  <w:pPr>
                    <w:spacing w:line="240" w:lineRule="auto"/>
                    <w:ind w:firstLine="0" w:firstLineChars="0"/>
                    <w:jc w:val="center"/>
                    <w:rPr>
                      <w:sz w:val="21"/>
                      <w:szCs w:val="21"/>
                    </w:rPr>
                  </w:pPr>
                  <w:r>
                    <w:rPr>
                      <w:rFonts w:hint="eastAsia"/>
                      <w:sz w:val="21"/>
                      <w:szCs w:val="21"/>
                    </w:rPr>
                    <w:t>电动洗胃机</w:t>
                  </w:r>
                </w:p>
              </w:tc>
              <w:tc>
                <w:tcPr>
                  <w:tcW w:w="645" w:type="pct"/>
                  <w:vAlign w:val="center"/>
                </w:tcPr>
                <w:p>
                  <w:pPr>
                    <w:spacing w:line="240" w:lineRule="auto"/>
                    <w:ind w:right="24" w:rightChars="10" w:firstLine="0" w:firstLineChars="0"/>
                    <w:jc w:val="center"/>
                    <w:rPr>
                      <w:sz w:val="21"/>
                      <w:szCs w:val="21"/>
                    </w:rPr>
                  </w:pPr>
                  <w:r>
                    <w:rPr>
                      <w:rFonts w:hint="eastAsia"/>
                      <w:sz w:val="21"/>
                      <w:szCs w:val="21"/>
                    </w:rPr>
                    <w:t>DXW-A斯曼峰</w:t>
                  </w:r>
                </w:p>
              </w:tc>
              <w:tc>
                <w:tcPr>
                  <w:tcW w:w="484" w:type="pct"/>
                  <w:tcBorders>
                    <w:right w:val="double" w:color="auto" w:sz="4" w:space="0"/>
                  </w:tcBorders>
                  <w:vAlign w:val="center"/>
                </w:tcPr>
                <w:p>
                  <w:pPr>
                    <w:spacing w:line="240" w:lineRule="auto"/>
                    <w:ind w:right="24" w:rightChars="10" w:firstLine="0" w:firstLineChars="0"/>
                    <w:jc w:val="center"/>
                    <w:rPr>
                      <w:sz w:val="21"/>
                      <w:szCs w:val="21"/>
                    </w:rPr>
                  </w:pPr>
                  <w:r>
                    <w:rPr>
                      <w:rFonts w:hint="eastAsia"/>
                      <w:sz w:val="21"/>
                      <w:szCs w:val="21"/>
                    </w:rPr>
                    <w:t>1</w:t>
                  </w:r>
                </w:p>
              </w:tc>
              <w:tc>
                <w:tcPr>
                  <w:tcW w:w="162" w:type="pct"/>
                  <w:tcBorders>
                    <w:left w:val="double" w:color="auto" w:sz="4" w:space="0"/>
                    <w:right w:val="single" w:color="auto" w:sz="4" w:space="0"/>
                  </w:tcBorders>
                  <w:vAlign w:val="center"/>
                </w:tcPr>
                <w:p>
                  <w:pPr>
                    <w:spacing w:line="240" w:lineRule="auto"/>
                    <w:ind w:right="24" w:rightChars="10" w:firstLine="0" w:firstLineChars="0"/>
                    <w:jc w:val="center"/>
                    <w:rPr>
                      <w:sz w:val="21"/>
                      <w:szCs w:val="21"/>
                    </w:rPr>
                  </w:pPr>
                  <w:r>
                    <w:rPr>
                      <w:rFonts w:hint="eastAsia"/>
                      <w:sz w:val="21"/>
                      <w:szCs w:val="21"/>
                    </w:rPr>
                    <w:t>20</w:t>
                  </w:r>
                </w:p>
              </w:tc>
              <w:tc>
                <w:tcPr>
                  <w:tcW w:w="221" w:type="pct"/>
                  <w:vMerge w:val="continue"/>
                  <w:tcBorders>
                    <w:right w:val="single" w:color="auto" w:sz="4" w:space="0"/>
                  </w:tcBorders>
                  <w:vAlign w:val="center"/>
                </w:tcPr>
                <w:p>
                  <w:pPr>
                    <w:spacing w:line="240" w:lineRule="auto"/>
                    <w:ind w:right="24" w:rightChars="10" w:firstLine="0" w:firstLineChars="0"/>
                    <w:jc w:val="center"/>
                    <w:rPr>
                      <w:sz w:val="21"/>
                      <w:szCs w:val="21"/>
                    </w:rPr>
                  </w:pPr>
                </w:p>
              </w:tc>
              <w:tc>
                <w:tcPr>
                  <w:tcW w:w="785" w:type="pct"/>
                  <w:tcBorders>
                    <w:right w:val="single" w:color="auto" w:sz="4" w:space="0"/>
                  </w:tcBorders>
                  <w:vAlign w:val="center"/>
                </w:tcPr>
                <w:p>
                  <w:pPr>
                    <w:spacing w:line="240" w:lineRule="auto"/>
                    <w:ind w:firstLine="0" w:firstLineChars="0"/>
                    <w:jc w:val="center"/>
                    <w:rPr>
                      <w:sz w:val="21"/>
                      <w:szCs w:val="21"/>
                    </w:rPr>
                  </w:pPr>
                  <w:r>
                    <w:rPr>
                      <w:rFonts w:hint="eastAsia"/>
                      <w:sz w:val="21"/>
                      <w:szCs w:val="21"/>
                    </w:rPr>
                    <w:t>一体化污水处理设备主体</w:t>
                  </w:r>
                </w:p>
              </w:tc>
              <w:tc>
                <w:tcPr>
                  <w:tcW w:w="806" w:type="pct"/>
                  <w:vAlign w:val="center"/>
                </w:tcPr>
                <w:p>
                  <w:pPr>
                    <w:spacing w:line="240" w:lineRule="auto"/>
                    <w:ind w:right="24" w:rightChars="10" w:firstLine="0" w:firstLineChars="0"/>
                    <w:jc w:val="center"/>
                    <w:rPr>
                      <w:sz w:val="21"/>
                      <w:szCs w:val="21"/>
                    </w:rPr>
                  </w:pPr>
                  <w:r>
                    <w:rPr>
                      <w:sz w:val="21"/>
                      <w:szCs w:val="21"/>
                    </w:rPr>
                    <w:t>4*1</w:t>
                  </w:r>
                  <w:r>
                    <w:rPr>
                      <w:rFonts w:hint="eastAsia"/>
                      <w:sz w:val="21"/>
                      <w:szCs w:val="21"/>
                    </w:rPr>
                    <w:t>.5</w:t>
                  </w:r>
                  <w:r>
                    <w:rPr>
                      <w:sz w:val="21"/>
                      <w:szCs w:val="21"/>
                    </w:rPr>
                    <w:t>*2</w:t>
                  </w:r>
                </w:p>
              </w:tc>
              <w:tc>
                <w:tcPr>
                  <w:tcW w:w="472" w:type="pct"/>
                  <w:tcBorders>
                    <w:right w:val="single" w:color="auto" w:sz="4" w:space="0"/>
                  </w:tcBorders>
                  <w:vAlign w:val="center"/>
                </w:tcPr>
                <w:p>
                  <w:pPr>
                    <w:spacing w:line="240" w:lineRule="auto"/>
                    <w:ind w:right="24" w:rightChars="10" w:firstLine="0" w:firstLineChars="0"/>
                    <w:jc w:val="center"/>
                    <w:rPr>
                      <w:sz w:val="21"/>
                      <w:szCs w:val="21"/>
                    </w:rPr>
                  </w:pPr>
                  <w:r>
                    <w:rPr>
                      <w:rFonts w:hint="eastAsia"/>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39" w:type="pct"/>
                  <w:vAlign w:val="center"/>
                </w:tcPr>
                <w:p>
                  <w:pPr>
                    <w:spacing w:line="240" w:lineRule="auto"/>
                    <w:ind w:right="24" w:rightChars="10" w:firstLine="0" w:firstLineChars="0"/>
                    <w:jc w:val="center"/>
                    <w:rPr>
                      <w:sz w:val="21"/>
                      <w:szCs w:val="21"/>
                    </w:rPr>
                  </w:pPr>
                  <w:r>
                    <w:rPr>
                      <w:rFonts w:hint="eastAsia"/>
                      <w:sz w:val="21"/>
                      <w:szCs w:val="21"/>
                    </w:rPr>
                    <w:t>5</w:t>
                  </w:r>
                </w:p>
              </w:tc>
              <w:tc>
                <w:tcPr>
                  <w:tcW w:w="1286" w:type="pct"/>
                  <w:gridSpan w:val="2"/>
                  <w:vAlign w:val="center"/>
                </w:tcPr>
                <w:p>
                  <w:pPr>
                    <w:spacing w:line="240" w:lineRule="auto"/>
                    <w:ind w:firstLine="0" w:firstLineChars="0"/>
                    <w:jc w:val="center"/>
                    <w:rPr>
                      <w:sz w:val="21"/>
                      <w:szCs w:val="21"/>
                    </w:rPr>
                  </w:pPr>
                  <w:r>
                    <w:rPr>
                      <w:rFonts w:hint="eastAsia"/>
                      <w:sz w:val="21"/>
                      <w:szCs w:val="21"/>
                    </w:rPr>
                    <w:t>电动吸引器</w:t>
                  </w:r>
                </w:p>
              </w:tc>
              <w:tc>
                <w:tcPr>
                  <w:tcW w:w="645" w:type="pct"/>
                  <w:vAlign w:val="center"/>
                </w:tcPr>
                <w:p>
                  <w:pPr>
                    <w:spacing w:line="240" w:lineRule="auto"/>
                    <w:ind w:right="24" w:rightChars="10" w:firstLine="0" w:firstLineChars="0"/>
                    <w:jc w:val="center"/>
                    <w:rPr>
                      <w:sz w:val="21"/>
                      <w:szCs w:val="21"/>
                    </w:rPr>
                  </w:pPr>
                  <w:r>
                    <w:rPr>
                      <w:rFonts w:hint="eastAsia"/>
                      <w:sz w:val="21"/>
                      <w:szCs w:val="21"/>
                    </w:rPr>
                    <w:t>SXT -5A 斯曼峰</w:t>
                  </w:r>
                </w:p>
              </w:tc>
              <w:tc>
                <w:tcPr>
                  <w:tcW w:w="484" w:type="pct"/>
                  <w:tcBorders>
                    <w:right w:val="double" w:color="auto" w:sz="4" w:space="0"/>
                  </w:tcBorders>
                  <w:vAlign w:val="center"/>
                </w:tcPr>
                <w:p>
                  <w:pPr>
                    <w:spacing w:line="240" w:lineRule="auto"/>
                    <w:ind w:right="24" w:rightChars="10" w:firstLine="0" w:firstLineChars="0"/>
                    <w:jc w:val="center"/>
                    <w:rPr>
                      <w:sz w:val="21"/>
                      <w:szCs w:val="21"/>
                    </w:rPr>
                  </w:pPr>
                  <w:r>
                    <w:rPr>
                      <w:rFonts w:hint="eastAsia"/>
                      <w:sz w:val="21"/>
                      <w:szCs w:val="21"/>
                    </w:rPr>
                    <w:t>2</w:t>
                  </w:r>
                </w:p>
              </w:tc>
              <w:tc>
                <w:tcPr>
                  <w:tcW w:w="162" w:type="pct"/>
                  <w:tcBorders>
                    <w:left w:val="double" w:color="auto" w:sz="4" w:space="0"/>
                    <w:right w:val="single" w:color="auto" w:sz="4" w:space="0"/>
                  </w:tcBorders>
                  <w:vAlign w:val="center"/>
                </w:tcPr>
                <w:p>
                  <w:pPr>
                    <w:spacing w:line="240" w:lineRule="auto"/>
                    <w:ind w:right="24" w:rightChars="10" w:firstLine="0" w:firstLineChars="0"/>
                    <w:jc w:val="center"/>
                    <w:rPr>
                      <w:sz w:val="21"/>
                      <w:szCs w:val="21"/>
                    </w:rPr>
                  </w:pPr>
                  <w:r>
                    <w:rPr>
                      <w:rFonts w:hint="eastAsia"/>
                      <w:sz w:val="21"/>
                      <w:szCs w:val="21"/>
                    </w:rPr>
                    <w:t>21</w:t>
                  </w:r>
                </w:p>
              </w:tc>
              <w:tc>
                <w:tcPr>
                  <w:tcW w:w="221" w:type="pct"/>
                  <w:vMerge w:val="continue"/>
                  <w:tcBorders>
                    <w:right w:val="single" w:color="auto" w:sz="4" w:space="0"/>
                  </w:tcBorders>
                  <w:vAlign w:val="center"/>
                </w:tcPr>
                <w:p>
                  <w:pPr>
                    <w:spacing w:line="240" w:lineRule="auto"/>
                    <w:ind w:right="24" w:rightChars="10" w:firstLine="0" w:firstLineChars="0"/>
                    <w:jc w:val="center"/>
                    <w:rPr>
                      <w:sz w:val="21"/>
                      <w:szCs w:val="21"/>
                    </w:rPr>
                  </w:pPr>
                </w:p>
              </w:tc>
              <w:tc>
                <w:tcPr>
                  <w:tcW w:w="785" w:type="pct"/>
                  <w:tcBorders>
                    <w:right w:val="single" w:color="auto" w:sz="4" w:space="0"/>
                  </w:tcBorders>
                  <w:vAlign w:val="center"/>
                </w:tcPr>
                <w:p>
                  <w:pPr>
                    <w:spacing w:line="240" w:lineRule="auto"/>
                    <w:ind w:firstLine="0" w:firstLineChars="0"/>
                    <w:jc w:val="center"/>
                    <w:rPr>
                      <w:sz w:val="21"/>
                      <w:szCs w:val="21"/>
                    </w:rPr>
                  </w:pPr>
                  <w:r>
                    <w:rPr>
                      <w:rFonts w:hint="eastAsia"/>
                      <w:sz w:val="21"/>
                      <w:szCs w:val="21"/>
                    </w:rPr>
                    <w:t>接触氧化池曝气装置</w:t>
                  </w:r>
                </w:p>
              </w:tc>
              <w:tc>
                <w:tcPr>
                  <w:tcW w:w="806" w:type="pct"/>
                  <w:vAlign w:val="center"/>
                </w:tcPr>
                <w:p>
                  <w:pPr>
                    <w:spacing w:line="240" w:lineRule="auto"/>
                    <w:ind w:right="24" w:rightChars="10" w:firstLine="0" w:firstLineChars="0"/>
                    <w:jc w:val="center"/>
                    <w:rPr>
                      <w:sz w:val="21"/>
                      <w:szCs w:val="21"/>
                    </w:rPr>
                  </w:pPr>
                  <w:r>
                    <w:rPr>
                      <w:rFonts w:hint="eastAsia"/>
                      <w:sz w:val="21"/>
                      <w:szCs w:val="21"/>
                    </w:rPr>
                    <w:t>Φ</w:t>
                  </w:r>
                  <w:r>
                    <w:rPr>
                      <w:sz w:val="21"/>
                      <w:szCs w:val="21"/>
                    </w:rPr>
                    <w:t>215 ABS</w:t>
                  </w:r>
                </w:p>
              </w:tc>
              <w:tc>
                <w:tcPr>
                  <w:tcW w:w="472" w:type="pct"/>
                  <w:tcBorders>
                    <w:right w:val="single" w:color="auto" w:sz="4" w:space="0"/>
                  </w:tcBorders>
                  <w:vAlign w:val="center"/>
                </w:tcPr>
                <w:p>
                  <w:pPr>
                    <w:spacing w:line="240" w:lineRule="auto"/>
                    <w:ind w:right="24" w:rightChars="10" w:firstLine="0" w:firstLineChars="0"/>
                    <w:jc w:val="center"/>
                    <w:rPr>
                      <w:sz w:val="21"/>
                      <w:szCs w:val="21"/>
                    </w:rPr>
                  </w:pPr>
                  <w:r>
                    <w:rPr>
                      <w:rFonts w:hint="eastAsia"/>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39" w:type="pct"/>
                  <w:vAlign w:val="center"/>
                </w:tcPr>
                <w:p>
                  <w:pPr>
                    <w:spacing w:line="240" w:lineRule="auto"/>
                    <w:ind w:right="24" w:rightChars="10" w:firstLine="0" w:firstLineChars="0"/>
                    <w:jc w:val="center"/>
                    <w:rPr>
                      <w:sz w:val="21"/>
                      <w:szCs w:val="21"/>
                    </w:rPr>
                  </w:pPr>
                  <w:r>
                    <w:rPr>
                      <w:rFonts w:hint="eastAsia"/>
                      <w:sz w:val="21"/>
                      <w:szCs w:val="21"/>
                    </w:rPr>
                    <w:t>6</w:t>
                  </w:r>
                </w:p>
              </w:tc>
              <w:tc>
                <w:tcPr>
                  <w:tcW w:w="1286" w:type="pct"/>
                  <w:gridSpan w:val="2"/>
                  <w:vAlign w:val="center"/>
                </w:tcPr>
                <w:p>
                  <w:pPr>
                    <w:spacing w:line="240" w:lineRule="auto"/>
                    <w:ind w:firstLine="0" w:firstLineChars="0"/>
                    <w:jc w:val="center"/>
                    <w:rPr>
                      <w:sz w:val="21"/>
                      <w:szCs w:val="21"/>
                    </w:rPr>
                  </w:pPr>
                  <w:r>
                    <w:rPr>
                      <w:rFonts w:hint="eastAsia"/>
                      <w:sz w:val="21"/>
                      <w:szCs w:val="21"/>
                    </w:rPr>
                    <w:t>密闭二连体煎药机</w:t>
                  </w:r>
                </w:p>
              </w:tc>
              <w:tc>
                <w:tcPr>
                  <w:tcW w:w="645" w:type="pct"/>
                  <w:vAlign w:val="center"/>
                </w:tcPr>
                <w:p>
                  <w:pPr>
                    <w:spacing w:line="240" w:lineRule="auto"/>
                    <w:ind w:right="24" w:rightChars="10" w:firstLine="0" w:firstLineChars="0"/>
                    <w:jc w:val="center"/>
                    <w:rPr>
                      <w:sz w:val="21"/>
                      <w:szCs w:val="21"/>
                    </w:rPr>
                  </w:pPr>
                  <w:r>
                    <w:rPr>
                      <w:rFonts w:hint="eastAsia"/>
                      <w:sz w:val="21"/>
                      <w:szCs w:val="21"/>
                    </w:rPr>
                    <w:t>YJ20/2B -G</w:t>
                  </w:r>
                </w:p>
              </w:tc>
              <w:tc>
                <w:tcPr>
                  <w:tcW w:w="484" w:type="pct"/>
                  <w:tcBorders>
                    <w:right w:val="double" w:color="auto" w:sz="4" w:space="0"/>
                  </w:tcBorders>
                  <w:vAlign w:val="center"/>
                </w:tcPr>
                <w:p>
                  <w:pPr>
                    <w:spacing w:line="240" w:lineRule="auto"/>
                    <w:ind w:right="24" w:rightChars="10" w:firstLine="0" w:firstLineChars="0"/>
                    <w:jc w:val="center"/>
                    <w:rPr>
                      <w:sz w:val="21"/>
                      <w:szCs w:val="21"/>
                    </w:rPr>
                  </w:pPr>
                  <w:r>
                    <w:rPr>
                      <w:rFonts w:hint="eastAsia"/>
                      <w:sz w:val="21"/>
                      <w:szCs w:val="21"/>
                    </w:rPr>
                    <w:t>2</w:t>
                  </w:r>
                </w:p>
              </w:tc>
              <w:tc>
                <w:tcPr>
                  <w:tcW w:w="162" w:type="pct"/>
                  <w:tcBorders>
                    <w:left w:val="double" w:color="auto" w:sz="4" w:space="0"/>
                    <w:right w:val="single" w:color="auto" w:sz="4" w:space="0"/>
                  </w:tcBorders>
                  <w:vAlign w:val="center"/>
                </w:tcPr>
                <w:p>
                  <w:pPr>
                    <w:spacing w:line="240" w:lineRule="auto"/>
                    <w:ind w:right="24" w:rightChars="10" w:firstLine="0" w:firstLineChars="0"/>
                    <w:jc w:val="center"/>
                    <w:rPr>
                      <w:sz w:val="21"/>
                      <w:szCs w:val="21"/>
                    </w:rPr>
                  </w:pPr>
                  <w:r>
                    <w:rPr>
                      <w:rFonts w:hint="eastAsia"/>
                      <w:sz w:val="21"/>
                      <w:szCs w:val="21"/>
                    </w:rPr>
                    <w:t>22</w:t>
                  </w:r>
                </w:p>
              </w:tc>
              <w:tc>
                <w:tcPr>
                  <w:tcW w:w="221" w:type="pct"/>
                  <w:vMerge w:val="continue"/>
                  <w:tcBorders>
                    <w:right w:val="single" w:color="auto" w:sz="4" w:space="0"/>
                  </w:tcBorders>
                  <w:vAlign w:val="center"/>
                </w:tcPr>
                <w:p>
                  <w:pPr>
                    <w:spacing w:line="240" w:lineRule="auto"/>
                    <w:ind w:right="24" w:rightChars="10" w:firstLine="0" w:firstLineChars="0"/>
                    <w:jc w:val="center"/>
                    <w:rPr>
                      <w:sz w:val="21"/>
                      <w:szCs w:val="21"/>
                    </w:rPr>
                  </w:pPr>
                </w:p>
              </w:tc>
              <w:tc>
                <w:tcPr>
                  <w:tcW w:w="785" w:type="pct"/>
                  <w:tcBorders>
                    <w:right w:val="single" w:color="auto" w:sz="4" w:space="0"/>
                  </w:tcBorders>
                  <w:vAlign w:val="center"/>
                </w:tcPr>
                <w:p>
                  <w:pPr>
                    <w:spacing w:line="240" w:lineRule="auto"/>
                    <w:ind w:firstLine="0" w:firstLineChars="0"/>
                    <w:jc w:val="center"/>
                    <w:rPr>
                      <w:sz w:val="21"/>
                      <w:szCs w:val="21"/>
                    </w:rPr>
                  </w:pPr>
                  <w:r>
                    <w:rPr>
                      <w:rFonts w:hint="eastAsia"/>
                      <w:sz w:val="21"/>
                      <w:szCs w:val="21"/>
                    </w:rPr>
                    <w:t>罗茨风机</w:t>
                  </w:r>
                </w:p>
              </w:tc>
              <w:tc>
                <w:tcPr>
                  <w:tcW w:w="806" w:type="pct"/>
                  <w:vAlign w:val="center"/>
                </w:tcPr>
                <w:p>
                  <w:pPr>
                    <w:spacing w:line="240" w:lineRule="auto"/>
                    <w:ind w:right="24" w:rightChars="10" w:firstLine="0" w:firstLineChars="0"/>
                    <w:jc w:val="center"/>
                    <w:rPr>
                      <w:sz w:val="21"/>
                      <w:szCs w:val="21"/>
                    </w:rPr>
                  </w:pPr>
                  <w:r>
                    <w:rPr>
                      <w:sz w:val="21"/>
                      <w:szCs w:val="21"/>
                    </w:rPr>
                    <w:t>N=1.5k</w:t>
                  </w:r>
                  <w:r>
                    <w:rPr>
                      <w:rFonts w:hint="eastAsia"/>
                      <w:sz w:val="21"/>
                      <w:szCs w:val="21"/>
                    </w:rPr>
                    <w:t>W</w:t>
                  </w:r>
                </w:p>
              </w:tc>
              <w:tc>
                <w:tcPr>
                  <w:tcW w:w="472" w:type="pct"/>
                  <w:tcBorders>
                    <w:right w:val="single" w:color="auto" w:sz="4" w:space="0"/>
                  </w:tcBorders>
                  <w:vAlign w:val="center"/>
                </w:tcPr>
                <w:p>
                  <w:pPr>
                    <w:spacing w:line="240" w:lineRule="auto"/>
                    <w:ind w:right="24" w:rightChars="10" w:firstLine="0" w:firstLineChars="0"/>
                    <w:jc w:val="center"/>
                    <w:rPr>
                      <w:sz w:val="21"/>
                      <w:szCs w:val="21"/>
                    </w:rPr>
                  </w:pPr>
                  <w:r>
                    <w:rPr>
                      <w:rFonts w:hint="eastAsia"/>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39" w:type="pct"/>
                  <w:vAlign w:val="center"/>
                </w:tcPr>
                <w:p>
                  <w:pPr>
                    <w:spacing w:line="240" w:lineRule="auto"/>
                    <w:ind w:right="24" w:rightChars="10" w:firstLine="0" w:firstLineChars="0"/>
                    <w:jc w:val="center"/>
                    <w:rPr>
                      <w:sz w:val="21"/>
                      <w:szCs w:val="21"/>
                    </w:rPr>
                  </w:pPr>
                  <w:r>
                    <w:rPr>
                      <w:rFonts w:hint="eastAsia"/>
                      <w:sz w:val="21"/>
                      <w:szCs w:val="21"/>
                    </w:rPr>
                    <w:t>7</w:t>
                  </w:r>
                </w:p>
              </w:tc>
              <w:tc>
                <w:tcPr>
                  <w:tcW w:w="1286" w:type="pct"/>
                  <w:gridSpan w:val="2"/>
                  <w:vAlign w:val="center"/>
                </w:tcPr>
                <w:p>
                  <w:pPr>
                    <w:spacing w:line="240" w:lineRule="auto"/>
                    <w:ind w:firstLine="0" w:firstLineChars="0"/>
                    <w:jc w:val="center"/>
                    <w:rPr>
                      <w:sz w:val="21"/>
                      <w:szCs w:val="21"/>
                    </w:rPr>
                  </w:pPr>
                  <w:r>
                    <w:rPr>
                      <w:rFonts w:hint="eastAsia"/>
                      <w:sz w:val="21"/>
                      <w:szCs w:val="21"/>
                    </w:rPr>
                    <w:t>多参数监护仪</w:t>
                  </w:r>
                </w:p>
              </w:tc>
              <w:tc>
                <w:tcPr>
                  <w:tcW w:w="645" w:type="pct"/>
                  <w:vAlign w:val="center"/>
                </w:tcPr>
                <w:p>
                  <w:pPr>
                    <w:spacing w:line="240" w:lineRule="auto"/>
                    <w:ind w:right="24" w:rightChars="10" w:firstLine="0" w:firstLineChars="0"/>
                    <w:jc w:val="center"/>
                    <w:rPr>
                      <w:sz w:val="21"/>
                      <w:szCs w:val="21"/>
                    </w:rPr>
                  </w:pPr>
                  <w:r>
                    <w:rPr>
                      <w:rFonts w:hint="eastAsia"/>
                      <w:sz w:val="21"/>
                      <w:szCs w:val="21"/>
                    </w:rPr>
                    <w:t>PM12B</w:t>
                  </w:r>
                </w:p>
              </w:tc>
              <w:tc>
                <w:tcPr>
                  <w:tcW w:w="484" w:type="pct"/>
                  <w:tcBorders>
                    <w:right w:val="double" w:color="auto" w:sz="4" w:space="0"/>
                  </w:tcBorders>
                  <w:vAlign w:val="center"/>
                </w:tcPr>
                <w:p>
                  <w:pPr>
                    <w:spacing w:line="240" w:lineRule="auto"/>
                    <w:ind w:right="24" w:rightChars="10" w:firstLine="0" w:firstLineChars="0"/>
                    <w:jc w:val="center"/>
                    <w:rPr>
                      <w:sz w:val="21"/>
                      <w:szCs w:val="21"/>
                    </w:rPr>
                  </w:pPr>
                  <w:r>
                    <w:rPr>
                      <w:rFonts w:hint="eastAsia"/>
                      <w:sz w:val="21"/>
                      <w:szCs w:val="21"/>
                    </w:rPr>
                    <w:t>1</w:t>
                  </w:r>
                </w:p>
              </w:tc>
              <w:tc>
                <w:tcPr>
                  <w:tcW w:w="162" w:type="pct"/>
                  <w:tcBorders>
                    <w:left w:val="double" w:color="auto" w:sz="4" w:space="0"/>
                    <w:right w:val="single" w:color="auto" w:sz="4" w:space="0"/>
                  </w:tcBorders>
                  <w:vAlign w:val="center"/>
                </w:tcPr>
                <w:p>
                  <w:pPr>
                    <w:spacing w:line="240" w:lineRule="auto"/>
                    <w:ind w:right="24" w:rightChars="10" w:firstLine="0" w:firstLineChars="0"/>
                    <w:jc w:val="center"/>
                    <w:rPr>
                      <w:sz w:val="21"/>
                      <w:szCs w:val="21"/>
                    </w:rPr>
                  </w:pPr>
                  <w:r>
                    <w:rPr>
                      <w:rFonts w:hint="eastAsia"/>
                      <w:sz w:val="21"/>
                      <w:szCs w:val="21"/>
                    </w:rPr>
                    <w:t>23</w:t>
                  </w:r>
                </w:p>
              </w:tc>
              <w:tc>
                <w:tcPr>
                  <w:tcW w:w="221" w:type="pct"/>
                  <w:vMerge w:val="continue"/>
                  <w:tcBorders>
                    <w:right w:val="single" w:color="auto" w:sz="4" w:space="0"/>
                  </w:tcBorders>
                  <w:vAlign w:val="center"/>
                </w:tcPr>
                <w:p>
                  <w:pPr>
                    <w:spacing w:line="240" w:lineRule="auto"/>
                    <w:ind w:right="24" w:rightChars="10" w:firstLine="0" w:firstLineChars="0"/>
                    <w:jc w:val="center"/>
                    <w:rPr>
                      <w:sz w:val="21"/>
                      <w:szCs w:val="21"/>
                    </w:rPr>
                  </w:pPr>
                </w:p>
              </w:tc>
              <w:tc>
                <w:tcPr>
                  <w:tcW w:w="785" w:type="pct"/>
                  <w:tcBorders>
                    <w:right w:val="single" w:color="auto" w:sz="4" w:space="0"/>
                  </w:tcBorders>
                  <w:vAlign w:val="center"/>
                </w:tcPr>
                <w:p>
                  <w:pPr>
                    <w:spacing w:line="240" w:lineRule="auto"/>
                    <w:ind w:firstLine="0" w:firstLineChars="0"/>
                    <w:jc w:val="center"/>
                    <w:rPr>
                      <w:sz w:val="21"/>
                      <w:szCs w:val="21"/>
                    </w:rPr>
                  </w:pPr>
                  <w:r>
                    <w:rPr>
                      <w:rFonts w:hint="eastAsia"/>
                      <w:sz w:val="21"/>
                      <w:szCs w:val="21"/>
                    </w:rPr>
                    <w:t>电气控制系统</w:t>
                  </w:r>
                </w:p>
              </w:tc>
              <w:tc>
                <w:tcPr>
                  <w:tcW w:w="806" w:type="pct"/>
                  <w:vAlign w:val="center"/>
                </w:tcPr>
                <w:p>
                  <w:pPr>
                    <w:spacing w:line="240" w:lineRule="auto"/>
                    <w:ind w:right="24" w:rightChars="10" w:firstLine="0" w:firstLineChars="0"/>
                    <w:jc w:val="center"/>
                    <w:rPr>
                      <w:sz w:val="21"/>
                      <w:szCs w:val="21"/>
                    </w:rPr>
                  </w:pPr>
                  <w:r>
                    <w:rPr>
                      <w:rFonts w:hint="eastAsia"/>
                      <w:sz w:val="21"/>
                      <w:szCs w:val="21"/>
                    </w:rPr>
                    <w:t>全自动控制</w:t>
                  </w:r>
                </w:p>
              </w:tc>
              <w:tc>
                <w:tcPr>
                  <w:tcW w:w="472" w:type="pct"/>
                  <w:tcBorders>
                    <w:right w:val="single" w:color="auto" w:sz="4" w:space="0"/>
                  </w:tcBorders>
                  <w:vAlign w:val="center"/>
                </w:tcPr>
                <w:p>
                  <w:pPr>
                    <w:spacing w:line="240" w:lineRule="auto"/>
                    <w:ind w:right="24" w:rightChars="10" w:firstLine="0" w:firstLineChars="0"/>
                    <w:jc w:val="center"/>
                    <w:rPr>
                      <w:sz w:val="21"/>
                      <w:szCs w:val="21"/>
                    </w:rPr>
                  </w:pPr>
                  <w:r>
                    <w:rPr>
                      <w:rFonts w:hint="eastAsia"/>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39" w:type="pct"/>
                  <w:vAlign w:val="center"/>
                </w:tcPr>
                <w:p>
                  <w:pPr>
                    <w:spacing w:line="240" w:lineRule="auto"/>
                    <w:ind w:right="24" w:rightChars="10" w:firstLine="0" w:firstLineChars="0"/>
                    <w:jc w:val="center"/>
                    <w:rPr>
                      <w:sz w:val="21"/>
                      <w:szCs w:val="21"/>
                    </w:rPr>
                  </w:pPr>
                  <w:r>
                    <w:rPr>
                      <w:rFonts w:hint="eastAsia"/>
                      <w:sz w:val="21"/>
                      <w:szCs w:val="21"/>
                    </w:rPr>
                    <w:t>8</w:t>
                  </w:r>
                </w:p>
              </w:tc>
              <w:tc>
                <w:tcPr>
                  <w:tcW w:w="1286" w:type="pct"/>
                  <w:gridSpan w:val="2"/>
                  <w:vAlign w:val="center"/>
                </w:tcPr>
                <w:p>
                  <w:pPr>
                    <w:spacing w:line="240" w:lineRule="auto"/>
                    <w:ind w:firstLine="0" w:firstLineChars="0"/>
                    <w:jc w:val="center"/>
                    <w:rPr>
                      <w:sz w:val="21"/>
                      <w:szCs w:val="21"/>
                    </w:rPr>
                  </w:pPr>
                  <w:r>
                    <w:rPr>
                      <w:rFonts w:hint="eastAsia"/>
                      <w:sz w:val="21"/>
                      <w:szCs w:val="21"/>
                    </w:rPr>
                    <w:t>体外除颤监护仪</w:t>
                  </w:r>
                </w:p>
              </w:tc>
              <w:tc>
                <w:tcPr>
                  <w:tcW w:w="645" w:type="pct"/>
                  <w:vAlign w:val="center"/>
                </w:tcPr>
                <w:p>
                  <w:pPr>
                    <w:spacing w:line="240" w:lineRule="auto"/>
                    <w:ind w:right="24" w:rightChars="10" w:firstLine="0" w:firstLineChars="0"/>
                    <w:jc w:val="center"/>
                    <w:rPr>
                      <w:sz w:val="21"/>
                      <w:szCs w:val="21"/>
                    </w:rPr>
                  </w:pPr>
                  <w:r>
                    <w:rPr>
                      <w:rFonts w:hint="eastAsia"/>
                      <w:sz w:val="21"/>
                      <w:szCs w:val="21"/>
                    </w:rPr>
                    <w:t>S1</w:t>
                  </w:r>
                </w:p>
              </w:tc>
              <w:tc>
                <w:tcPr>
                  <w:tcW w:w="484" w:type="pct"/>
                  <w:tcBorders>
                    <w:right w:val="double" w:color="auto" w:sz="4" w:space="0"/>
                  </w:tcBorders>
                  <w:vAlign w:val="center"/>
                </w:tcPr>
                <w:p>
                  <w:pPr>
                    <w:spacing w:line="240" w:lineRule="auto"/>
                    <w:ind w:right="24" w:rightChars="10" w:firstLine="0" w:firstLineChars="0"/>
                    <w:jc w:val="center"/>
                    <w:rPr>
                      <w:sz w:val="21"/>
                      <w:szCs w:val="21"/>
                    </w:rPr>
                  </w:pPr>
                  <w:r>
                    <w:rPr>
                      <w:rFonts w:hint="eastAsia"/>
                      <w:sz w:val="21"/>
                      <w:szCs w:val="21"/>
                    </w:rPr>
                    <w:t>1</w:t>
                  </w:r>
                </w:p>
              </w:tc>
              <w:tc>
                <w:tcPr>
                  <w:tcW w:w="162" w:type="pct"/>
                  <w:tcBorders>
                    <w:left w:val="double" w:color="auto" w:sz="4" w:space="0"/>
                    <w:right w:val="single" w:color="auto" w:sz="4" w:space="0"/>
                  </w:tcBorders>
                  <w:vAlign w:val="center"/>
                </w:tcPr>
                <w:p>
                  <w:pPr>
                    <w:spacing w:line="240" w:lineRule="auto"/>
                    <w:ind w:right="24" w:rightChars="10" w:firstLine="0" w:firstLineChars="0"/>
                    <w:jc w:val="center"/>
                    <w:rPr>
                      <w:sz w:val="21"/>
                      <w:szCs w:val="21"/>
                    </w:rPr>
                  </w:pPr>
                  <w:r>
                    <w:rPr>
                      <w:rFonts w:hint="eastAsia"/>
                      <w:sz w:val="21"/>
                      <w:szCs w:val="21"/>
                    </w:rPr>
                    <w:t>24</w:t>
                  </w:r>
                </w:p>
              </w:tc>
              <w:tc>
                <w:tcPr>
                  <w:tcW w:w="221" w:type="pct"/>
                  <w:vMerge w:val="continue"/>
                  <w:tcBorders>
                    <w:right w:val="single" w:color="auto" w:sz="4" w:space="0"/>
                  </w:tcBorders>
                  <w:vAlign w:val="center"/>
                </w:tcPr>
                <w:p>
                  <w:pPr>
                    <w:spacing w:line="240" w:lineRule="auto"/>
                    <w:ind w:right="24" w:rightChars="10" w:firstLine="0" w:firstLineChars="0"/>
                    <w:jc w:val="center"/>
                    <w:rPr>
                      <w:sz w:val="21"/>
                      <w:szCs w:val="21"/>
                    </w:rPr>
                  </w:pPr>
                </w:p>
              </w:tc>
              <w:tc>
                <w:tcPr>
                  <w:tcW w:w="785" w:type="pct"/>
                  <w:tcBorders>
                    <w:right w:val="single" w:color="auto" w:sz="4" w:space="0"/>
                  </w:tcBorders>
                  <w:vAlign w:val="center"/>
                </w:tcPr>
                <w:p>
                  <w:pPr>
                    <w:spacing w:line="240" w:lineRule="auto"/>
                    <w:ind w:firstLine="0" w:firstLineChars="0"/>
                    <w:jc w:val="center"/>
                    <w:rPr>
                      <w:sz w:val="21"/>
                      <w:szCs w:val="21"/>
                    </w:rPr>
                  </w:pPr>
                  <w:r>
                    <w:rPr>
                      <w:rFonts w:hint="eastAsia"/>
                      <w:sz w:val="21"/>
                      <w:szCs w:val="21"/>
                    </w:rPr>
                    <w:t>消毒剂投加器</w:t>
                  </w:r>
                </w:p>
              </w:tc>
              <w:tc>
                <w:tcPr>
                  <w:tcW w:w="806" w:type="pct"/>
                  <w:vAlign w:val="center"/>
                </w:tcPr>
                <w:p>
                  <w:pPr>
                    <w:spacing w:line="240" w:lineRule="auto"/>
                    <w:ind w:right="24" w:rightChars="10" w:firstLine="0" w:firstLineChars="0"/>
                    <w:jc w:val="center"/>
                    <w:rPr>
                      <w:sz w:val="21"/>
                      <w:szCs w:val="21"/>
                    </w:rPr>
                  </w:pPr>
                  <w:r>
                    <w:rPr>
                      <w:rFonts w:hint="eastAsia"/>
                      <w:sz w:val="21"/>
                      <w:szCs w:val="21"/>
                    </w:rPr>
                    <w:t>—</w:t>
                  </w:r>
                </w:p>
              </w:tc>
              <w:tc>
                <w:tcPr>
                  <w:tcW w:w="472" w:type="pct"/>
                  <w:tcBorders>
                    <w:right w:val="single" w:color="auto" w:sz="4" w:space="0"/>
                  </w:tcBorders>
                  <w:vAlign w:val="center"/>
                </w:tcPr>
                <w:p>
                  <w:pPr>
                    <w:spacing w:line="240" w:lineRule="auto"/>
                    <w:ind w:right="24" w:rightChars="10" w:firstLine="0" w:firstLineChars="0"/>
                    <w:jc w:val="center"/>
                    <w:rPr>
                      <w:sz w:val="21"/>
                      <w:szCs w:val="21"/>
                    </w:rPr>
                  </w:pPr>
                  <w:r>
                    <w:rPr>
                      <w:rFonts w:hint="eastAsia"/>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39" w:type="pct"/>
                  <w:vAlign w:val="center"/>
                </w:tcPr>
                <w:p>
                  <w:pPr>
                    <w:spacing w:line="240" w:lineRule="auto"/>
                    <w:ind w:right="24" w:rightChars="10" w:firstLine="0" w:firstLineChars="0"/>
                    <w:jc w:val="center"/>
                    <w:rPr>
                      <w:sz w:val="21"/>
                      <w:szCs w:val="21"/>
                    </w:rPr>
                  </w:pPr>
                  <w:r>
                    <w:rPr>
                      <w:rFonts w:hint="eastAsia"/>
                      <w:sz w:val="21"/>
                      <w:szCs w:val="21"/>
                    </w:rPr>
                    <w:t>9</w:t>
                  </w:r>
                </w:p>
              </w:tc>
              <w:tc>
                <w:tcPr>
                  <w:tcW w:w="320" w:type="pct"/>
                  <w:vMerge w:val="restart"/>
                  <w:vAlign w:val="center"/>
                </w:tcPr>
                <w:p>
                  <w:pPr>
                    <w:spacing w:line="240" w:lineRule="auto"/>
                    <w:ind w:firstLine="0" w:firstLineChars="0"/>
                    <w:jc w:val="center"/>
                    <w:rPr>
                      <w:sz w:val="21"/>
                      <w:szCs w:val="21"/>
                    </w:rPr>
                  </w:pPr>
                  <w:r>
                    <w:rPr>
                      <w:rFonts w:hint="eastAsia"/>
                      <w:sz w:val="21"/>
                      <w:szCs w:val="21"/>
                    </w:rPr>
                    <w:t>检验科</w:t>
                  </w:r>
                </w:p>
              </w:tc>
              <w:tc>
                <w:tcPr>
                  <w:tcW w:w="966" w:type="pct"/>
                  <w:vAlign w:val="center"/>
                </w:tcPr>
                <w:p>
                  <w:pPr>
                    <w:spacing w:line="240" w:lineRule="auto"/>
                    <w:ind w:firstLine="0" w:firstLineChars="0"/>
                    <w:jc w:val="center"/>
                    <w:rPr>
                      <w:sz w:val="21"/>
                      <w:szCs w:val="21"/>
                    </w:rPr>
                  </w:pPr>
                  <w:r>
                    <w:rPr>
                      <w:rFonts w:hint="eastAsia"/>
                      <w:sz w:val="21"/>
                      <w:szCs w:val="21"/>
                    </w:rPr>
                    <w:t>离心机</w:t>
                  </w:r>
                </w:p>
              </w:tc>
              <w:tc>
                <w:tcPr>
                  <w:tcW w:w="645" w:type="pct"/>
                  <w:vAlign w:val="center"/>
                </w:tcPr>
                <w:p>
                  <w:pPr>
                    <w:spacing w:line="240" w:lineRule="auto"/>
                    <w:ind w:right="24" w:rightChars="10" w:firstLine="0" w:firstLineChars="0"/>
                    <w:jc w:val="center"/>
                    <w:rPr>
                      <w:sz w:val="21"/>
                      <w:szCs w:val="21"/>
                    </w:rPr>
                  </w:pPr>
                  <w:r>
                    <w:rPr>
                      <w:rFonts w:hint="eastAsia"/>
                      <w:sz w:val="21"/>
                      <w:szCs w:val="21"/>
                    </w:rPr>
                    <w:t>BL-4</w:t>
                  </w:r>
                </w:p>
              </w:tc>
              <w:tc>
                <w:tcPr>
                  <w:tcW w:w="484" w:type="pct"/>
                  <w:tcBorders>
                    <w:right w:val="double" w:color="auto" w:sz="4" w:space="0"/>
                  </w:tcBorders>
                  <w:vAlign w:val="center"/>
                </w:tcPr>
                <w:p>
                  <w:pPr>
                    <w:spacing w:line="240" w:lineRule="auto"/>
                    <w:ind w:right="24" w:rightChars="10" w:firstLine="0" w:firstLineChars="0"/>
                    <w:jc w:val="center"/>
                    <w:rPr>
                      <w:sz w:val="21"/>
                      <w:szCs w:val="21"/>
                    </w:rPr>
                  </w:pPr>
                  <w:r>
                    <w:rPr>
                      <w:rFonts w:hint="eastAsia"/>
                      <w:sz w:val="21"/>
                      <w:szCs w:val="21"/>
                    </w:rPr>
                    <w:t>1</w:t>
                  </w:r>
                </w:p>
              </w:tc>
              <w:tc>
                <w:tcPr>
                  <w:tcW w:w="162" w:type="pct"/>
                  <w:tcBorders>
                    <w:left w:val="double" w:color="auto" w:sz="4" w:space="0"/>
                    <w:right w:val="single" w:color="auto" w:sz="4" w:space="0"/>
                  </w:tcBorders>
                  <w:vAlign w:val="center"/>
                </w:tcPr>
                <w:p>
                  <w:pPr>
                    <w:spacing w:line="240" w:lineRule="auto"/>
                    <w:ind w:right="24" w:rightChars="10" w:firstLine="0" w:firstLineChars="0"/>
                    <w:jc w:val="center"/>
                    <w:rPr>
                      <w:sz w:val="21"/>
                      <w:szCs w:val="21"/>
                    </w:rPr>
                  </w:pPr>
                  <w:r>
                    <w:rPr>
                      <w:rFonts w:hint="eastAsia"/>
                      <w:sz w:val="21"/>
                      <w:szCs w:val="21"/>
                    </w:rPr>
                    <w:t>25</w:t>
                  </w:r>
                </w:p>
              </w:tc>
              <w:tc>
                <w:tcPr>
                  <w:tcW w:w="221" w:type="pct"/>
                  <w:vMerge w:val="continue"/>
                  <w:tcBorders>
                    <w:right w:val="single" w:color="auto" w:sz="4" w:space="0"/>
                  </w:tcBorders>
                  <w:vAlign w:val="center"/>
                </w:tcPr>
                <w:p>
                  <w:pPr>
                    <w:spacing w:line="240" w:lineRule="auto"/>
                    <w:ind w:firstLine="0" w:firstLineChars="0"/>
                    <w:jc w:val="center"/>
                    <w:rPr>
                      <w:sz w:val="21"/>
                      <w:szCs w:val="21"/>
                    </w:rPr>
                  </w:pPr>
                </w:p>
              </w:tc>
              <w:tc>
                <w:tcPr>
                  <w:tcW w:w="785" w:type="pct"/>
                  <w:tcBorders>
                    <w:right w:val="single" w:color="auto" w:sz="4" w:space="0"/>
                  </w:tcBorders>
                  <w:vAlign w:val="center"/>
                </w:tcPr>
                <w:p>
                  <w:pPr>
                    <w:spacing w:line="240" w:lineRule="auto"/>
                    <w:ind w:firstLine="0" w:firstLineChars="0"/>
                    <w:jc w:val="center"/>
                    <w:rPr>
                      <w:sz w:val="21"/>
                      <w:szCs w:val="21"/>
                    </w:rPr>
                  </w:pPr>
                  <w:r>
                    <w:rPr>
                      <w:rFonts w:hint="eastAsia"/>
                      <w:sz w:val="21"/>
                      <w:szCs w:val="21"/>
                    </w:rPr>
                    <w:t>MBR膜组</w:t>
                  </w:r>
                </w:p>
              </w:tc>
              <w:tc>
                <w:tcPr>
                  <w:tcW w:w="806" w:type="pct"/>
                  <w:vAlign w:val="center"/>
                </w:tcPr>
                <w:p>
                  <w:pPr>
                    <w:spacing w:line="240" w:lineRule="auto"/>
                    <w:ind w:right="24" w:rightChars="10" w:firstLine="0" w:firstLineChars="0"/>
                    <w:jc w:val="center"/>
                    <w:rPr>
                      <w:sz w:val="21"/>
                      <w:szCs w:val="21"/>
                    </w:rPr>
                  </w:pPr>
                  <w:r>
                    <w:rPr>
                      <w:rFonts w:hint="eastAsia"/>
                      <w:sz w:val="21"/>
                      <w:szCs w:val="21"/>
                    </w:rPr>
                    <w:t>15m</w:t>
                  </w:r>
                  <w:r>
                    <w:rPr>
                      <w:rFonts w:hint="eastAsia"/>
                      <w:sz w:val="21"/>
                      <w:szCs w:val="21"/>
                      <w:vertAlign w:val="superscript"/>
                    </w:rPr>
                    <w:t>2</w:t>
                  </w:r>
                </w:p>
              </w:tc>
              <w:tc>
                <w:tcPr>
                  <w:tcW w:w="472" w:type="pct"/>
                  <w:tcBorders>
                    <w:right w:val="single" w:color="auto" w:sz="4" w:space="0"/>
                  </w:tcBorders>
                  <w:vAlign w:val="center"/>
                </w:tcPr>
                <w:p>
                  <w:pPr>
                    <w:spacing w:line="240" w:lineRule="auto"/>
                    <w:ind w:right="24" w:rightChars="10" w:firstLine="0" w:firstLineChars="0"/>
                    <w:jc w:val="center"/>
                    <w:rPr>
                      <w:sz w:val="21"/>
                      <w:szCs w:val="21"/>
                    </w:rPr>
                  </w:pPr>
                  <w:r>
                    <w:rPr>
                      <w:rFonts w:hint="eastAsia"/>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39" w:type="pct"/>
                  <w:vAlign w:val="center"/>
                </w:tcPr>
                <w:p>
                  <w:pPr>
                    <w:spacing w:line="240" w:lineRule="auto"/>
                    <w:ind w:right="24" w:rightChars="10" w:firstLine="0" w:firstLineChars="0"/>
                    <w:jc w:val="center"/>
                    <w:rPr>
                      <w:sz w:val="21"/>
                      <w:szCs w:val="21"/>
                    </w:rPr>
                  </w:pPr>
                  <w:r>
                    <w:rPr>
                      <w:rFonts w:hint="eastAsia"/>
                      <w:sz w:val="21"/>
                      <w:szCs w:val="21"/>
                    </w:rPr>
                    <w:t>10</w:t>
                  </w:r>
                </w:p>
              </w:tc>
              <w:tc>
                <w:tcPr>
                  <w:tcW w:w="320" w:type="pct"/>
                  <w:vMerge w:val="continue"/>
                  <w:vAlign w:val="center"/>
                </w:tcPr>
                <w:p>
                  <w:pPr>
                    <w:spacing w:line="240" w:lineRule="auto"/>
                    <w:ind w:firstLine="0" w:firstLineChars="0"/>
                    <w:jc w:val="center"/>
                    <w:rPr>
                      <w:sz w:val="21"/>
                      <w:szCs w:val="21"/>
                    </w:rPr>
                  </w:pPr>
                </w:p>
              </w:tc>
              <w:tc>
                <w:tcPr>
                  <w:tcW w:w="966" w:type="pct"/>
                  <w:vAlign w:val="center"/>
                </w:tcPr>
                <w:p>
                  <w:pPr>
                    <w:spacing w:line="240" w:lineRule="auto"/>
                    <w:ind w:firstLine="0" w:firstLineChars="0"/>
                    <w:jc w:val="center"/>
                    <w:rPr>
                      <w:sz w:val="21"/>
                      <w:szCs w:val="21"/>
                    </w:rPr>
                  </w:pPr>
                  <w:r>
                    <w:rPr>
                      <w:rFonts w:hint="eastAsia"/>
                      <w:sz w:val="21"/>
                      <w:szCs w:val="21"/>
                    </w:rPr>
                    <w:t>血细胞分析仪</w:t>
                  </w:r>
                </w:p>
              </w:tc>
              <w:tc>
                <w:tcPr>
                  <w:tcW w:w="645" w:type="pct"/>
                  <w:vAlign w:val="center"/>
                </w:tcPr>
                <w:p>
                  <w:pPr>
                    <w:spacing w:line="240" w:lineRule="auto"/>
                    <w:ind w:right="24" w:rightChars="10" w:firstLine="0" w:firstLineChars="0"/>
                    <w:jc w:val="center"/>
                    <w:rPr>
                      <w:sz w:val="21"/>
                      <w:szCs w:val="21"/>
                    </w:rPr>
                  </w:pPr>
                  <w:r>
                    <w:rPr>
                      <w:rFonts w:hint="eastAsia"/>
                      <w:sz w:val="21"/>
                      <w:szCs w:val="21"/>
                    </w:rPr>
                    <w:t>80C</w:t>
                  </w:r>
                </w:p>
              </w:tc>
              <w:tc>
                <w:tcPr>
                  <w:tcW w:w="484" w:type="pct"/>
                  <w:tcBorders>
                    <w:right w:val="double" w:color="auto" w:sz="4" w:space="0"/>
                  </w:tcBorders>
                  <w:vAlign w:val="center"/>
                </w:tcPr>
                <w:p>
                  <w:pPr>
                    <w:spacing w:line="240" w:lineRule="auto"/>
                    <w:ind w:right="24" w:rightChars="10" w:firstLine="0" w:firstLineChars="0"/>
                    <w:jc w:val="center"/>
                    <w:rPr>
                      <w:sz w:val="21"/>
                      <w:szCs w:val="21"/>
                    </w:rPr>
                  </w:pPr>
                  <w:r>
                    <w:rPr>
                      <w:rFonts w:hint="eastAsia"/>
                      <w:sz w:val="21"/>
                      <w:szCs w:val="21"/>
                    </w:rPr>
                    <w:t>1</w:t>
                  </w:r>
                </w:p>
              </w:tc>
              <w:tc>
                <w:tcPr>
                  <w:tcW w:w="162" w:type="pct"/>
                  <w:tcBorders>
                    <w:left w:val="double" w:color="auto" w:sz="4" w:space="0"/>
                    <w:right w:val="single" w:color="auto" w:sz="4" w:space="0"/>
                  </w:tcBorders>
                  <w:vAlign w:val="center"/>
                </w:tcPr>
                <w:p>
                  <w:pPr>
                    <w:spacing w:line="240" w:lineRule="auto"/>
                    <w:ind w:right="24" w:rightChars="10" w:firstLine="0" w:firstLineChars="0"/>
                    <w:jc w:val="center"/>
                    <w:rPr>
                      <w:sz w:val="21"/>
                      <w:szCs w:val="21"/>
                    </w:rPr>
                  </w:pPr>
                  <w:r>
                    <w:rPr>
                      <w:rFonts w:hint="eastAsia"/>
                      <w:sz w:val="21"/>
                      <w:szCs w:val="21"/>
                    </w:rPr>
                    <w:t>26</w:t>
                  </w:r>
                </w:p>
              </w:tc>
              <w:tc>
                <w:tcPr>
                  <w:tcW w:w="221" w:type="pct"/>
                  <w:vMerge w:val="continue"/>
                  <w:tcBorders>
                    <w:right w:val="single" w:color="auto" w:sz="4" w:space="0"/>
                  </w:tcBorders>
                  <w:vAlign w:val="center"/>
                </w:tcPr>
                <w:p>
                  <w:pPr>
                    <w:spacing w:line="240" w:lineRule="auto"/>
                    <w:ind w:firstLine="0" w:firstLineChars="0"/>
                    <w:jc w:val="center"/>
                    <w:rPr>
                      <w:sz w:val="21"/>
                      <w:szCs w:val="21"/>
                    </w:rPr>
                  </w:pPr>
                </w:p>
              </w:tc>
              <w:tc>
                <w:tcPr>
                  <w:tcW w:w="785" w:type="pct"/>
                  <w:tcBorders>
                    <w:right w:val="single" w:color="auto" w:sz="4" w:space="0"/>
                  </w:tcBorders>
                  <w:vAlign w:val="center"/>
                </w:tcPr>
                <w:p>
                  <w:pPr>
                    <w:spacing w:line="240" w:lineRule="auto"/>
                    <w:ind w:firstLine="0" w:firstLineChars="0"/>
                    <w:jc w:val="center"/>
                    <w:rPr>
                      <w:sz w:val="21"/>
                      <w:szCs w:val="21"/>
                    </w:rPr>
                  </w:pPr>
                  <w:r>
                    <w:rPr>
                      <w:rFonts w:hint="eastAsia"/>
                      <w:sz w:val="21"/>
                      <w:szCs w:val="21"/>
                    </w:rPr>
                    <w:t>自吸泵</w:t>
                  </w:r>
                </w:p>
              </w:tc>
              <w:tc>
                <w:tcPr>
                  <w:tcW w:w="806" w:type="pct"/>
                  <w:vAlign w:val="center"/>
                </w:tcPr>
                <w:p>
                  <w:pPr>
                    <w:spacing w:line="240" w:lineRule="auto"/>
                    <w:ind w:right="24" w:rightChars="10" w:firstLine="0" w:firstLineChars="0"/>
                    <w:jc w:val="center"/>
                    <w:rPr>
                      <w:sz w:val="21"/>
                      <w:szCs w:val="21"/>
                    </w:rPr>
                  </w:pPr>
                  <w:r>
                    <w:rPr>
                      <w:rFonts w:hint="eastAsia"/>
                      <w:sz w:val="21"/>
                      <w:szCs w:val="21"/>
                    </w:rPr>
                    <w:t>—</w:t>
                  </w:r>
                </w:p>
              </w:tc>
              <w:tc>
                <w:tcPr>
                  <w:tcW w:w="472" w:type="pct"/>
                  <w:tcBorders>
                    <w:right w:val="single" w:color="auto" w:sz="4" w:space="0"/>
                  </w:tcBorders>
                  <w:vAlign w:val="center"/>
                </w:tcPr>
                <w:p>
                  <w:pPr>
                    <w:spacing w:line="240" w:lineRule="auto"/>
                    <w:ind w:right="24" w:rightChars="10" w:firstLine="0" w:firstLineChars="0"/>
                    <w:jc w:val="center"/>
                    <w:rPr>
                      <w:sz w:val="21"/>
                      <w:szCs w:val="21"/>
                    </w:rPr>
                  </w:pPr>
                  <w:r>
                    <w:rPr>
                      <w:rFonts w:hint="eastAsia"/>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39" w:type="pct"/>
                  <w:vAlign w:val="center"/>
                </w:tcPr>
                <w:p>
                  <w:pPr>
                    <w:spacing w:line="240" w:lineRule="auto"/>
                    <w:ind w:right="24" w:rightChars="10" w:firstLine="0" w:firstLineChars="0"/>
                    <w:jc w:val="center"/>
                    <w:rPr>
                      <w:sz w:val="21"/>
                      <w:szCs w:val="21"/>
                    </w:rPr>
                  </w:pPr>
                  <w:r>
                    <w:rPr>
                      <w:rFonts w:hint="eastAsia"/>
                      <w:sz w:val="21"/>
                      <w:szCs w:val="21"/>
                    </w:rPr>
                    <w:t>11</w:t>
                  </w:r>
                </w:p>
              </w:tc>
              <w:tc>
                <w:tcPr>
                  <w:tcW w:w="320" w:type="pct"/>
                  <w:vMerge w:val="continue"/>
                  <w:vAlign w:val="center"/>
                </w:tcPr>
                <w:p>
                  <w:pPr>
                    <w:spacing w:line="240" w:lineRule="auto"/>
                    <w:ind w:firstLine="0" w:firstLineChars="0"/>
                    <w:jc w:val="center"/>
                    <w:rPr>
                      <w:sz w:val="21"/>
                      <w:szCs w:val="21"/>
                    </w:rPr>
                  </w:pPr>
                </w:p>
              </w:tc>
              <w:tc>
                <w:tcPr>
                  <w:tcW w:w="966" w:type="pct"/>
                  <w:vAlign w:val="center"/>
                </w:tcPr>
                <w:p>
                  <w:pPr>
                    <w:spacing w:line="240" w:lineRule="auto"/>
                    <w:ind w:firstLine="0" w:firstLineChars="0"/>
                    <w:jc w:val="center"/>
                    <w:rPr>
                      <w:sz w:val="21"/>
                      <w:szCs w:val="21"/>
                    </w:rPr>
                  </w:pPr>
                  <w:r>
                    <w:rPr>
                      <w:rFonts w:hint="eastAsia"/>
                      <w:sz w:val="21"/>
                      <w:szCs w:val="21"/>
                    </w:rPr>
                    <w:t>全自动凝血分析仪</w:t>
                  </w:r>
                </w:p>
              </w:tc>
              <w:tc>
                <w:tcPr>
                  <w:tcW w:w="645" w:type="pct"/>
                  <w:vAlign w:val="center"/>
                </w:tcPr>
                <w:p>
                  <w:pPr>
                    <w:spacing w:line="240" w:lineRule="auto"/>
                    <w:ind w:right="24" w:rightChars="10" w:firstLine="0" w:firstLineChars="0"/>
                    <w:jc w:val="center"/>
                    <w:rPr>
                      <w:sz w:val="21"/>
                      <w:szCs w:val="21"/>
                    </w:rPr>
                  </w:pPr>
                  <w:r>
                    <w:rPr>
                      <w:rFonts w:hint="eastAsia"/>
                      <w:sz w:val="21"/>
                      <w:szCs w:val="21"/>
                    </w:rPr>
                    <w:t>MC550</w:t>
                  </w:r>
                </w:p>
              </w:tc>
              <w:tc>
                <w:tcPr>
                  <w:tcW w:w="484" w:type="pct"/>
                  <w:tcBorders>
                    <w:right w:val="double" w:color="auto" w:sz="4" w:space="0"/>
                  </w:tcBorders>
                  <w:vAlign w:val="center"/>
                </w:tcPr>
                <w:p>
                  <w:pPr>
                    <w:spacing w:line="240" w:lineRule="auto"/>
                    <w:ind w:right="24" w:rightChars="10" w:firstLine="0" w:firstLineChars="0"/>
                    <w:jc w:val="center"/>
                    <w:rPr>
                      <w:sz w:val="21"/>
                      <w:szCs w:val="21"/>
                    </w:rPr>
                  </w:pPr>
                  <w:r>
                    <w:rPr>
                      <w:rFonts w:hint="eastAsia"/>
                      <w:sz w:val="21"/>
                      <w:szCs w:val="21"/>
                    </w:rPr>
                    <w:t>1</w:t>
                  </w:r>
                </w:p>
              </w:tc>
              <w:tc>
                <w:tcPr>
                  <w:tcW w:w="162" w:type="pct"/>
                  <w:tcBorders>
                    <w:left w:val="double" w:color="auto" w:sz="4" w:space="0"/>
                    <w:right w:val="single" w:color="auto" w:sz="4" w:space="0"/>
                  </w:tcBorders>
                  <w:vAlign w:val="center"/>
                </w:tcPr>
                <w:p>
                  <w:pPr>
                    <w:spacing w:line="240" w:lineRule="auto"/>
                    <w:ind w:right="24" w:rightChars="10" w:firstLine="0" w:firstLineChars="0"/>
                    <w:jc w:val="center"/>
                    <w:rPr>
                      <w:sz w:val="21"/>
                      <w:szCs w:val="21"/>
                    </w:rPr>
                  </w:pPr>
                  <w:r>
                    <w:rPr>
                      <w:rFonts w:hint="eastAsia"/>
                      <w:sz w:val="21"/>
                      <w:szCs w:val="21"/>
                    </w:rPr>
                    <w:t>27</w:t>
                  </w:r>
                </w:p>
              </w:tc>
              <w:tc>
                <w:tcPr>
                  <w:tcW w:w="221" w:type="pct"/>
                  <w:vMerge w:val="continue"/>
                  <w:tcBorders>
                    <w:right w:val="single" w:color="auto" w:sz="4" w:space="0"/>
                  </w:tcBorders>
                  <w:vAlign w:val="center"/>
                </w:tcPr>
                <w:p>
                  <w:pPr>
                    <w:spacing w:line="240" w:lineRule="auto"/>
                    <w:ind w:firstLine="0" w:firstLineChars="0"/>
                    <w:jc w:val="center"/>
                    <w:rPr>
                      <w:sz w:val="21"/>
                      <w:szCs w:val="21"/>
                    </w:rPr>
                  </w:pPr>
                </w:p>
              </w:tc>
              <w:tc>
                <w:tcPr>
                  <w:tcW w:w="785" w:type="pct"/>
                  <w:tcBorders>
                    <w:right w:val="single" w:color="auto" w:sz="4" w:space="0"/>
                  </w:tcBorders>
                  <w:vAlign w:val="center"/>
                </w:tcPr>
                <w:p>
                  <w:pPr>
                    <w:spacing w:line="240" w:lineRule="auto"/>
                    <w:ind w:firstLine="0" w:firstLineChars="0"/>
                    <w:jc w:val="center"/>
                    <w:rPr>
                      <w:sz w:val="21"/>
                      <w:szCs w:val="21"/>
                    </w:rPr>
                  </w:pPr>
                  <w:r>
                    <w:rPr>
                      <w:rFonts w:hint="eastAsia"/>
                      <w:sz w:val="21"/>
                      <w:szCs w:val="21"/>
                    </w:rPr>
                    <w:t>反吸泵</w:t>
                  </w:r>
                </w:p>
              </w:tc>
              <w:tc>
                <w:tcPr>
                  <w:tcW w:w="806" w:type="pct"/>
                  <w:vAlign w:val="center"/>
                </w:tcPr>
                <w:p>
                  <w:pPr>
                    <w:spacing w:line="240" w:lineRule="auto"/>
                    <w:ind w:right="24" w:rightChars="10" w:firstLine="0" w:firstLineChars="0"/>
                    <w:jc w:val="center"/>
                    <w:rPr>
                      <w:sz w:val="21"/>
                      <w:szCs w:val="21"/>
                    </w:rPr>
                  </w:pPr>
                  <w:r>
                    <w:rPr>
                      <w:rFonts w:hint="eastAsia"/>
                      <w:sz w:val="21"/>
                      <w:szCs w:val="21"/>
                    </w:rPr>
                    <w:t>—</w:t>
                  </w:r>
                </w:p>
              </w:tc>
              <w:tc>
                <w:tcPr>
                  <w:tcW w:w="472" w:type="pct"/>
                  <w:tcBorders>
                    <w:right w:val="single" w:color="auto" w:sz="4" w:space="0"/>
                  </w:tcBorders>
                  <w:vAlign w:val="center"/>
                </w:tcPr>
                <w:p>
                  <w:pPr>
                    <w:spacing w:line="240" w:lineRule="auto"/>
                    <w:ind w:right="24" w:rightChars="10" w:firstLine="0" w:firstLineChars="0"/>
                    <w:jc w:val="center"/>
                    <w:rPr>
                      <w:sz w:val="21"/>
                      <w:szCs w:val="21"/>
                    </w:rPr>
                  </w:pPr>
                  <w:r>
                    <w:rPr>
                      <w:rFonts w:hint="eastAsia"/>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39" w:type="pct"/>
                  <w:vAlign w:val="center"/>
                </w:tcPr>
                <w:p>
                  <w:pPr>
                    <w:spacing w:line="240" w:lineRule="auto"/>
                    <w:ind w:right="24" w:rightChars="10" w:firstLine="0" w:firstLineChars="0"/>
                    <w:jc w:val="center"/>
                    <w:rPr>
                      <w:sz w:val="21"/>
                      <w:szCs w:val="21"/>
                    </w:rPr>
                  </w:pPr>
                  <w:r>
                    <w:rPr>
                      <w:rFonts w:hint="eastAsia"/>
                      <w:sz w:val="21"/>
                      <w:szCs w:val="21"/>
                    </w:rPr>
                    <w:t>12</w:t>
                  </w:r>
                </w:p>
              </w:tc>
              <w:tc>
                <w:tcPr>
                  <w:tcW w:w="320" w:type="pct"/>
                  <w:vMerge w:val="continue"/>
                  <w:vAlign w:val="center"/>
                </w:tcPr>
                <w:p>
                  <w:pPr>
                    <w:spacing w:line="240" w:lineRule="auto"/>
                    <w:ind w:firstLine="0" w:firstLineChars="0"/>
                    <w:jc w:val="center"/>
                    <w:rPr>
                      <w:sz w:val="21"/>
                      <w:szCs w:val="21"/>
                    </w:rPr>
                  </w:pPr>
                </w:p>
              </w:tc>
              <w:tc>
                <w:tcPr>
                  <w:tcW w:w="966" w:type="pct"/>
                  <w:vAlign w:val="center"/>
                </w:tcPr>
                <w:p>
                  <w:pPr>
                    <w:spacing w:line="240" w:lineRule="auto"/>
                    <w:ind w:firstLine="0" w:firstLineChars="0"/>
                    <w:jc w:val="center"/>
                    <w:rPr>
                      <w:sz w:val="21"/>
                      <w:szCs w:val="21"/>
                    </w:rPr>
                  </w:pPr>
                  <w:r>
                    <w:rPr>
                      <w:rFonts w:hint="eastAsia"/>
                      <w:sz w:val="21"/>
                      <w:szCs w:val="21"/>
                    </w:rPr>
                    <w:t>生化分析仪</w:t>
                  </w:r>
                </w:p>
              </w:tc>
              <w:tc>
                <w:tcPr>
                  <w:tcW w:w="645" w:type="pct"/>
                  <w:vAlign w:val="center"/>
                </w:tcPr>
                <w:p>
                  <w:pPr>
                    <w:spacing w:line="240" w:lineRule="auto"/>
                    <w:ind w:right="24" w:rightChars="10" w:firstLine="0" w:firstLineChars="0"/>
                    <w:jc w:val="center"/>
                    <w:rPr>
                      <w:sz w:val="21"/>
                      <w:szCs w:val="21"/>
                    </w:rPr>
                  </w:pPr>
                  <w:r>
                    <w:rPr>
                      <w:rFonts w:hint="eastAsia"/>
                      <w:sz w:val="21"/>
                      <w:szCs w:val="21"/>
                    </w:rPr>
                    <w:t>AL680</w:t>
                  </w:r>
                </w:p>
              </w:tc>
              <w:tc>
                <w:tcPr>
                  <w:tcW w:w="484" w:type="pct"/>
                  <w:tcBorders>
                    <w:right w:val="double" w:color="auto" w:sz="4" w:space="0"/>
                  </w:tcBorders>
                  <w:vAlign w:val="center"/>
                </w:tcPr>
                <w:p>
                  <w:pPr>
                    <w:spacing w:line="240" w:lineRule="auto"/>
                    <w:ind w:right="24" w:rightChars="10" w:firstLine="0" w:firstLineChars="0"/>
                    <w:jc w:val="center"/>
                    <w:rPr>
                      <w:sz w:val="21"/>
                      <w:szCs w:val="21"/>
                    </w:rPr>
                  </w:pPr>
                  <w:r>
                    <w:rPr>
                      <w:rFonts w:hint="eastAsia"/>
                      <w:sz w:val="21"/>
                      <w:szCs w:val="21"/>
                    </w:rPr>
                    <w:t>1</w:t>
                  </w:r>
                </w:p>
              </w:tc>
              <w:tc>
                <w:tcPr>
                  <w:tcW w:w="162" w:type="pct"/>
                  <w:tcBorders>
                    <w:left w:val="double" w:color="auto" w:sz="4" w:space="0"/>
                    <w:right w:val="single" w:color="auto" w:sz="4" w:space="0"/>
                  </w:tcBorders>
                  <w:vAlign w:val="center"/>
                </w:tcPr>
                <w:p>
                  <w:pPr>
                    <w:spacing w:line="240" w:lineRule="auto"/>
                    <w:ind w:right="24" w:rightChars="10" w:firstLine="0" w:firstLineChars="0"/>
                    <w:jc w:val="center"/>
                    <w:rPr>
                      <w:sz w:val="21"/>
                      <w:szCs w:val="21"/>
                    </w:rPr>
                  </w:pPr>
                  <w:r>
                    <w:rPr>
                      <w:rFonts w:hint="eastAsia"/>
                      <w:sz w:val="21"/>
                      <w:szCs w:val="21"/>
                    </w:rPr>
                    <w:t>28</w:t>
                  </w:r>
                </w:p>
              </w:tc>
              <w:tc>
                <w:tcPr>
                  <w:tcW w:w="221" w:type="pct"/>
                  <w:tcBorders>
                    <w:right w:val="single" w:color="auto" w:sz="4" w:space="0"/>
                  </w:tcBorders>
                  <w:vAlign w:val="center"/>
                </w:tcPr>
                <w:p>
                  <w:pPr>
                    <w:spacing w:line="240" w:lineRule="auto"/>
                    <w:ind w:right="24" w:rightChars="10" w:firstLine="0" w:firstLineChars="0"/>
                    <w:jc w:val="center"/>
                    <w:rPr>
                      <w:sz w:val="21"/>
                      <w:szCs w:val="21"/>
                    </w:rPr>
                  </w:pPr>
                  <w:r>
                    <w:rPr>
                      <w:rFonts w:hint="eastAsia"/>
                      <w:sz w:val="21"/>
                      <w:szCs w:val="21"/>
                    </w:rPr>
                    <w:t>—</w:t>
                  </w:r>
                </w:p>
              </w:tc>
              <w:tc>
                <w:tcPr>
                  <w:tcW w:w="785" w:type="pct"/>
                  <w:tcBorders>
                    <w:right w:val="single" w:color="auto" w:sz="4" w:space="0"/>
                  </w:tcBorders>
                  <w:vAlign w:val="center"/>
                </w:tcPr>
                <w:p>
                  <w:pPr>
                    <w:spacing w:line="240" w:lineRule="auto"/>
                    <w:ind w:right="24" w:rightChars="10" w:firstLine="0" w:firstLineChars="0"/>
                    <w:jc w:val="left"/>
                    <w:rPr>
                      <w:sz w:val="21"/>
                      <w:szCs w:val="21"/>
                    </w:rPr>
                  </w:pPr>
                  <w:r>
                    <w:rPr>
                      <w:rFonts w:hint="eastAsia"/>
                      <w:sz w:val="21"/>
                      <w:szCs w:val="21"/>
                    </w:rPr>
                    <w:t>热泵机组/冷却塔</w:t>
                  </w:r>
                </w:p>
              </w:tc>
              <w:tc>
                <w:tcPr>
                  <w:tcW w:w="806" w:type="pct"/>
                  <w:vAlign w:val="center"/>
                </w:tcPr>
                <w:p>
                  <w:pPr>
                    <w:spacing w:line="240" w:lineRule="auto"/>
                    <w:ind w:right="24" w:rightChars="10" w:firstLine="0" w:firstLineChars="0"/>
                    <w:jc w:val="center"/>
                    <w:rPr>
                      <w:sz w:val="21"/>
                      <w:szCs w:val="21"/>
                    </w:rPr>
                  </w:pPr>
                  <w:r>
                    <w:rPr>
                      <w:rFonts w:hint="eastAsia"/>
                      <w:sz w:val="21"/>
                      <w:szCs w:val="21"/>
                    </w:rPr>
                    <w:t>—</w:t>
                  </w:r>
                </w:p>
              </w:tc>
              <w:tc>
                <w:tcPr>
                  <w:tcW w:w="472" w:type="pct"/>
                  <w:tcBorders>
                    <w:right w:val="single" w:color="auto" w:sz="4" w:space="0"/>
                  </w:tcBorders>
                  <w:vAlign w:val="center"/>
                </w:tcPr>
                <w:p>
                  <w:pPr>
                    <w:spacing w:line="240" w:lineRule="auto"/>
                    <w:ind w:right="24" w:rightChars="10" w:firstLine="0" w:firstLineChars="0"/>
                    <w:jc w:val="center"/>
                    <w:rPr>
                      <w:sz w:val="21"/>
                      <w:szCs w:val="21"/>
                    </w:rPr>
                  </w:pPr>
                  <w:r>
                    <w:rPr>
                      <w:rFonts w:hint="eastAsia"/>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39" w:type="pct"/>
                  <w:vAlign w:val="center"/>
                </w:tcPr>
                <w:p>
                  <w:pPr>
                    <w:spacing w:line="240" w:lineRule="auto"/>
                    <w:ind w:right="24" w:rightChars="10" w:firstLine="0" w:firstLineChars="0"/>
                    <w:jc w:val="center"/>
                    <w:rPr>
                      <w:sz w:val="21"/>
                      <w:szCs w:val="21"/>
                    </w:rPr>
                  </w:pPr>
                  <w:r>
                    <w:rPr>
                      <w:rFonts w:hint="eastAsia"/>
                      <w:sz w:val="21"/>
                      <w:szCs w:val="21"/>
                    </w:rPr>
                    <w:t>13</w:t>
                  </w:r>
                </w:p>
              </w:tc>
              <w:tc>
                <w:tcPr>
                  <w:tcW w:w="320" w:type="pct"/>
                  <w:vMerge w:val="continue"/>
                  <w:vAlign w:val="center"/>
                </w:tcPr>
                <w:p>
                  <w:pPr>
                    <w:spacing w:line="240" w:lineRule="auto"/>
                    <w:ind w:firstLine="0" w:firstLineChars="0"/>
                    <w:jc w:val="center"/>
                    <w:rPr>
                      <w:sz w:val="21"/>
                      <w:szCs w:val="21"/>
                    </w:rPr>
                  </w:pPr>
                </w:p>
              </w:tc>
              <w:tc>
                <w:tcPr>
                  <w:tcW w:w="966" w:type="pct"/>
                  <w:vAlign w:val="center"/>
                </w:tcPr>
                <w:p>
                  <w:pPr>
                    <w:spacing w:line="240" w:lineRule="auto"/>
                    <w:ind w:firstLine="0" w:firstLineChars="0"/>
                    <w:jc w:val="center"/>
                    <w:rPr>
                      <w:sz w:val="21"/>
                      <w:szCs w:val="21"/>
                    </w:rPr>
                  </w:pPr>
                  <w:r>
                    <w:rPr>
                      <w:rFonts w:hint="eastAsia"/>
                      <w:sz w:val="21"/>
                      <w:szCs w:val="21"/>
                    </w:rPr>
                    <w:t>尿液化学分析仪</w:t>
                  </w:r>
                </w:p>
              </w:tc>
              <w:tc>
                <w:tcPr>
                  <w:tcW w:w="645" w:type="pct"/>
                  <w:vAlign w:val="center"/>
                </w:tcPr>
                <w:p>
                  <w:pPr>
                    <w:spacing w:line="240" w:lineRule="auto"/>
                    <w:ind w:right="24" w:rightChars="10" w:firstLine="0" w:firstLineChars="0"/>
                    <w:jc w:val="center"/>
                    <w:rPr>
                      <w:sz w:val="21"/>
                      <w:szCs w:val="21"/>
                    </w:rPr>
                  </w:pPr>
                  <w:r>
                    <w:rPr>
                      <w:rFonts w:hint="eastAsia"/>
                      <w:sz w:val="21"/>
                      <w:szCs w:val="21"/>
                    </w:rPr>
                    <w:t>Mejer-600Ⅱ型</w:t>
                  </w:r>
                </w:p>
              </w:tc>
              <w:tc>
                <w:tcPr>
                  <w:tcW w:w="484" w:type="pct"/>
                  <w:tcBorders>
                    <w:right w:val="double" w:color="auto" w:sz="4" w:space="0"/>
                  </w:tcBorders>
                  <w:vAlign w:val="center"/>
                </w:tcPr>
                <w:p>
                  <w:pPr>
                    <w:spacing w:line="240" w:lineRule="auto"/>
                    <w:ind w:right="24" w:rightChars="10" w:firstLine="0" w:firstLineChars="0"/>
                    <w:jc w:val="center"/>
                    <w:rPr>
                      <w:sz w:val="21"/>
                      <w:szCs w:val="21"/>
                    </w:rPr>
                  </w:pPr>
                  <w:r>
                    <w:rPr>
                      <w:rFonts w:hint="eastAsia"/>
                      <w:sz w:val="21"/>
                      <w:szCs w:val="21"/>
                    </w:rPr>
                    <w:t>1</w:t>
                  </w:r>
                </w:p>
              </w:tc>
              <w:tc>
                <w:tcPr>
                  <w:tcW w:w="162" w:type="pct"/>
                  <w:tcBorders>
                    <w:left w:val="double" w:color="auto" w:sz="4" w:space="0"/>
                    <w:right w:val="single" w:color="auto" w:sz="4" w:space="0"/>
                  </w:tcBorders>
                  <w:vAlign w:val="center"/>
                </w:tcPr>
                <w:p>
                  <w:pPr>
                    <w:spacing w:line="240" w:lineRule="auto"/>
                    <w:ind w:right="24" w:rightChars="10" w:firstLine="0" w:firstLineChars="0"/>
                    <w:jc w:val="center"/>
                    <w:rPr>
                      <w:sz w:val="21"/>
                      <w:szCs w:val="21"/>
                    </w:rPr>
                  </w:pPr>
                  <w:r>
                    <w:rPr>
                      <w:rFonts w:hint="eastAsia"/>
                      <w:sz w:val="21"/>
                      <w:szCs w:val="21"/>
                    </w:rPr>
                    <w:t>/</w:t>
                  </w:r>
                </w:p>
              </w:tc>
              <w:tc>
                <w:tcPr>
                  <w:tcW w:w="221" w:type="pct"/>
                  <w:tcBorders>
                    <w:right w:val="single" w:color="auto" w:sz="4" w:space="0"/>
                  </w:tcBorders>
                  <w:vAlign w:val="center"/>
                </w:tcPr>
                <w:p>
                  <w:pPr>
                    <w:spacing w:line="240" w:lineRule="auto"/>
                    <w:ind w:right="24" w:rightChars="10" w:firstLine="0" w:firstLineChars="0"/>
                    <w:jc w:val="center"/>
                    <w:rPr>
                      <w:sz w:val="21"/>
                      <w:szCs w:val="21"/>
                    </w:rPr>
                  </w:pPr>
                  <w:r>
                    <w:rPr>
                      <w:rFonts w:hint="eastAsia"/>
                      <w:sz w:val="21"/>
                      <w:szCs w:val="21"/>
                    </w:rPr>
                    <w:t>/</w:t>
                  </w:r>
                </w:p>
              </w:tc>
              <w:tc>
                <w:tcPr>
                  <w:tcW w:w="785" w:type="pct"/>
                  <w:tcBorders>
                    <w:right w:val="single" w:color="auto" w:sz="4" w:space="0"/>
                  </w:tcBorders>
                  <w:vAlign w:val="center"/>
                </w:tcPr>
                <w:p>
                  <w:pPr>
                    <w:spacing w:line="240" w:lineRule="auto"/>
                    <w:ind w:right="24" w:rightChars="10" w:firstLine="0" w:firstLineChars="0"/>
                    <w:jc w:val="center"/>
                    <w:rPr>
                      <w:sz w:val="21"/>
                      <w:szCs w:val="21"/>
                    </w:rPr>
                  </w:pPr>
                  <w:r>
                    <w:rPr>
                      <w:rFonts w:hint="eastAsia"/>
                      <w:sz w:val="21"/>
                      <w:szCs w:val="21"/>
                    </w:rPr>
                    <w:t>/</w:t>
                  </w:r>
                </w:p>
              </w:tc>
              <w:tc>
                <w:tcPr>
                  <w:tcW w:w="806" w:type="pct"/>
                  <w:vAlign w:val="center"/>
                </w:tcPr>
                <w:p>
                  <w:pPr>
                    <w:spacing w:line="240" w:lineRule="auto"/>
                    <w:ind w:right="24" w:rightChars="10" w:firstLine="0" w:firstLineChars="0"/>
                    <w:jc w:val="center"/>
                    <w:rPr>
                      <w:sz w:val="21"/>
                      <w:szCs w:val="21"/>
                    </w:rPr>
                  </w:pPr>
                  <w:r>
                    <w:rPr>
                      <w:rFonts w:hint="eastAsia"/>
                      <w:sz w:val="21"/>
                      <w:szCs w:val="21"/>
                    </w:rPr>
                    <w:t>/</w:t>
                  </w:r>
                </w:p>
              </w:tc>
              <w:tc>
                <w:tcPr>
                  <w:tcW w:w="472" w:type="pct"/>
                  <w:tcBorders>
                    <w:right w:val="single" w:color="auto" w:sz="4" w:space="0"/>
                  </w:tcBorders>
                  <w:vAlign w:val="center"/>
                </w:tcPr>
                <w:p>
                  <w:pPr>
                    <w:spacing w:line="240" w:lineRule="auto"/>
                    <w:ind w:right="24" w:rightChars="10" w:firstLine="0" w:firstLineChars="0"/>
                    <w:jc w:val="center"/>
                    <w:rPr>
                      <w:sz w:val="21"/>
                      <w:szCs w:val="21"/>
                    </w:rPr>
                  </w:pPr>
                  <w:r>
                    <w:rPr>
                      <w:rFonts w:hint="eastAsia"/>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39" w:type="pct"/>
                  <w:vAlign w:val="center"/>
                </w:tcPr>
                <w:p>
                  <w:pPr>
                    <w:spacing w:line="240" w:lineRule="auto"/>
                    <w:ind w:right="24" w:rightChars="10" w:firstLine="0" w:firstLineChars="0"/>
                    <w:jc w:val="center"/>
                    <w:rPr>
                      <w:sz w:val="21"/>
                      <w:szCs w:val="21"/>
                    </w:rPr>
                  </w:pPr>
                  <w:r>
                    <w:rPr>
                      <w:rFonts w:hint="eastAsia"/>
                      <w:sz w:val="21"/>
                      <w:szCs w:val="21"/>
                    </w:rPr>
                    <w:t>14</w:t>
                  </w:r>
                </w:p>
              </w:tc>
              <w:tc>
                <w:tcPr>
                  <w:tcW w:w="320" w:type="pct"/>
                  <w:vMerge w:val="continue"/>
                  <w:vAlign w:val="center"/>
                </w:tcPr>
                <w:p>
                  <w:pPr>
                    <w:spacing w:line="240" w:lineRule="auto"/>
                    <w:ind w:firstLine="0" w:firstLineChars="0"/>
                    <w:jc w:val="center"/>
                    <w:rPr>
                      <w:sz w:val="21"/>
                      <w:szCs w:val="21"/>
                    </w:rPr>
                  </w:pPr>
                </w:p>
              </w:tc>
              <w:tc>
                <w:tcPr>
                  <w:tcW w:w="966" w:type="pct"/>
                  <w:vAlign w:val="center"/>
                </w:tcPr>
                <w:p>
                  <w:pPr>
                    <w:spacing w:line="240" w:lineRule="auto"/>
                    <w:ind w:firstLine="0" w:firstLineChars="0"/>
                    <w:jc w:val="center"/>
                    <w:rPr>
                      <w:sz w:val="21"/>
                      <w:szCs w:val="21"/>
                    </w:rPr>
                  </w:pPr>
                  <w:r>
                    <w:rPr>
                      <w:rFonts w:hint="eastAsia"/>
                      <w:sz w:val="21"/>
                      <w:szCs w:val="21"/>
                    </w:rPr>
                    <w:t>电解质分析仪</w:t>
                  </w:r>
                </w:p>
              </w:tc>
              <w:tc>
                <w:tcPr>
                  <w:tcW w:w="645" w:type="pct"/>
                  <w:vAlign w:val="center"/>
                </w:tcPr>
                <w:p>
                  <w:pPr>
                    <w:spacing w:line="240" w:lineRule="auto"/>
                    <w:ind w:right="24" w:rightChars="10" w:firstLine="0" w:firstLineChars="0"/>
                    <w:jc w:val="center"/>
                    <w:rPr>
                      <w:sz w:val="21"/>
                      <w:szCs w:val="21"/>
                    </w:rPr>
                  </w:pPr>
                  <w:r>
                    <w:rPr>
                      <w:rFonts w:hint="eastAsia"/>
                      <w:sz w:val="21"/>
                      <w:szCs w:val="21"/>
                    </w:rPr>
                    <w:t>CBS-400</w:t>
                  </w:r>
                </w:p>
              </w:tc>
              <w:tc>
                <w:tcPr>
                  <w:tcW w:w="484" w:type="pct"/>
                  <w:tcBorders>
                    <w:right w:val="double" w:color="auto" w:sz="4" w:space="0"/>
                  </w:tcBorders>
                  <w:vAlign w:val="center"/>
                </w:tcPr>
                <w:p>
                  <w:pPr>
                    <w:spacing w:line="240" w:lineRule="auto"/>
                    <w:ind w:right="24" w:rightChars="10" w:firstLine="0" w:firstLineChars="0"/>
                    <w:jc w:val="center"/>
                    <w:rPr>
                      <w:sz w:val="21"/>
                      <w:szCs w:val="21"/>
                    </w:rPr>
                  </w:pPr>
                  <w:r>
                    <w:rPr>
                      <w:rFonts w:hint="eastAsia"/>
                      <w:sz w:val="21"/>
                      <w:szCs w:val="21"/>
                    </w:rPr>
                    <w:t>1</w:t>
                  </w:r>
                </w:p>
              </w:tc>
              <w:tc>
                <w:tcPr>
                  <w:tcW w:w="162" w:type="pct"/>
                  <w:tcBorders>
                    <w:left w:val="double" w:color="auto" w:sz="4" w:space="0"/>
                    <w:right w:val="single" w:color="auto" w:sz="4" w:space="0"/>
                  </w:tcBorders>
                  <w:vAlign w:val="center"/>
                </w:tcPr>
                <w:p>
                  <w:pPr>
                    <w:spacing w:line="240" w:lineRule="auto"/>
                    <w:ind w:right="24" w:rightChars="10" w:firstLine="0" w:firstLineChars="0"/>
                    <w:jc w:val="center"/>
                    <w:rPr>
                      <w:sz w:val="21"/>
                      <w:szCs w:val="21"/>
                    </w:rPr>
                  </w:pPr>
                  <w:r>
                    <w:rPr>
                      <w:rFonts w:hint="eastAsia"/>
                      <w:sz w:val="21"/>
                      <w:szCs w:val="21"/>
                    </w:rPr>
                    <w:t>/</w:t>
                  </w:r>
                </w:p>
              </w:tc>
              <w:tc>
                <w:tcPr>
                  <w:tcW w:w="221" w:type="pct"/>
                  <w:tcBorders>
                    <w:right w:val="single" w:color="auto" w:sz="4" w:space="0"/>
                  </w:tcBorders>
                  <w:vAlign w:val="center"/>
                </w:tcPr>
                <w:p>
                  <w:pPr>
                    <w:spacing w:line="240" w:lineRule="auto"/>
                    <w:ind w:right="24" w:rightChars="10" w:firstLine="0" w:firstLineChars="0"/>
                    <w:jc w:val="center"/>
                    <w:rPr>
                      <w:sz w:val="21"/>
                      <w:szCs w:val="21"/>
                    </w:rPr>
                  </w:pPr>
                  <w:r>
                    <w:rPr>
                      <w:rFonts w:hint="eastAsia"/>
                      <w:sz w:val="21"/>
                      <w:szCs w:val="21"/>
                    </w:rPr>
                    <w:t>/</w:t>
                  </w:r>
                </w:p>
              </w:tc>
              <w:tc>
                <w:tcPr>
                  <w:tcW w:w="785" w:type="pct"/>
                  <w:tcBorders>
                    <w:right w:val="single" w:color="auto" w:sz="4" w:space="0"/>
                  </w:tcBorders>
                  <w:vAlign w:val="center"/>
                </w:tcPr>
                <w:p>
                  <w:pPr>
                    <w:spacing w:line="240" w:lineRule="auto"/>
                    <w:ind w:right="24" w:rightChars="10" w:firstLine="0" w:firstLineChars="0"/>
                    <w:jc w:val="center"/>
                    <w:rPr>
                      <w:sz w:val="21"/>
                      <w:szCs w:val="21"/>
                    </w:rPr>
                  </w:pPr>
                  <w:r>
                    <w:rPr>
                      <w:rFonts w:hint="eastAsia"/>
                      <w:sz w:val="21"/>
                      <w:szCs w:val="21"/>
                    </w:rPr>
                    <w:t>/</w:t>
                  </w:r>
                </w:p>
              </w:tc>
              <w:tc>
                <w:tcPr>
                  <w:tcW w:w="806" w:type="pct"/>
                  <w:vAlign w:val="center"/>
                </w:tcPr>
                <w:p>
                  <w:pPr>
                    <w:spacing w:line="240" w:lineRule="auto"/>
                    <w:ind w:right="24" w:rightChars="10" w:firstLine="0" w:firstLineChars="0"/>
                    <w:jc w:val="center"/>
                    <w:rPr>
                      <w:sz w:val="21"/>
                      <w:szCs w:val="21"/>
                    </w:rPr>
                  </w:pPr>
                  <w:r>
                    <w:rPr>
                      <w:rFonts w:hint="eastAsia"/>
                      <w:sz w:val="21"/>
                      <w:szCs w:val="21"/>
                    </w:rPr>
                    <w:t>/</w:t>
                  </w:r>
                </w:p>
              </w:tc>
              <w:tc>
                <w:tcPr>
                  <w:tcW w:w="472" w:type="pct"/>
                  <w:tcBorders>
                    <w:right w:val="single" w:color="auto" w:sz="4" w:space="0"/>
                  </w:tcBorders>
                  <w:vAlign w:val="center"/>
                </w:tcPr>
                <w:p>
                  <w:pPr>
                    <w:spacing w:line="240" w:lineRule="auto"/>
                    <w:ind w:right="24" w:rightChars="10" w:firstLine="0" w:firstLineChars="0"/>
                    <w:jc w:val="center"/>
                    <w:rPr>
                      <w:sz w:val="21"/>
                      <w:szCs w:val="21"/>
                    </w:rPr>
                  </w:pPr>
                  <w:r>
                    <w:rPr>
                      <w:rFonts w:hint="eastAsia"/>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39" w:type="pct"/>
                  <w:vAlign w:val="center"/>
                </w:tcPr>
                <w:p>
                  <w:pPr>
                    <w:spacing w:line="240" w:lineRule="auto"/>
                    <w:ind w:right="24" w:rightChars="10" w:firstLine="0" w:firstLineChars="0"/>
                    <w:jc w:val="center"/>
                    <w:rPr>
                      <w:sz w:val="21"/>
                      <w:szCs w:val="21"/>
                    </w:rPr>
                  </w:pPr>
                  <w:r>
                    <w:rPr>
                      <w:rFonts w:hint="eastAsia"/>
                      <w:sz w:val="21"/>
                      <w:szCs w:val="21"/>
                    </w:rPr>
                    <w:t>15</w:t>
                  </w:r>
                </w:p>
              </w:tc>
              <w:tc>
                <w:tcPr>
                  <w:tcW w:w="320" w:type="pct"/>
                  <w:vMerge w:val="continue"/>
                  <w:vAlign w:val="center"/>
                </w:tcPr>
                <w:p>
                  <w:pPr>
                    <w:spacing w:line="240" w:lineRule="auto"/>
                    <w:ind w:firstLine="0" w:firstLineChars="0"/>
                    <w:jc w:val="center"/>
                    <w:rPr>
                      <w:sz w:val="21"/>
                      <w:szCs w:val="21"/>
                    </w:rPr>
                  </w:pPr>
                </w:p>
              </w:tc>
              <w:tc>
                <w:tcPr>
                  <w:tcW w:w="966" w:type="pct"/>
                  <w:vAlign w:val="center"/>
                </w:tcPr>
                <w:p>
                  <w:pPr>
                    <w:spacing w:line="240" w:lineRule="auto"/>
                    <w:ind w:firstLine="0" w:firstLineChars="0"/>
                    <w:jc w:val="center"/>
                    <w:rPr>
                      <w:sz w:val="21"/>
                      <w:szCs w:val="21"/>
                    </w:rPr>
                  </w:pPr>
                  <w:r>
                    <w:rPr>
                      <w:rFonts w:hint="eastAsia"/>
                      <w:sz w:val="21"/>
                      <w:szCs w:val="21"/>
                    </w:rPr>
                    <w:t>台式高速离心机</w:t>
                  </w:r>
                </w:p>
              </w:tc>
              <w:tc>
                <w:tcPr>
                  <w:tcW w:w="645" w:type="pct"/>
                  <w:vAlign w:val="center"/>
                </w:tcPr>
                <w:p>
                  <w:pPr>
                    <w:spacing w:line="240" w:lineRule="auto"/>
                    <w:ind w:right="24" w:rightChars="10" w:firstLine="0" w:firstLineChars="0"/>
                    <w:jc w:val="center"/>
                    <w:rPr>
                      <w:sz w:val="21"/>
                      <w:szCs w:val="21"/>
                    </w:rPr>
                  </w:pPr>
                  <w:r>
                    <w:rPr>
                      <w:rFonts w:hint="eastAsia"/>
                      <w:sz w:val="21"/>
                      <w:szCs w:val="21"/>
                    </w:rPr>
                    <w:t>BH-16MR</w:t>
                  </w:r>
                </w:p>
              </w:tc>
              <w:tc>
                <w:tcPr>
                  <w:tcW w:w="484" w:type="pct"/>
                  <w:tcBorders>
                    <w:right w:val="double" w:color="auto" w:sz="4" w:space="0"/>
                  </w:tcBorders>
                  <w:vAlign w:val="center"/>
                </w:tcPr>
                <w:p>
                  <w:pPr>
                    <w:spacing w:line="240" w:lineRule="auto"/>
                    <w:ind w:right="24" w:rightChars="10" w:firstLine="0" w:firstLineChars="0"/>
                    <w:jc w:val="center"/>
                    <w:rPr>
                      <w:sz w:val="21"/>
                      <w:szCs w:val="21"/>
                    </w:rPr>
                  </w:pPr>
                  <w:r>
                    <w:rPr>
                      <w:rFonts w:hint="eastAsia"/>
                      <w:sz w:val="21"/>
                      <w:szCs w:val="21"/>
                    </w:rPr>
                    <w:t>1</w:t>
                  </w:r>
                </w:p>
              </w:tc>
              <w:tc>
                <w:tcPr>
                  <w:tcW w:w="162" w:type="pct"/>
                  <w:tcBorders>
                    <w:left w:val="double" w:color="auto" w:sz="4" w:space="0"/>
                    <w:right w:val="single" w:color="auto" w:sz="4" w:space="0"/>
                  </w:tcBorders>
                  <w:vAlign w:val="center"/>
                </w:tcPr>
                <w:p>
                  <w:pPr>
                    <w:spacing w:line="240" w:lineRule="auto"/>
                    <w:ind w:right="24" w:rightChars="10" w:firstLine="0" w:firstLineChars="0"/>
                    <w:jc w:val="center"/>
                    <w:rPr>
                      <w:sz w:val="21"/>
                      <w:szCs w:val="21"/>
                    </w:rPr>
                  </w:pPr>
                  <w:r>
                    <w:rPr>
                      <w:rFonts w:hint="eastAsia"/>
                      <w:sz w:val="21"/>
                      <w:szCs w:val="21"/>
                    </w:rPr>
                    <w:t>/</w:t>
                  </w:r>
                </w:p>
              </w:tc>
              <w:tc>
                <w:tcPr>
                  <w:tcW w:w="221" w:type="pct"/>
                  <w:tcBorders>
                    <w:right w:val="single" w:color="auto" w:sz="4" w:space="0"/>
                  </w:tcBorders>
                  <w:vAlign w:val="center"/>
                </w:tcPr>
                <w:p>
                  <w:pPr>
                    <w:spacing w:line="240" w:lineRule="auto"/>
                    <w:ind w:right="24" w:rightChars="10" w:firstLine="0" w:firstLineChars="0"/>
                    <w:jc w:val="center"/>
                    <w:rPr>
                      <w:sz w:val="21"/>
                      <w:szCs w:val="21"/>
                    </w:rPr>
                  </w:pPr>
                  <w:r>
                    <w:rPr>
                      <w:rFonts w:hint="eastAsia"/>
                      <w:sz w:val="21"/>
                      <w:szCs w:val="21"/>
                    </w:rPr>
                    <w:t>/</w:t>
                  </w:r>
                </w:p>
              </w:tc>
              <w:tc>
                <w:tcPr>
                  <w:tcW w:w="785" w:type="pct"/>
                  <w:tcBorders>
                    <w:right w:val="single" w:color="auto" w:sz="4" w:space="0"/>
                  </w:tcBorders>
                  <w:vAlign w:val="center"/>
                </w:tcPr>
                <w:p>
                  <w:pPr>
                    <w:spacing w:line="240" w:lineRule="auto"/>
                    <w:ind w:right="24" w:rightChars="10" w:firstLine="0" w:firstLineChars="0"/>
                    <w:jc w:val="center"/>
                    <w:rPr>
                      <w:sz w:val="21"/>
                      <w:szCs w:val="21"/>
                    </w:rPr>
                  </w:pPr>
                  <w:r>
                    <w:rPr>
                      <w:rFonts w:hint="eastAsia"/>
                      <w:sz w:val="21"/>
                      <w:szCs w:val="21"/>
                    </w:rPr>
                    <w:t>/</w:t>
                  </w:r>
                </w:p>
              </w:tc>
              <w:tc>
                <w:tcPr>
                  <w:tcW w:w="806" w:type="pct"/>
                  <w:vAlign w:val="center"/>
                </w:tcPr>
                <w:p>
                  <w:pPr>
                    <w:spacing w:line="240" w:lineRule="auto"/>
                    <w:ind w:right="24" w:rightChars="10" w:firstLine="0" w:firstLineChars="0"/>
                    <w:jc w:val="center"/>
                    <w:rPr>
                      <w:sz w:val="21"/>
                      <w:szCs w:val="21"/>
                    </w:rPr>
                  </w:pPr>
                  <w:r>
                    <w:rPr>
                      <w:rFonts w:hint="eastAsia"/>
                      <w:sz w:val="21"/>
                      <w:szCs w:val="21"/>
                    </w:rPr>
                    <w:t>/</w:t>
                  </w:r>
                </w:p>
              </w:tc>
              <w:tc>
                <w:tcPr>
                  <w:tcW w:w="472" w:type="pct"/>
                  <w:tcBorders>
                    <w:right w:val="single" w:color="auto" w:sz="4" w:space="0"/>
                  </w:tcBorders>
                  <w:vAlign w:val="center"/>
                </w:tcPr>
                <w:p>
                  <w:pPr>
                    <w:spacing w:line="240" w:lineRule="auto"/>
                    <w:ind w:right="24" w:rightChars="10" w:firstLine="0" w:firstLineChars="0"/>
                    <w:jc w:val="center"/>
                    <w:rPr>
                      <w:sz w:val="21"/>
                      <w:szCs w:val="21"/>
                    </w:rPr>
                  </w:pPr>
                  <w:r>
                    <w:rPr>
                      <w:rFonts w:hint="eastAsia"/>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39" w:type="pct"/>
                  <w:vAlign w:val="center"/>
                </w:tcPr>
                <w:p>
                  <w:pPr>
                    <w:spacing w:line="240" w:lineRule="auto"/>
                    <w:ind w:right="24" w:rightChars="10" w:firstLine="0" w:firstLineChars="0"/>
                    <w:jc w:val="center"/>
                    <w:rPr>
                      <w:sz w:val="21"/>
                      <w:szCs w:val="21"/>
                    </w:rPr>
                  </w:pPr>
                  <w:r>
                    <w:rPr>
                      <w:rFonts w:hint="eastAsia"/>
                      <w:sz w:val="21"/>
                      <w:szCs w:val="21"/>
                    </w:rPr>
                    <w:t>16</w:t>
                  </w:r>
                </w:p>
              </w:tc>
              <w:tc>
                <w:tcPr>
                  <w:tcW w:w="1286" w:type="pct"/>
                  <w:gridSpan w:val="2"/>
                  <w:vAlign w:val="center"/>
                </w:tcPr>
                <w:p>
                  <w:pPr>
                    <w:spacing w:line="240" w:lineRule="auto"/>
                    <w:ind w:firstLine="0" w:firstLineChars="0"/>
                    <w:jc w:val="center"/>
                    <w:rPr>
                      <w:sz w:val="21"/>
                      <w:szCs w:val="21"/>
                    </w:rPr>
                  </w:pPr>
                  <w:r>
                    <w:rPr>
                      <w:rFonts w:hint="eastAsia"/>
                      <w:sz w:val="21"/>
                      <w:szCs w:val="21"/>
                    </w:rPr>
                    <w:t>其他医疗辅助设备</w:t>
                  </w:r>
                </w:p>
              </w:tc>
              <w:tc>
                <w:tcPr>
                  <w:tcW w:w="645" w:type="pct"/>
                  <w:vAlign w:val="center"/>
                </w:tcPr>
                <w:p>
                  <w:pPr>
                    <w:spacing w:line="240" w:lineRule="auto"/>
                    <w:ind w:right="24" w:rightChars="10" w:firstLine="0" w:firstLineChars="0"/>
                    <w:jc w:val="center"/>
                    <w:rPr>
                      <w:sz w:val="21"/>
                      <w:szCs w:val="21"/>
                    </w:rPr>
                  </w:pPr>
                  <w:r>
                    <w:rPr>
                      <w:rFonts w:hint="eastAsia"/>
                      <w:sz w:val="21"/>
                      <w:szCs w:val="21"/>
                    </w:rPr>
                    <w:t>—</w:t>
                  </w:r>
                </w:p>
              </w:tc>
              <w:tc>
                <w:tcPr>
                  <w:tcW w:w="484" w:type="pct"/>
                  <w:tcBorders>
                    <w:right w:val="double" w:color="auto" w:sz="4" w:space="0"/>
                  </w:tcBorders>
                  <w:vAlign w:val="center"/>
                </w:tcPr>
                <w:p>
                  <w:pPr>
                    <w:spacing w:line="240" w:lineRule="auto"/>
                    <w:ind w:right="24" w:rightChars="10" w:firstLine="0" w:firstLineChars="0"/>
                    <w:jc w:val="center"/>
                    <w:rPr>
                      <w:sz w:val="21"/>
                      <w:szCs w:val="21"/>
                    </w:rPr>
                  </w:pPr>
                  <w:r>
                    <w:rPr>
                      <w:rFonts w:hint="eastAsia"/>
                      <w:sz w:val="21"/>
                      <w:szCs w:val="21"/>
                    </w:rPr>
                    <w:t>若干</w:t>
                  </w:r>
                </w:p>
              </w:tc>
              <w:tc>
                <w:tcPr>
                  <w:tcW w:w="162" w:type="pct"/>
                  <w:tcBorders>
                    <w:left w:val="double" w:color="auto" w:sz="4" w:space="0"/>
                    <w:right w:val="single" w:color="auto" w:sz="4" w:space="0"/>
                  </w:tcBorders>
                  <w:vAlign w:val="center"/>
                </w:tcPr>
                <w:p>
                  <w:pPr>
                    <w:spacing w:line="240" w:lineRule="auto"/>
                    <w:ind w:right="24" w:rightChars="10" w:firstLine="0" w:firstLineChars="0"/>
                    <w:jc w:val="center"/>
                    <w:rPr>
                      <w:sz w:val="21"/>
                      <w:szCs w:val="21"/>
                    </w:rPr>
                  </w:pPr>
                  <w:r>
                    <w:rPr>
                      <w:rFonts w:hint="eastAsia"/>
                      <w:sz w:val="21"/>
                      <w:szCs w:val="21"/>
                    </w:rPr>
                    <w:t>/</w:t>
                  </w:r>
                </w:p>
              </w:tc>
              <w:tc>
                <w:tcPr>
                  <w:tcW w:w="221" w:type="pct"/>
                  <w:tcBorders>
                    <w:right w:val="single" w:color="auto" w:sz="4" w:space="0"/>
                  </w:tcBorders>
                  <w:vAlign w:val="center"/>
                </w:tcPr>
                <w:p>
                  <w:pPr>
                    <w:spacing w:line="240" w:lineRule="auto"/>
                    <w:ind w:right="24" w:rightChars="10" w:firstLine="0" w:firstLineChars="0"/>
                    <w:jc w:val="center"/>
                    <w:rPr>
                      <w:sz w:val="21"/>
                      <w:szCs w:val="21"/>
                    </w:rPr>
                  </w:pPr>
                  <w:r>
                    <w:rPr>
                      <w:rFonts w:hint="eastAsia"/>
                      <w:sz w:val="21"/>
                      <w:szCs w:val="21"/>
                    </w:rPr>
                    <w:t>/</w:t>
                  </w:r>
                </w:p>
              </w:tc>
              <w:tc>
                <w:tcPr>
                  <w:tcW w:w="785" w:type="pct"/>
                  <w:tcBorders>
                    <w:right w:val="single" w:color="auto" w:sz="4" w:space="0"/>
                  </w:tcBorders>
                  <w:vAlign w:val="center"/>
                </w:tcPr>
                <w:p>
                  <w:pPr>
                    <w:spacing w:line="240" w:lineRule="auto"/>
                    <w:ind w:right="24" w:rightChars="10" w:firstLine="0" w:firstLineChars="0"/>
                    <w:jc w:val="center"/>
                    <w:rPr>
                      <w:sz w:val="21"/>
                      <w:szCs w:val="21"/>
                    </w:rPr>
                  </w:pPr>
                  <w:r>
                    <w:rPr>
                      <w:rFonts w:hint="eastAsia"/>
                      <w:sz w:val="21"/>
                      <w:szCs w:val="21"/>
                    </w:rPr>
                    <w:t>/</w:t>
                  </w:r>
                </w:p>
              </w:tc>
              <w:tc>
                <w:tcPr>
                  <w:tcW w:w="806" w:type="pct"/>
                  <w:vAlign w:val="center"/>
                </w:tcPr>
                <w:p>
                  <w:pPr>
                    <w:spacing w:line="240" w:lineRule="auto"/>
                    <w:ind w:right="24" w:rightChars="10" w:firstLine="0" w:firstLineChars="0"/>
                    <w:jc w:val="center"/>
                    <w:rPr>
                      <w:sz w:val="21"/>
                      <w:szCs w:val="21"/>
                    </w:rPr>
                  </w:pPr>
                  <w:r>
                    <w:rPr>
                      <w:rFonts w:hint="eastAsia"/>
                      <w:sz w:val="21"/>
                      <w:szCs w:val="21"/>
                    </w:rPr>
                    <w:t>/</w:t>
                  </w:r>
                </w:p>
              </w:tc>
              <w:tc>
                <w:tcPr>
                  <w:tcW w:w="472" w:type="pct"/>
                  <w:tcBorders>
                    <w:right w:val="single" w:color="auto" w:sz="4" w:space="0"/>
                  </w:tcBorders>
                  <w:vAlign w:val="center"/>
                </w:tcPr>
                <w:p>
                  <w:pPr>
                    <w:spacing w:line="240" w:lineRule="auto"/>
                    <w:ind w:right="24" w:rightChars="10" w:firstLine="0" w:firstLineChars="0"/>
                    <w:jc w:val="center"/>
                    <w:rPr>
                      <w:sz w:val="21"/>
                      <w:szCs w:val="21"/>
                    </w:rPr>
                  </w:pPr>
                  <w:r>
                    <w:rPr>
                      <w:rFonts w:hint="eastAsia"/>
                      <w:sz w:val="21"/>
                      <w:szCs w:val="21"/>
                    </w:rPr>
                    <w:t>/</w:t>
                  </w:r>
                </w:p>
              </w:tc>
            </w:tr>
          </w:tbl>
          <w:p>
            <w:pPr>
              <w:ind w:left="24" w:leftChars="10" w:firstLine="0" w:firstLineChars="0"/>
              <w:jc w:val="left"/>
              <w:rPr>
                <w:b/>
              </w:rPr>
            </w:pPr>
            <w:r>
              <w:rPr>
                <w:rFonts w:hint="eastAsia"/>
                <w:b/>
              </w:rPr>
              <w:t>4、主要原辅材料及能源消耗</w:t>
            </w:r>
          </w:p>
          <w:p>
            <w:pPr>
              <w:ind w:left="24" w:leftChars="10" w:right="24" w:rightChars="10" w:firstLine="480"/>
              <w:jc w:val="left"/>
            </w:pPr>
            <w:r>
              <w:rPr>
                <w:rFonts w:hint="eastAsia"/>
              </w:rPr>
              <w:t>（1）原辅材料及能源消耗</w:t>
            </w:r>
          </w:p>
          <w:p>
            <w:pPr>
              <w:ind w:left="24" w:leftChars="10" w:right="24" w:rightChars="10" w:firstLine="480"/>
              <w:jc w:val="left"/>
            </w:pPr>
            <w:r>
              <w:rPr>
                <w:rFonts w:hint="eastAsia"/>
              </w:rPr>
              <w:t>项目原辅材料及能源消耗见下表。</w:t>
            </w:r>
          </w:p>
          <w:p>
            <w:pPr>
              <w:pStyle w:val="14"/>
            </w:pPr>
            <w:r>
              <w:rPr>
                <w:rFonts w:hint="eastAsia"/>
              </w:rPr>
              <w:t>表8   医院主要原辅材料及能源消耗一览表</w:t>
            </w:r>
          </w:p>
          <w:tbl>
            <w:tblPr>
              <w:tblStyle w:val="17"/>
              <w:tblW w:w="494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2928"/>
              <w:gridCol w:w="851"/>
              <w:gridCol w:w="993"/>
              <w:gridCol w:w="2835"/>
              <w:gridCol w:w="11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666" w:type="pct"/>
                  <w:vAlign w:val="center"/>
                </w:tcPr>
                <w:p>
                  <w:pPr>
                    <w:spacing w:line="240" w:lineRule="auto"/>
                    <w:ind w:left="48" w:leftChars="20" w:right="48" w:rightChars="20" w:firstLine="0" w:firstLineChars="0"/>
                    <w:jc w:val="center"/>
                    <w:rPr>
                      <w:sz w:val="21"/>
                      <w:szCs w:val="21"/>
                    </w:rPr>
                  </w:pPr>
                  <w:r>
                    <w:rPr>
                      <w:sz w:val="21"/>
                      <w:szCs w:val="21"/>
                    </w:rPr>
                    <w:t>原辅材料名称</w:t>
                  </w:r>
                </w:p>
              </w:tc>
              <w:tc>
                <w:tcPr>
                  <w:tcW w:w="484" w:type="pct"/>
                  <w:vAlign w:val="center"/>
                </w:tcPr>
                <w:p>
                  <w:pPr>
                    <w:spacing w:line="240" w:lineRule="auto"/>
                    <w:ind w:left="48" w:leftChars="20" w:right="48" w:rightChars="20" w:firstLine="0" w:firstLineChars="0"/>
                    <w:jc w:val="center"/>
                    <w:rPr>
                      <w:sz w:val="21"/>
                      <w:szCs w:val="21"/>
                    </w:rPr>
                  </w:pPr>
                  <w:r>
                    <w:rPr>
                      <w:rFonts w:hint="eastAsia"/>
                      <w:sz w:val="21"/>
                      <w:szCs w:val="21"/>
                    </w:rPr>
                    <w:t>用量</w:t>
                  </w:r>
                </w:p>
              </w:tc>
              <w:tc>
                <w:tcPr>
                  <w:tcW w:w="565" w:type="pct"/>
                  <w:vAlign w:val="center"/>
                </w:tcPr>
                <w:p>
                  <w:pPr>
                    <w:spacing w:line="240" w:lineRule="auto"/>
                    <w:ind w:left="48" w:leftChars="20" w:right="48" w:rightChars="20" w:firstLine="0" w:firstLineChars="0"/>
                    <w:jc w:val="center"/>
                    <w:rPr>
                      <w:sz w:val="21"/>
                      <w:szCs w:val="21"/>
                    </w:rPr>
                  </w:pPr>
                  <w:r>
                    <w:rPr>
                      <w:rFonts w:hint="eastAsia"/>
                      <w:sz w:val="21"/>
                      <w:szCs w:val="21"/>
                    </w:rPr>
                    <w:t>单位</w:t>
                  </w:r>
                </w:p>
              </w:tc>
              <w:tc>
                <w:tcPr>
                  <w:tcW w:w="1613" w:type="pct"/>
                  <w:vAlign w:val="center"/>
                </w:tcPr>
                <w:p>
                  <w:pPr>
                    <w:spacing w:line="240" w:lineRule="auto"/>
                    <w:ind w:left="48" w:leftChars="20" w:right="48" w:rightChars="20" w:firstLine="0" w:firstLineChars="0"/>
                    <w:jc w:val="center"/>
                    <w:rPr>
                      <w:sz w:val="21"/>
                      <w:szCs w:val="21"/>
                    </w:rPr>
                  </w:pPr>
                  <w:r>
                    <w:rPr>
                      <w:rFonts w:hint="eastAsia"/>
                      <w:sz w:val="21"/>
                      <w:szCs w:val="21"/>
                    </w:rPr>
                    <w:t>规格</w:t>
                  </w:r>
                </w:p>
              </w:tc>
              <w:tc>
                <w:tcPr>
                  <w:tcW w:w="672" w:type="pct"/>
                  <w:vAlign w:val="center"/>
                </w:tcPr>
                <w:p>
                  <w:pPr>
                    <w:spacing w:line="240" w:lineRule="auto"/>
                    <w:ind w:left="48" w:leftChars="20" w:right="48" w:rightChars="20" w:firstLine="0" w:firstLineChars="0"/>
                    <w:jc w:val="center"/>
                    <w:rPr>
                      <w:sz w:val="21"/>
                      <w:szCs w:val="21"/>
                    </w:rPr>
                  </w:pPr>
                  <w:r>
                    <w:rPr>
                      <w:rFonts w:hint="eastAsia"/>
                      <w:sz w:val="21"/>
                      <w:szCs w:val="21"/>
                    </w:rPr>
                    <w:t>储存位置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666" w:type="pct"/>
                  <w:vAlign w:val="center"/>
                </w:tcPr>
                <w:p>
                  <w:pPr>
                    <w:widowControl/>
                    <w:spacing w:line="240" w:lineRule="auto"/>
                    <w:ind w:firstLine="0" w:firstLineChars="0"/>
                    <w:jc w:val="center"/>
                    <w:rPr>
                      <w:kern w:val="0"/>
                      <w:sz w:val="21"/>
                      <w:szCs w:val="21"/>
                    </w:rPr>
                  </w:pPr>
                  <w:r>
                    <w:rPr>
                      <w:rFonts w:hint="eastAsia"/>
                      <w:kern w:val="0"/>
                      <w:sz w:val="21"/>
                      <w:szCs w:val="21"/>
                    </w:rPr>
                    <w:t>中成药、颗粒药、西药</w:t>
                  </w:r>
                </w:p>
              </w:tc>
              <w:tc>
                <w:tcPr>
                  <w:tcW w:w="484" w:type="pct"/>
                  <w:vAlign w:val="center"/>
                </w:tcPr>
                <w:p>
                  <w:pPr>
                    <w:widowControl/>
                    <w:spacing w:line="240" w:lineRule="auto"/>
                    <w:ind w:firstLine="0" w:firstLineChars="0"/>
                    <w:jc w:val="center"/>
                    <w:rPr>
                      <w:kern w:val="0"/>
                      <w:sz w:val="21"/>
                      <w:szCs w:val="21"/>
                    </w:rPr>
                  </w:pPr>
                  <w:r>
                    <w:rPr>
                      <w:rFonts w:hint="eastAsia"/>
                      <w:kern w:val="0"/>
                      <w:sz w:val="21"/>
                      <w:szCs w:val="21"/>
                    </w:rPr>
                    <w:t>若干</w:t>
                  </w:r>
                </w:p>
              </w:tc>
              <w:tc>
                <w:tcPr>
                  <w:tcW w:w="565" w:type="pct"/>
                  <w:vAlign w:val="center"/>
                </w:tcPr>
                <w:p>
                  <w:pPr>
                    <w:widowControl/>
                    <w:spacing w:line="240" w:lineRule="auto"/>
                    <w:ind w:firstLine="0" w:firstLineChars="0"/>
                    <w:jc w:val="center"/>
                    <w:rPr>
                      <w:kern w:val="0"/>
                      <w:sz w:val="21"/>
                      <w:szCs w:val="21"/>
                    </w:rPr>
                  </w:pPr>
                  <w:r>
                    <w:rPr>
                      <w:rFonts w:hint="eastAsia"/>
                      <w:kern w:val="0"/>
                      <w:sz w:val="21"/>
                      <w:szCs w:val="21"/>
                    </w:rPr>
                    <w:t>—</w:t>
                  </w:r>
                </w:p>
              </w:tc>
              <w:tc>
                <w:tcPr>
                  <w:tcW w:w="1613" w:type="pct"/>
                  <w:vAlign w:val="center"/>
                </w:tcPr>
                <w:p>
                  <w:pPr>
                    <w:widowControl/>
                    <w:spacing w:line="240" w:lineRule="auto"/>
                    <w:ind w:firstLine="0" w:firstLineChars="0"/>
                    <w:jc w:val="center"/>
                    <w:rPr>
                      <w:kern w:val="0"/>
                      <w:sz w:val="21"/>
                      <w:szCs w:val="21"/>
                    </w:rPr>
                  </w:pPr>
                  <w:r>
                    <w:rPr>
                      <w:rFonts w:hint="eastAsia"/>
                      <w:kern w:val="0"/>
                      <w:sz w:val="21"/>
                      <w:szCs w:val="21"/>
                    </w:rPr>
                    <w:t>—</w:t>
                  </w:r>
                </w:p>
              </w:tc>
              <w:tc>
                <w:tcPr>
                  <w:tcW w:w="672" w:type="pct"/>
                  <w:vAlign w:val="center"/>
                </w:tcPr>
                <w:p>
                  <w:pPr>
                    <w:widowControl/>
                    <w:spacing w:line="240" w:lineRule="auto"/>
                    <w:ind w:firstLine="0" w:firstLineChars="0"/>
                    <w:jc w:val="center"/>
                    <w:rPr>
                      <w:kern w:val="0"/>
                      <w:sz w:val="21"/>
                      <w:szCs w:val="21"/>
                    </w:rPr>
                  </w:pPr>
                  <w:r>
                    <w:rPr>
                      <w:rFonts w:hint="eastAsia"/>
                      <w:kern w:val="0"/>
                      <w:sz w:val="21"/>
                      <w:szCs w:val="21"/>
                    </w:rPr>
                    <w:t>中西医药房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666" w:type="pct"/>
                  <w:vAlign w:val="center"/>
                </w:tcPr>
                <w:p>
                  <w:pPr>
                    <w:widowControl/>
                    <w:spacing w:line="240" w:lineRule="auto"/>
                    <w:ind w:firstLine="0" w:firstLineChars="0"/>
                    <w:jc w:val="center"/>
                    <w:rPr>
                      <w:kern w:val="0"/>
                      <w:sz w:val="21"/>
                      <w:szCs w:val="21"/>
                    </w:rPr>
                  </w:pPr>
                  <w:r>
                    <w:rPr>
                      <w:rFonts w:hint="eastAsia"/>
                      <w:kern w:val="0"/>
                      <w:sz w:val="21"/>
                      <w:szCs w:val="21"/>
                    </w:rPr>
                    <w:t>中药饮片</w:t>
                  </w:r>
                </w:p>
              </w:tc>
              <w:tc>
                <w:tcPr>
                  <w:tcW w:w="484" w:type="pct"/>
                  <w:vAlign w:val="center"/>
                </w:tcPr>
                <w:p>
                  <w:pPr>
                    <w:widowControl/>
                    <w:spacing w:line="240" w:lineRule="auto"/>
                    <w:ind w:firstLine="0" w:firstLineChars="0"/>
                    <w:jc w:val="center"/>
                    <w:rPr>
                      <w:kern w:val="0"/>
                      <w:sz w:val="21"/>
                      <w:szCs w:val="21"/>
                    </w:rPr>
                  </w:pPr>
                  <w:r>
                    <w:rPr>
                      <w:rFonts w:hint="eastAsia"/>
                      <w:kern w:val="0"/>
                      <w:sz w:val="21"/>
                      <w:szCs w:val="21"/>
                    </w:rPr>
                    <w:t>10</w:t>
                  </w:r>
                </w:p>
              </w:tc>
              <w:tc>
                <w:tcPr>
                  <w:tcW w:w="565" w:type="pct"/>
                  <w:vAlign w:val="center"/>
                </w:tcPr>
                <w:p>
                  <w:pPr>
                    <w:widowControl/>
                    <w:spacing w:line="240" w:lineRule="auto"/>
                    <w:ind w:firstLine="0" w:firstLineChars="0"/>
                    <w:jc w:val="center"/>
                    <w:rPr>
                      <w:kern w:val="0"/>
                      <w:sz w:val="21"/>
                      <w:szCs w:val="21"/>
                    </w:rPr>
                  </w:pPr>
                  <w:r>
                    <w:rPr>
                      <w:rFonts w:hint="eastAsia"/>
                      <w:kern w:val="0"/>
                      <w:sz w:val="21"/>
                      <w:szCs w:val="21"/>
                    </w:rPr>
                    <w:t>t/a</w:t>
                  </w:r>
                </w:p>
              </w:tc>
              <w:tc>
                <w:tcPr>
                  <w:tcW w:w="1613" w:type="pct"/>
                  <w:vAlign w:val="center"/>
                </w:tcPr>
                <w:p>
                  <w:pPr>
                    <w:widowControl/>
                    <w:spacing w:line="240" w:lineRule="auto"/>
                    <w:ind w:firstLine="0" w:firstLineChars="0"/>
                    <w:jc w:val="left"/>
                    <w:rPr>
                      <w:kern w:val="0"/>
                      <w:sz w:val="21"/>
                      <w:szCs w:val="21"/>
                    </w:rPr>
                  </w:pPr>
                  <w:r>
                    <w:rPr>
                      <w:rFonts w:hint="eastAsia"/>
                      <w:kern w:val="0"/>
                      <w:sz w:val="21"/>
                      <w:szCs w:val="21"/>
                    </w:rPr>
                    <w:t>包括黄芪、当归、鳖甲、牡蛎、杜仲、刘寄奴、赤芍、连翘、蒲公英等约百余种，外购</w:t>
                  </w:r>
                </w:p>
              </w:tc>
              <w:tc>
                <w:tcPr>
                  <w:tcW w:w="672" w:type="pct"/>
                  <w:vAlign w:val="center"/>
                </w:tcPr>
                <w:p>
                  <w:pPr>
                    <w:widowControl/>
                    <w:spacing w:line="240" w:lineRule="auto"/>
                    <w:ind w:firstLine="0" w:firstLineChars="0"/>
                    <w:jc w:val="center"/>
                    <w:rPr>
                      <w:kern w:val="0"/>
                      <w:sz w:val="21"/>
                      <w:szCs w:val="21"/>
                    </w:rPr>
                  </w:pPr>
                  <w:r>
                    <w:rPr>
                      <w:rFonts w:hint="eastAsia"/>
                      <w:kern w:val="0"/>
                      <w:sz w:val="21"/>
                      <w:szCs w:val="21"/>
                    </w:rPr>
                    <w:t>药房、煎药室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666" w:type="pct"/>
                  <w:vAlign w:val="center"/>
                </w:tcPr>
                <w:p>
                  <w:pPr>
                    <w:widowControl/>
                    <w:spacing w:line="240" w:lineRule="auto"/>
                    <w:ind w:firstLine="0" w:firstLineChars="0"/>
                    <w:jc w:val="center"/>
                    <w:rPr>
                      <w:kern w:val="0"/>
                      <w:sz w:val="21"/>
                      <w:szCs w:val="21"/>
                    </w:rPr>
                  </w:pPr>
                  <w:r>
                    <w:rPr>
                      <w:rFonts w:hint="eastAsia"/>
                      <w:kern w:val="0"/>
                      <w:sz w:val="21"/>
                      <w:szCs w:val="21"/>
                    </w:rPr>
                    <w:t>一次性</w:t>
                  </w:r>
                  <w:r>
                    <w:rPr>
                      <w:kern w:val="0"/>
                      <w:sz w:val="21"/>
                      <w:szCs w:val="21"/>
                    </w:rPr>
                    <w:t>注射器</w:t>
                  </w:r>
                </w:p>
              </w:tc>
              <w:tc>
                <w:tcPr>
                  <w:tcW w:w="484" w:type="pct"/>
                  <w:vAlign w:val="center"/>
                </w:tcPr>
                <w:p>
                  <w:pPr>
                    <w:widowControl/>
                    <w:spacing w:line="240" w:lineRule="auto"/>
                    <w:ind w:firstLine="0" w:firstLineChars="0"/>
                    <w:jc w:val="center"/>
                    <w:rPr>
                      <w:kern w:val="0"/>
                      <w:sz w:val="21"/>
                      <w:szCs w:val="21"/>
                    </w:rPr>
                  </w:pPr>
                  <w:r>
                    <w:rPr>
                      <w:rFonts w:hint="eastAsia"/>
                      <w:kern w:val="0"/>
                      <w:sz w:val="21"/>
                      <w:szCs w:val="21"/>
                    </w:rPr>
                    <w:t>30000</w:t>
                  </w:r>
                </w:p>
              </w:tc>
              <w:tc>
                <w:tcPr>
                  <w:tcW w:w="565" w:type="pct"/>
                  <w:vAlign w:val="center"/>
                </w:tcPr>
                <w:p>
                  <w:pPr>
                    <w:widowControl/>
                    <w:spacing w:line="240" w:lineRule="auto"/>
                    <w:ind w:firstLine="0" w:firstLineChars="0"/>
                    <w:jc w:val="center"/>
                    <w:rPr>
                      <w:kern w:val="0"/>
                      <w:sz w:val="21"/>
                      <w:szCs w:val="21"/>
                    </w:rPr>
                  </w:pPr>
                  <w:r>
                    <w:rPr>
                      <w:rFonts w:hint="eastAsia"/>
                      <w:kern w:val="0"/>
                      <w:sz w:val="21"/>
                      <w:szCs w:val="21"/>
                    </w:rPr>
                    <w:t>个/a</w:t>
                  </w:r>
                </w:p>
              </w:tc>
              <w:tc>
                <w:tcPr>
                  <w:tcW w:w="1613" w:type="pct"/>
                  <w:vAlign w:val="center"/>
                </w:tcPr>
                <w:p>
                  <w:pPr>
                    <w:widowControl/>
                    <w:spacing w:line="240" w:lineRule="auto"/>
                    <w:ind w:firstLine="0" w:firstLineChars="0"/>
                    <w:jc w:val="center"/>
                    <w:rPr>
                      <w:kern w:val="0"/>
                      <w:sz w:val="21"/>
                      <w:szCs w:val="21"/>
                    </w:rPr>
                  </w:pPr>
                  <w:r>
                    <w:rPr>
                      <w:rFonts w:hint="eastAsia"/>
                      <w:kern w:val="0"/>
                      <w:sz w:val="21"/>
                      <w:szCs w:val="21"/>
                    </w:rPr>
                    <w:t>独立袋装</w:t>
                  </w:r>
                </w:p>
              </w:tc>
              <w:tc>
                <w:tcPr>
                  <w:tcW w:w="672" w:type="pct"/>
                  <w:vAlign w:val="center"/>
                </w:tcPr>
                <w:p>
                  <w:pPr>
                    <w:widowControl/>
                    <w:spacing w:line="240" w:lineRule="auto"/>
                    <w:ind w:firstLine="0" w:firstLineChars="0"/>
                    <w:jc w:val="center"/>
                    <w:rPr>
                      <w:kern w:val="0"/>
                      <w:sz w:val="21"/>
                      <w:szCs w:val="21"/>
                    </w:rPr>
                  </w:pPr>
                  <w:r>
                    <w:rPr>
                      <w:rFonts w:hint="eastAsia"/>
                      <w:kern w:val="0"/>
                      <w:sz w:val="21"/>
                      <w:szCs w:val="21"/>
                    </w:rPr>
                    <w:t>仓库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666" w:type="pct"/>
                  <w:vAlign w:val="center"/>
                </w:tcPr>
                <w:p>
                  <w:pPr>
                    <w:widowControl/>
                    <w:spacing w:line="240" w:lineRule="auto"/>
                    <w:ind w:firstLine="0" w:firstLineChars="0"/>
                    <w:jc w:val="center"/>
                    <w:rPr>
                      <w:kern w:val="0"/>
                      <w:sz w:val="21"/>
                      <w:szCs w:val="21"/>
                    </w:rPr>
                  </w:pPr>
                  <w:r>
                    <w:rPr>
                      <w:rFonts w:hint="eastAsia"/>
                      <w:kern w:val="0"/>
                      <w:sz w:val="21"/>
                      <w:szCs w:val="21"/>
                    </w:rPr>
                    <w:t>一次性</w:t>
                  </w:r>
                  <w:r>
                    <w:rPr>
                      <w:kern w:val="0"/>
                      <w:sz w:val="21"/>
                      <w:szCs w:val="21"/>
                    </w:rPr>
                    <w:t>输液器</w:t>
                  </w:r>
                </w:p>
              </w:tc>
              <w:tc>
                <w:tcPr>
                  <w:tcW w:w="484" w:type="pct"/>
                  <w:vAlign w:val="center"/>
                </w:tcPr>
                <w:p>
                  <w:pPr>
                    <w:widowControl/>
                    <w:spacing w:line="240" w:lineRule="auto"/>
                    <w:ind w:firstLine="0" w:firstLineChars="0"/>
                    <w:jc w:val="center"/>
                    <w:rPr>
                      <w:kern w:val="0"/>
                      <w:sz w:val="21"/>
                      <w:szCs w:val="21"/>
                    </w:rPr>
                  </w:pPr>
                  <w:r>
                    <w:rPr>
                      <w:rFonts w:hint="eastAsia"/>
                      <w:kern w:val="0"/>
                      <w:sz w:val="21"/>
                      <w:szCs w:val="21"/>
                    </w:rPr>
                    <w:t>30000</w:t>
                  </w:r>
                </w:p>
              </w:tc>
              <w:tc>
                <w:tcPr>
                  <w:tcW w:w="565" w:type="pct"/>
                  <w:vAlign w:val="center"/>
                </w:tcPr>
                <w:p>
                  <w:pPr>
                    <w:widowControl/>
                    <w:spacing w:line="240" w:lineRule="auto"/>
                    <w:ind w:firstLine="0" w:firstLineChars="0"/>
                    <w:jc w:val="center"/>
                    <w:rPr>
                      <w:kern w:val="0"/>
                      <w:sz w:val="21"/>
                      <w:szCs w:val="21"/>
                    </w:rPr>
                  </w:pPr>
                  <w:r>
                    <w:rPr>
                      <w:rFonts w:hint="eastAsia"/>
                      <w:kern w:val="0"/>
                      <w:sz w:val="21"/>
                      <w:szCs w:val="21"/>
                    </w:rPr>
                    <w:t>个/a</w:t>
                  </w:r>
                </w:p>
              </w:tc>
              <w:tc>
                <w:tcPr>
                  <w:tcW w:w="1613" w:type="pct"/>
                  <w:vAlign w:val="center"/>
                </w:tcPr>
                <w:p>
                  <w:pPr>
                    <w:widowControl/>
                    <w:spacing w:line="240" w:lineRule="auto"/>
                    <w:ind w:firstLine="0" w:firstLineChars="0"/>
                    <w:jc w:val="center"/>
                    <w:rPr>
                      <w:kern w:val="0"/>
                      <w:sz w:val="21"/>
                      <w:szCs w:val="21"/>
                    </w:rPr>
                  </w:pPr>
                  <w:r>
                    <w:rPr>
                      <w:rFonts w:hint="eastAsia"/>
                      <w:kern w:val="0"/>
                      <w:sz w:val="21"/>
                      <w:szCs w:val="21"/>
                    </w:rPr>
                    <w:t>独立袋装</w:t>
                  </w:r>
                </w:p>
              </w:tc>
              <w:tc>
                <w:tcPr>
                  <w:tcW w:w="672" w:type="pct"/>
                  <w:vAlign w:val="center"/>
                </w:tcPr>
                <w:p>
                  <w:pPr>
                    <w:widowControl/>
                    <w:spacing w:line="240" w:lineRule="auto"/>
                    <w:ind w:firstLine="0" w:firstLineChars="0"/>
                    <w:jc w:val="center"/>
                    <w:rPr>
                      <w:kern w:val="0"/>
                      <w:sz w:val="21"/>
                      <w:szCs w:val="21"/>
                    </w:rPr>
                  </w:pPr>
                  <w:r>
                    <w:rPr>
                      <w:rFonts w:hint="eastAsia"/>
                      <w:kern w:val="0"/>
                      <w:sz w:val="21"/>
                      <w:szCs w:val="21"/>
                    </w:rPr>
                    <w:t>仓库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666" w:type="pct"/>
                  <w:vAlign w:val="center"/>
                </w:tcPr>
                <w:p>
                  <w:pPr>
                    <w:widowControl/>
                    <w:spacing w:line="240" w:lineRule="auto"/>
                    <w:ind w:firstLine="0" w:firstLineChars="0"/>
                    <w:jc w:val="center"/>
                    <w:rPr>
                      <w:kern w:val="0"/>
                      <w:sz w:val="21"/>
                      <w:szCs w:val="21"/>
                    </w:rPr>
                  </w:pPr>
                  <w:r>
                    <w:rPr>
                      <w:rFonts w:hint="eastAsia"/>
                      <w:kern w:val="0"/>
                      <w:sz w:val="21"/>
                      <w:szCs w:val="21"/>
                    </w:rPr>
                    <w:t>一次性</w:t>
                  </w:r>
                  <w:r>
                    <w:rPr>
                      <w:kern w:val="0"/>
                      <w:sz w:val="21"/>
                      <w:szCs w:val="21"/>
                    </w:rPr>
                    <w:t>分装袋</w:t>
                  </w:r>
                </w:p>
              </w:tc>
              <w:tc>
                <w:tcPr>
                  <w:tcW w:w="484" w:type="pct"/>
                  <w:vAlign w:val="center"/>
                </w:tcPr>
                <w:p>
                  <w:pPr>
                    <w:widowControl/>
                    <w:spacing w:line="240" w:lineRule="auto"/>
                    <w:ind w:firstLine="0" w:firstLineChars="0"/>
                    <w:jc w:val="center"/>
                    <w:rPr>
                      <w:kern w:val="0"/>
                      <w:sz w:val="21"/>
                      <w:szCs w:val="21"/>
                    </w:rPr>
                  </w:pPr>
                  <w:r>
                    <w:rPr>
                      <w:rFonts w:hint="eastAsia"/>
                      <w:kern w:val="0"/>
                      <w:sz w:val="21"/>
                      <w:szCs w:val="21"/>
                    </w:rPr>
                    <w:t>30000</w:t>
                  </w:r>
                </w:p>
              </w:tc>
              <w:tc>
                <w:tcPr>
                  <w:tcW w:w="565" w:type="pct"/>
                  <w:vAlign w:val="center"/>
                </w:tcPr>
                <w:p>
                  <w:pPr>
                    <w:widowControl/>
                    <w:spacing w:line="240" w:lineRule="auto"/>
                    <w:ind w:firstLine="0" w:firstLineChars="0"/>
                    <w:jc w:val="center"/>
                    <w:rPr>
                      <w:kern w:val="0"/>
                      <w:sz w:val="21"/>
                      <w:szCs w:val="21"/>
                    </w:rPr>
                  </w:pPr>
                  <w:r>
                    <w:rPr>
                      <w:rFonts w:hint="eastAsia"/>
                      <w:kern w:val="0"/>
                      <w:sz w:val="21"/>
                      <w:szCs w:val="21"/>
                    </w:rPr>
                    <w:t>个/a</w:t>
                  </w:r>
                </w:p>
              </w:tc>
              <w:tc>
                <w:tcPr>
                  <w:tcW w:w="1613" w:type="pct"/>
                  <w:vAlign w:val="center"/>
                </w:tcPr>
                <w:p>
                  <w:pPr>
                    <w:widowControl/>
                    <w:spacing w:line="240" w:lineRule="auto"/>
                    <w:ind w:firstLine="0" w:firstLineChars="0"/>
                    <w:jc w:val="center"/>
                    <w:rPr>
                      <w:kern w:val="0"/>
                      <w:sz w:val="21"/>
                      <w:szCs w:val="21"/>
                    </w:rPr>
                  </w:pPr>
                  <w:r>
                    <w:rPr>
                      <w:rFonts w:hint="eastAsia"/>
                      <w:kern w:val="0"/>
                      <w:sz w:val="21"/>
                      <w:szCs w:val="21"/>
                    </w:rPr>
                    <w:t>—</w:t>
                  </w:r>
                </w:p>
              </w:tc>
              <w:tc>
                <w:tcPr>
                  <w:tcW w:w="672" w:type="pct"/>
                  <w:vAlign w:val="center"/>
                </w:tcPr>
                <w:p>
                  <w:pPr>
                    <w:widowControl/>
                    <w:spacing w:line="240" w:lineRule="auto"/>
                    <w:ind w:firstLine="0" w:firstLineChars="0"/>
                    <w:jc w:val="center"/>
                    <w:rPr>
                      <w:kern w:val="0"/>
                      <w:sz w:val="21"/>
                      <w:szCs w:val="21"/>
                    </w:rPr>
                  </w:pPr>
                  <w:r>
                    <w:rPr>
                      <w:rFonts w:hint="eastAsia"/>
                      <w:kern w:val="0"/>
                      <w:sz w:val="21"/>
                      <w:szCs w:val="21"/>
                    </w:rPr>
                    <w:t>仓库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666" w:type="pct"/>
                  <w:vAlign w:val="center"/>
                </w:tcPr>
                <w:p>
                  <w:pPr>
                    <w:widowControl/>
                    <w:spacing w:line="240" w:lineRule="auto"/>
                    <w:ind w:firstLine="0" w:firstLineChars="0"/>
                    <w:jc w:val="center"/>
                    <w:rPr>
                      <w:kern w:val="0"/>
                      <w:sz w:val="21"/>
                      <w:szCs w:val="21"/>
                    </w:rPr>
                  </w:pPr>
                  <w:r>
                    <w:rPr>
                      <w:rFonts w:hint="eastAsia"/>
                      <w:kern w:val="0"/>
                      <w:sz w:val="21"/>
                      <w:szCs w:val="21"/>
                    </w:rPr>
                    <w:t>一次性</w:t>
                  </w:r>
                  <w:r>
                    <w:rPr>
                      <w:kern w:val="0"/>
                      <w:sz w:val="21"/>
                      <w:szCs w:val="21"/>
                    </w:rPr>
                    <w:t>真空采血管</w:t>
                  </w:r>
                </w:p>
              </w:tc>
              <w:tc>
                <w:tcPr>
                  <w:tcW w:w="484" w:type="pct"/>
                  <w:vAlign w:val="center"/>
                </w:tcPr>
                <w:p>
                  <w:pPr>
                    <w:widowControl/>
                    <w:spacing w:line="240" w:lineRule="auto"/>
                    <w:ind w:firstLine="0" w:firstLineChars="0"/>
                    <w:jc w:val="center"/>
                    <w:rPr>
                      <w:kern w:val="0"/>
                      <w:sz w:val="21"/>
                      <w:szCs w:val="21"/>
                    </w:rPr>
                  </w:pPr>
                  <w:r>
                    <w:rPr>
                      <w:rFonts w:hint="eastAsia"/>
                      <w:kern w:val="0"/>
                      <w:sz w:val="21"/>
                      <w:szCs w:val="21"/>
                    </w:rPr>
                    <w:t>30000</w:t>
                  </w:r>
                </w:p>
              </w:tc>
              <w:tc>
                <w:tcPr>
                  <w:tcW w:w="565" w:type="pct"/>
                  <w:vAlign w:val="center"/>
                </w:tcPr>
                <w:p>
                  <w:pPr>
                    <w:widowControl/>
                    <w:spacing w:line="240" w:lineRule="auto"/>
                    <w:ind w:firstLine="0" w:firstLineChars="0"/>
                    <w:jc w:val="center"/>
                    <w:rPr>
                      <w:kern w:val="0"/>
                      <w:sz w:val="21"/>
                      <w:szCs w:val="21"/>
                    </w:rPr>
                  </w:pPr>
                  <w:r>
                    <w:rPr>
                      <w:rFonts w:hint="eastAsia"/>
                      <w:kern w:val="0"/>
                      <w:sz w:val="21"/>
                      <w:szCs w:val="21"/>
                    </w:rPr>
                    <w:t>个/a</w:t>
                  </w:r>
                </w:p>
              </w:tc>
              <w:tc>
                <w:tcPr>
                  <w:tcW w:w="1613" w:type="pct"/>
                  <w:vAlign w:val="center"/>
                </w:tcPr>
                <w:p>
                  <w:pPr>
                    <w:widowControl/>
                    <w:spacing w:line="240" w:lineRule="auto"/>
                    <w:ind w:firstLine="0" w:firstLineChars="0"/>
                    <w:jc w:val="center"/>
                    <w:rPr>
                      <w:kern w:val="0"/>
                      <w:sz w:val="21"/>
                      <w:szCs w:val="21"/>
                    </w:rPr>
                  </w:pPr>
                  <w:r>
                    <w:rPr>
                      <w:rFonts w:hint="eastAsia"/>
                      <w:kern w:val="0"/>
                      <w:sz w:val="21"/>
                      <w:szCs w:val="21"/>
                    </w:rPr>
                    <w:t>独立袋装</w:t>
                  </w:r>
                </w:p>
              </w:tc>
              <w:tc>
                <w:tcPr>
                  <w:tcW w:w="672" w:type="pct"/>
                  <w:vAlign w:val="center"/>
                </w:tcPr>
                <w:p>
                  <w:pPr>
                    <w:widowControl/>
                    <w:spacing w:line="240" w:lineRule="auto"/>
                    <w:ind w:firstLine="0" w:firstLineChars="0"/>
                    <w:jc w:val="center"/>
                    <w:rPr>
                      <w:kern w:val="0"/>
                      <w:sz w:val="21"/>
                      <w:szCs w:val="21"/>
                    </w:rPr>
                  </w:pPr>
                  <w:r>
                    <w:rPr>
                      <w:rFonts w:hint="eastAsia"/>
                      <w:kern w:val="0"/>
                      <w:sz w:val="21"/>
                      <w:szCs w:val="21"/>
                    </w:rPr>
                    <w:t>仓库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666" w:type="pct"/>
                  <w:vAlign w:val="center"/>
                </w:tcPr>
                <w:p>
                  <w:pPr>
                    <w:widowControl/>
                    <w:spacing w:line="240" w:lineRule="auto"/>
                    <w:ind w:firstLine="0" w:firstLineChars="0"/>
                    <w:jc w:val="center"/>
                    <w:rPr>
                      <w:kern w:val="0"/>
                      <w:sz w:val="21"/>
                      <w:szCs w:val="21"/>
                    </w:rPr>
                  </w:pPr>
                  <w:r>
                    <w:rPr>
                      <w:rFonts w:hint="eastAsia"/>
                      <w:kern w:val="0"/>
                      <w:sz w:val="21"/>
                      <w:szCs w:val="21"/>
                    </w:rPr>
                    <w:t>留置针</w:t>
                  </w:r>
                </w:p>
              </w:tc>
              <w:tc>
                <w:tcPr>
                  <w:tcW w:w="484" w:type="pct"/>
                  <w:vAlign w:val="center"/>
                </w:tcPr>
                <w:p>
                  <w:pPr>
                    <w:widowControl/>
                    <w:spacing w:line="240" w:lineRule="auto"/>
                    <w:ind w:firstLine="0" w:firstLineChars="0"/>
                    <w:jc w:val="center"/>
                    <w:rPr>
                      <w:kern w:val="0"/>
                      <w:sz w:val="21"/>
                      <w:szCs w:val="21"/>
                    </w:rPr>
                  </w:pPr>
                  <w:r>
                    <w:rPr>
                      <w:rFonts w:hint="eastAsia"/>
                      <w:kern w:val="0"/>
                      <w:sz w:val="21"/>
                      <w:szCs w:val="21"/>
                    </w:rPr>
                    <w:t>12000</w:t>
                  </w:r>
                </w:p>
              </w:tc>
              <w:tc>
                <w:tcPr>
                  <w:tcW w:w="565" w:type="pct"/>
                  <w:vAlign w:val="center"/>
                </w:tcPr>
                <w:p>
                  <w:pPr>
                    <w:widowControl/>
                    <w:spacing w:line="240" w:lineRule="auto"/>
                    <w:ind w:firstLine="0" w:firstLineChars="0"/>
                    <w:jc w:val="center"/>
                    <w:rPr>
                      <w:kern w:val="0"/>
                      <w:sz w:val="21"/>
                      <w:szCs w:val="21"/>
                    </w:rPr>
                  </w:pPr>
                  <w:r>
                    <w:rPr>
                      <w:rFonts w:hint="eastAsia"/>
                      <w:kern w:val="0"/>
                      <w:sz w:val="21"/>
                      <w:szCs w:val="21"/>
                    </w:rPr>
                    <w:t>个/a</w:t>
                  </w:r>
                </w:p>
              </w:tc>
              <w:tc>
                <w:tcPr>
                  <w:tcW w:w="1613" w:type="pct"/>
                  <w:vAlign w:val="center"/>
                </w:tcPr>
                <w:p>
                  <w:pPr>
                    <w:widowControl/>
                    <w:spacing w:line="240" w:lineRule="auto"/>
                    <w:ind w:firstLine="0" w:firstLineChars="0"/>
                    <w:jc w:val="center"/>
                    <w:rPr>
                      <w:kern w:val="0"/>
                      <w:sz w:val="21"/>
                      <w:szCs w:val="21"/>
                    </w:rPr>
                  </w:pPr>
                  <w:r>
                    <w:rPr>
                      <w:rFonts w:hint="eastAsia"/>
                      <w:kern w:val="0"/>
                      <w:sz w:val="21"/>
                      <w:szCs w:val="21"/>
                    </w:rPr>
                    <w:t>独立袋装</w:t>
                  </w:r>
                </w:p>
              </w:tc>
              <w:tc>
                <w:tcPr>
                  <w:tcW w:w="672" w:type="pct"/>
                  <w:vAlign w:val="center"/>
                </w:tcPr>
                <w:p>
                  <w:pPr>
                    <w:widowControl/>
                    <w:spacing w:line="240" w:lineRule="auto"/>
                    <w:ind w:firstLine="0" w:firstLineChars="0"/>
                    <w:jc w:val="center"/>
                    <w:rPr>
                      <w:kern w:val="0"/>
                      <w:sz w:val="21"/>
                      <w:szCs w:val="21"/>
                    </w:rPr>
                  </w:pPr>
                  <w:r>
                    <w:rPr>
                      <w:rFonts w:hint="eastAsia"/>
                      <w:kern w:val="0"/>
                      <w:sz w:val="21"/>
                      <w:szCs w:val="21"/>
                    </w:rPr>
                    <w:t>仓库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666" w:type="pct"/>
                  <w:vAlign w:val="center"/>
                </w:tcPr>
                <w:p>
                  <w:pPr>
                    <w:widowControl/>
                    <w:spacing w:line="240" w:lineRule="auto"/>
                    <w:ind w:firstLine="0" w:firstLineChars="0"/>
                    <w:jc w:val="center"/>
                    <w:rPr>
                      <w:kern w:val="0"/>
                      <w:sz w:val="21"/>
                      <w:szCs w:val="21"/>
                    </w:rPr>
                  </w:pPr>
                  <w:r>
                    <w:rPr>
                      <w:rFonts w:hint="eastAsia"/>
                      <w:kern w:val="0"/>
                      <w:sz w:val="21"/>
                      <w:szCs w:val="21"/>
                    </w:rPr>
                    <w:t>一次性</w:t>
                  </w:r>
                  <w:r>
                    <w:rPr>
                      <w:kern w:val="0"/>
                      <w:sz w:val="21"/>
                      <w:szCs w:val="21"/>
                    </w:rPr>
                    <w:t>空针</w:t>
                  </w:r>
                </w:p>
              </w:tc>
              <w:tc>
                <w:tcPr>
                  <w:tcW w:w="484" w:type="pct"/>
                  <w:vAlign w:val="center"/>
                </w:tcPr>
                <w:p>
                  <w:pPr>
                    <w:widowControl/>
                    <w:spacing w:line="240" w:lineRule="auto"/>
                    <w:ind w:firstLine="0" w:firstLineChars="0"/>
                    <w:jc w:val="center"/>
                    <w:rPr>
                      <w:kern w:val="0"/>
                      <w:sz w:val="21"/>
                      <w:szCs w:val="21"/>
                    </w:rPr>
                  </w:pPr>
                  <w:r>
                    <w:rPr>
                      <w:rFonts w:hint="eastAsia"/>
                      <w:kern w:val="0"/>
                      <w:sz w:val="21"/>
                      <w:szCs w:val="21"/>
                    </w:rPr>
                    <w:t>30000</w:t>
                  </w:r>
                </w:p>
              </w:tc>
              <w:tc>
                <w:tcPr>
                  <w:tcW w:w="565" w:type="pct"/>
                  <w:vAlign w:val="center"/>
                </w:tcPr>
                <w:p>
                  <w:pPr>
                    <w:widowControl/>
                    <w:spacing w:line="240" w:lineRule="auto"/>
                    <w:ind w:firstLine="0" w:firstLineChars="0"/>
                    <w:jc w:val="center"/>
                    <w:rPr>
                      <w:kern w:val="0"/>
                      <w:sz w:val="21"/>
                      <w:szCs w:val="21"/>
                    </w:rPr>
                  </w:pPr>
                  <w:r>
                    <w:rPr>
                      <w:rFonts w:hint="eastAsia"/>
                      <w:kern w:val="0"/>
                      <w:sz w:val="21"/>
                      <w:szCs w:val="21"/>
                    </w:rPr>
                    <w:t>个/a</w:t>
                  </w:r>
                </w:p>
              </w:tc>
              <w:tc>
                <w:tcPr>
                  <w:tcW w:w="1613" w:type="pct"/>
                  <w:vAlign w:val="center"/>
                </w:tcPr>
                <w:p>
                  <w:pPr>
                    <w:widowControl/>
                    <w:spacing w:line="240" w:lineRule="auto"/>
                    <w:ind w:firstLine="0" w:firstLineChars="0"/>
                    <w:jc w:val="center"/>
                    <w:rPr>
                      <w:kern w:val="0"/>
                      <w:sz w:val="21"/>
                      <w:szCs w:val="21"/>
                    </w:rPr>
                  </w:pPr>
                  <w:r>
                    <w:rPr>
                      <w:rFonts w:hint="eastAsia"/>
                      <w:kern w:val="0"/>
                      <w:sz w:val="21"/>
                      <w:szCs w:val="21"/>
                    </w:rPr>
                    <w:t>独立袋装</w:t>
                  </w:r>
                </w:p>
              </w:tc>
              <w:tc>
                <w:tcPr>
                  <w:tcW w:w="672" w:type="pct"/>
                  <w:vAlign w:val="center"/>
                </w:tcPr>
                <w:p>
                  <w:pPr>
                    <w:widowControl/>
                    <w:spacing w:line="240" w:lineRule="auto"/>
                    <w:ind w:firstLine="0" w:firstLineChars="0"/>
                    <w:jc w:val="center"/>
                    <w:rPr>
                      <w:kern w:val="0"/>
                      <w:sz w:val="21"/>
                      <w:szCs w:val="21"/>
                    </w:rPr>
                  </w:pPr>
                  <w:r>
                    <w:rPr>
                      <w:rFonts w:hint="eastAsia"/>
                      <w:kern w:val="0"/>
                      <w:sz w:val="21"/>
                      <w:szCs w:val="21"/>
                    </w:rPr>
                    <w:t>仓库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666" w:type="pct"/>
                  <w:vAlign w:val="center"/>
                </w:tcPr>
                <w:p>
                  <w:pPr>
                    <w:widowControl/>
                    <w:spacing w:line="240" w:lineRule="auto"/>
                    <w:ind w:firstLine="0" w:firstLineChars="0"/>
                    <w:jc w:val="center"/>
                    <w:rPr>
                      <w:kern w:val="0"/>
                      <w:sz w:val="21"/>
                      <w:szCs w:val="21"/>
                    </w:rPr>
                  </w:pPr>
                  <w:r>
                    <w:rPr>
                      <w:rFonts w:hint="eastAsia"/>
                      <w:kern w:val="0"/>
                      <w:sz w:val="21"/>
                      <w:szCs w:val="21"/>
                    </w:rPr>
                    <w:t>一次性</w:t>
                  </w:r>
                  <w:r>
                    <w:rPr>
                      <w:kern w:val="0"/>
                      <w:sz w:val="21"/>
                      <w:szCs w:val="21"/>
                    </w:rPr>
                    <w:t>采血针</w:t>
                  </w:r>
                </w:p>
              </w:tc>
              <w:tc>
                <w:tcPr>
                  <w:tcW w:w="484" w:type="pct"/>
                  <w:vAlign w:val="center"/>
                </w:tcPr>
                <w:p>
                  <w:pPr>
                    <w:widowControl/>
                    <w:spacing w:line="240" w:lineRule="auto"/>
                    <w:ind w:firstLine="0" w:firstLineChars="0"/>
                    <w:jc w:val="center"/>
                    <w:rPr>
                      <w:kern w:val="0"/>
                      <w:sz w:val="21"/>
                      <w:szCs w:val="21"/>
                    </w:rPr>
                  </w:pPr>
                  <w:r>
                    <w:rPr>
                      <w:rFonts w:hint="eastAsia"/>
                      <w:kern w:val="0"/>
                      <w:sz w:val="21"/>
                      <w:szCs w:val="21"/>
                    </w:rPr>
                    <w:t>35000</w:t>
                  </w:r>
                </w:p>
              </w:tc>
              <w:tc>
                <w:tcPr>
                  <w:tcW w:w="565" w:type="pct"/>
                  <w:vAlign w:val="center"/>
                </w:tcPr>
                <w:p>
                  <w:pPr>
                    <w:widowControl/>
                    <w:spacing w:line="240" w:lineRule="auto"/>
                    <w:ind w:firstLine="0" w:firstLineChars="0"/>
                    <w:jc w:val="center"/>
                    <w:rPr>
                      <w:kern w:val="0"/>
                      <w:sz w:val="21"/>
                      <w:szCs w:val="21"/>
                    </w:rPr>
                  </w:pPr>
                  <w:r>
                    <w:rPr>
                      <w:rFonts w:hint="eastAsia"/>
                      <w:kern w:val="0"/>
                      <w:sz w:val="21"/>
                      <w:szCs w:val="21"/>
                    </w:rPr>
                    <w:t>个/a</w:t>
                  </w:r>
                </w:p>
              </w:tc>
              <w:tc>
                <w:tcPr>
                  <w:tcW w:w="1613" w:type="pct"/>
                  <w:vAlign w:val="center"/>
                </w:tcPr>
                <w:p>
                  <w:pPr>
                    <w:widowControl/>
                    <w:spacing w:line="240" w:lineRule="auto"/>
                    <w:ind w:firstLine="0" w:firstLineChars="0"/>
                    <w:jc w:val="center"/>
                    <w:rPr>
                      <w:kern w:val="0"/>
                      <w:sz w:val="21"/>
                      <w:szCs w:val="21"/>
                    </w:rPr>
                  </w:pPr>
                  <w:r>
                    <w:rPr>
                      <w:rFonts w:hint="eastAsia"/>
                      <w:kern w:val="0"/>
                      <w:sz w:val="21"/>
                      <w:szCs w:val="21"/>
                    </w:rPr>
                    <w:t>独立袋装</w:t>
                  </w:r>
                </w:p>
              </w:tc>
              <w:tc>
                <w:tcPr>
                  <w:tcW w:w="672" w:type="pct"/>
                  <w:vAlign w:val="center"/>
                </w:tcPr>
                <w:p>
                  <w:pPr>
                    <w:widowControl/>
                    <w:spacing w:line="240" w:lineRule="auto"/>
                    <w:ind w:firstLine="0" w:firstLineChars="0"/>
                    <w:jc w:val="center"/>
                    <w:rPr>
                      <w:kern w:val="0"/>
                      <w:sz w:val="21"/>
                      <w:szCs w:val="21"/>
                    </w:rPr>
                  </w:pPr>
                  <w:r>
                    <w:rPr>
                      <w:rFonts w:hint="eastAsia"/>
                      <w:kern w:val="0"/>
                      <w:sz w:val="21"/>
                      <w:szCs w:val="21"/>
                    </w:rPr>
                    <w:t>仓库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666" w:type="pct"/>
                  <w:vAlign w:val="center"/>
                </w:tcPr>
                <w:p>
                  <w:pPr>
                    <w:widowControl/>
                    <w:spacing w:line="240" w:lineRule="auto"/>
                    <w:ind w:firstLine="0" w:firstLineChars="0"/>
                    <w:jc w:val="center"/>
                    <w:rPr>
                      <w:kern w:val="0"/>
                      <w:sz w:val="21"/>
                      <w:szCs w:val="21"/>
                    </w:rPr>
                  </w:pPr>
                  <w:r>
                    <w:rPr>
                      <w:rFonts w:hint="eastAsia"/>
                      <w:kern w:val="0"/>
                      <w:sz w:val="21"/>
                      <w:szCs w:val="21"/>
                    </w:rPr>
                    <w:t>医院</w:t>
                  </w:r>
                  <w:r>
                    <w:rPr>
                      <w:kern w:val="0"/>
                      <w:sz w:val="21"/>
                      <w:szCs w:val="21"/>
                    </w:rPr>
                    <w:t>棉签</w:t>
                  </w:r>
                </w:p>
              </w:tc>
              <w:tc>
                <w:tcPr>
                  <w:tcW w:w="484" w:type="pct"/>
                  <w:vAlign w:val="center"/>
                </w:tcPr>
                <w:p>
                  <w:pPr>
                    <w:widowControl/>
                    <w:spacing w:line="240" w:lineRule="auto"/>
                    <w:ind w:firstLine="0" w:firstLineChars="0"/>
                    <w:jc w:val="center"/>
                    <w:rPr>
                      <w:kern w:val="0"/>
                      <w:sz w:val="21"/>
                      <w:szCs w:val="21"/>
                    </w:rPr>
                  </w:pPr>
                  <w:r>
                    <w:rPr>
                      <w:rFonts w:hint="eastAsia"/>
                      <w:kern w:val="0"/>
                      <w:sz w:val="21"/>
                      <w:szCs w:val="21"/>
                    </w:rPr>
                    <w:t>50000</w:t>
                  </w:r>
                </w:p>
              </w:tc>
              <w:tc>
                <w:tcPr>
                  <w:tcW w:w="565" w:type="pct"/>
                  <w:vAlign w:val="center"/>
                </w:tcPr>
                <w:p>
                  <w:pPr>
                    <w:widowControl/>
                    <w:spacing w:line="240" w:lineRule="auto"/>
                    <w:ind w:firstLine="0" w:firstLineChars="0"/>
                    <w:jc w:val="center"/>
                    <w:rPr>
                      <w:kern w:val="0"/>
                      <w:sz w:val="21"/>
                      <w:szCs w:val="21"/>
                    </w:rPr>
                  </w:pPr>
                  <w:r>
                    <w:rPr>
                      <w:rFonts w:hint="eastAsia"/>
                      <w:kern w:val="0"/>
                      <w:sz w:val="21"/>
                      <w:szCs w:val="21"/>
                    </w:rPr>
                    <w:t>个/a</w:t>
                  </w:r>
                </w:p>
              </w:tc>
              <w:tc>
                <w:tcPr>
                  <w:tcW w:w="1613" w:type="pct"/>
                  <w:vAlign w:val="center"/>
                </w:tcPr>
                <w:p>
                  <w:pPr>
                    <w:widowControl/>
                    <w:spacing w:line="240" w:lineRule="auto"/>
                    <w:ind w:firstLine="0" w:firstLineChars="0"/>
                    <w:jc w:val="center"/>
                    <w:rPr>
                      <w:kern w:val="0"/>
                      <w:sz w:val="21"/>
                      <w:szCs w:val="21"/>
                    </w:rPr>
                  </w:pPr>
                  <w:r>
                    <w:rPr>
                      <w:rFonts w:hint="eastAsia"/>
                      <w:kern w:val="0"/>
                      <w:sz w:val="21"/>
                      <w:szCs w:val="21"/>
                    </w:rPr>
                    <w:t>—</w:t>
                  </w:r>
                </w:p>
              </w:tc>
              <w:tc>
                <w:tcPr>
                  <w:tcW w:w="672" w:type="pct"/>
                  <w:vAlign w:val="center"/>
                </w:tcPr>
                <w:p>
                  <w:pPr>
                    <w:widowControl/>
                    <w:spacing w:line="240" w:lineRule="auto"/>
                    <w:ind w:firstLine="0" w:firstLineChars="0"/>
                    <w:jc w:val="center"/>
                    <w:rPr>
                      <w:kern w:val="0"/>
                      <w:sz w:val="21"/>
                      <w:szCs w:val="21"/>
                    </w:rPr>
                  </w:pPr>
                  <w:r>
                    <w:rPr>
                      <w:rFonts w:hint="eastAsia"/>
                      <w:kern w:val="0"/>
                      <w:sz w:val="21"/>
                      <w:szCs w:val="21"/>
                    </w:rPr>
                    <w:t>仓库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666" w:type="pct"/>
                  <w:vAlign w:val="center"/>
                </w:tcPr>
                <w:p>
                  <w:pPr>
                    <w:widowControl/>
                    <w:spacing w:line="240" w:lineRule="auto"/>
                    <w:ind w:firstLine="0" w:firstLineChars="0"/>
                    <w:jc w:val="center"/>
                    <w:rPr>
                      <w:kern w:val="0"/>
                      <w:sz w:val="21"/>
                      <w:szCs w:val="21"/>
                    </w:rPr>
                  </w:pPr>
                  <w:r>
                    <w:rPr>
                      <w:rFonts w:hint="eastAsia"/>
                      <w:kern w:val="0"/>
                      <w:sz w:val="21"/>
                      <w:szCs w:val="21"/>
                    </w:rPr>
                    <w:t>一次性</w:t>
                  </w:r>
                  <w:r>
                    <w:rPr>
                      <w:kern w:val="0"/>
                      <w:sz w:val="21"/>
                      <w:szCs w:val="21"/>
                    </w:rPr>
                    <w:t>口罩、帽子</w:t>
                  </w:r>
                </w:p>
              </w:tc>
              <w:tc>
                <w:tcPr>
                  <w:tcW w:w="484" w:type="pct"/>
                  <w:vAlign w:val="center"/>
                </w:tcPr>
                <w:p>
                  <w:pPr>
                    <w:widowControl/>
                    <w:spacing w:line="240" w:lineRule="auto"/>
                    <w:ind w:firstLine="0" w:firstLineChars="0"/>
                    <w:jc w:val="center"/>
                    <w:rPr>
                      <w:kern w:val="0"/>
                      <w:sz w:val="21"/>
                      <w:szCs w:val="21"/>
                    </w:rPr>
                  </w:pPr>
                  <w:r>
                    <w:rPr>
                      <w:rFonts w:hint="eastAsia"/>
                      <w:kern w:val="0"/>
                      <w:sz w:val="21"/>
                      <w:szCs w:val="21"/>
                    </w:rPr>
                    <w:t>10000</w:t>
                  </w:r>
                </w:p>
              </w:tc>
              <w:tc>
                <w:tcPr>
                  <w:tcW w:w="565" w:type="pct"/>
                  <w:vAlign w:val="center"/>
                </w:tcPr>
                <w:p>
                  <w:pPr>
                    <w:widowControl/>
                    <w:spacing w:line="240" w:lineRule="auto"/>
                    <w:ind w:firstLine="0" w:firstLineChars="0"/>
                    <w:jc w:val="center"/>
                    <w:rPr>
                      <w:kern w:val="0"/>
                      <w:sz w:val="21"/>
                      <w:szCs w:val="21"/>
                    </w:rPr>
                  </w:pPr>
                  <w:r>
                    <w:rPr>
                      <w:rFonts w:hint="eastAsia"/>
                      <w:kern w:val="0"/>
                      <w:sz w:val="21"/>
                      <w:szCs w:val="21"/>
                    </w:rPr>
                    <w:t>个/a</w:t>
                  </w:r>
                </w:p>
              </w:tc>
              <w:tc>
                <w:tcPr>
                  <w:tcW w:w="1613" w:type="pct"/>
                  <w:vAlign w:val="center"/>
                </w:tcPr>
                <w:p>
                  <w:pPr>
                    <w:widowControl/>
                    <w:spacing w:line="240" w:lineRule="auto"/>
                    <w:ind w:firstLine="0" w:firstLineChars="0"/>
                    <w:jc w:val="center"/>
                    <w:rPr>
                      <w:kern w:val="0"/>
                      <w:sz w:val="21"/>
                      <w:szCs w:val="21"/>
                    </w:rPr>
                  </w:pPr>
                  <w:r>
                    <w:rPr>
                      <w:rFonts w:hint="eastAsia"/>
                      <w:kern w:val="0"/>
                      <w:sz w:val="21"/>
                      <w:szCs w:val="21"/>
                    </w:rPr>
                    <w:t>独立袋装</w:t>
                  </w:r>
                </w:p>
              </w:tc>
              <w:tc>
                <w:tcPr>
                  <w:tcW w:w="672" w:type="pct"/>
                  <w:vAlign w:val="center"/>
                </w:tcPr>
                <w:p>
                  <w:pPr>
                    <w:widowControl/>
                    <w:spacing w:line="240" w:lineRule="auto"/>
                    <w:ind w:firstLine="0" w:firstLineChars="0"/>
                    <w:jc w:val="center"/>
                    <w:rPr>
                      <w:kern w:val="0"/>
                      <w:sz w:val="21"/>
                      <w:szCs w:val="21"/>
                    </w:rPr>
                  </w:pPr>
                  <w:r>
                    <w:rPr>
                      <w:rFonts w:hint="eastAsia"/>
                      <w:kern w:val="0"/>
                      <w:sz w:val="21"/>
                      <w:szCs w:val="21"/>
                    </w:rPr>
                    <w:t>仓库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666" w:type="pct"/>
                  <w:vAlign w:val="center"/>
                </w:tcPr>
                <w:p>
                  <w:pPr>
                    <w:widowControl/>
                    <w:spacing w:line="240" w:lineRule="auto"/>
                    <w:ind w:firstLine="0" w:firstLineChars="0"/>
                    <w:jc w:val="center"/>
                    <w:rPr>
                      <w:kern w:val="0"/>
                      <w:sz w:val="21"/>
                      <w:szCs w:val="21"/>
                    </w:rPr>
                  </w:pPr>
                  <w:r>
                    <w:rPr>
                      <w:rFonts w:hint="eastAsia"/>
                      <w:kern w:val="0"/>
                      <w:sz w:val="21"/>
                      <w:szCs w:val="21"/>
                    </w:rPr>
                    <w:t>一次性</w:t>
                  </w:r>
                  <w:r>
                    <w:rPr>
                      <w:kern w:val="0"/>
                      <w:sz w:val="21"/>
                      <w:szCs w:val="21"/>
                    </w:rPr>
                    <w:t>使用动静脉穿刺针</w:t>
                  </w:r>
                </w:p>
              </w:tc>
              <w:tc>
                <w:tcPr>
                  <w:tcW w:w="484" w:type="pct"/>
                  <w:vAlign w:val="center"/>
                </w:tcPr>
                <w:p>
                  <w:pPr>
                    <w:widowControl/>
                    <w:spacing w:line="240" w:lineRule="auto"/>
                    <w:ind w:firstLine="0" w:firstLineChars="0"/>
                    <w:jc w:val="center"/>
                    <w:rPr>
                      <w:kern w:val="0"/>
                      <w:sz w:val="21"/>
                      <w:szCs w:val="21"/>
                    </w:rPr>
                  </w:pPr>
                  <w:r>
                    <w:rPr>
                      <w:rFonts w:hint="eastAsia"/>
                      <w:kern w:val="0"/>
                      <w:sz w:val="21"/>
                      <w:szCs w:val="21"/>
                    </w:rPr>
                    <w:t>20000</w:t>
                  </w:r>
                </w:p>
              </w:tc>
              <w:tc>
                <w:tcPr>
                  <w:tcW w:w="565" w:type="pct"/>
                  <w:vAlign w:val="center"/>
                </w:tcPr>
                <w:p>
                  <w:pPr>
                    <w:widowControl/>
                    <w:spacing w:line="240" w:lineRule="auto"/>
                    <w:ind w:firstLine="0" w:firstLineChars="0"/>
                    <w:jc w:val="center"/>
                    <w:rPr>
                      <w:kern w:val="0"/>
                      <w:sz w:val="21"/>
                      <w:szCs w:val="21"/>
                    </w:rPr>
                  </w:pPr>
                  <w:r>
                    <w:rPr>
                      <w:rFonts w:hint="eastAsia"/>
                      <w:kern w:val="0"/>
                      <w:sz w:val="21"/>
                      <w:szCs w:val="21"/>
                    </w:rPr>
                    <w:t>个/a</w:t>
                  </w:r>
                </w:p>
              </w:tc>
              <w:tc>
                <w:tcPr>
                  <w:tcW w:w="1613" w:type="pct"/>
                  <w:vAlign w:val="center"/>
                </w:tcPr>
                <w:p>
                  <w:pPr>
                    <w:widowControl/>
                    <w:spacing w:line="240" w:lineRule="auto"/>
                    <w:ind w:firstLine="0" w:firstLineChars="0"/>
                    <w:jc w:val="center"/>
                    <w:rPr>
                      <w:kern w:val="0"/>
                      <w:sz w:val="21"/>
                      <w:szCs w:val="21"/>
                    </w:rPr>
                  </w:pPr>
                  <w:r>
                    <w:rPr>
                      <w:rFonts w:hint="eastAsia"/>
                      <w:kern w:val="0"/>
                      <w:sz w:val="21"/>
                      <w:szCs w:val="21"/>
                    </w:rPr>
                    <w:t>独立袋装</w:t>
                  </w:r>
                </w:p>
              </w:tc>
              <w:tc>
                <w:tcPr>
                  <w:tcW w:w="672" w:type="pct"/>
                  <w:vAlign w:val="center"/>
                </w:tcPr>
                <w:p>
                  <w:pPr>
                    <w:widowControl/>
                    <w:spacing w:line="240" w:lineRule="auto"/>
                    <w:ind w:firstLine="0" w:firstLineChars="0"/>
                    <w:jc w:val="center"/>
                    <w:rPr>
                      <w:kern w:val="0"/>
                      <w:sz w:val="21"/>
                      <w:szCs w:val="21"/>
                    </w:rPr>
                  </w:pPr>
                  <w:r>
                    <w:rPr>
                      <w:rFonts w:hint="eastAsia"/>
                      <w:kern w:val="0"/>
                      <w:sz w:val="21"/>
                      <w:szCs w:val="21"/>
                    </w:rPr>
                    <w:t>仓库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666" w:type="pct"/>
                  <w:vAlign w:val="center"/>
                </w:tcPr>
                <w:p>
                  <w:pPr>
                    <w:widowControl/>
                    <w:spacing w:line="240" w:lineRule="auto"/>
                    <w:ind w:firstLine="0" w:firstLineChars="0"/>
                    <w:jc w:val="center"/>
                    <w:rPr>
                      <w:kern w:val="0"/>
                      <w:sz w:val="21"/>
                      <w:szCs w:val="21"/>
                    </w:rPr>
                  </w:pPr>
                  <w:r>
                    <w:rPr>
                      <w:rFonts w:hint="eastAsia"/>
                      <w:kern w:val="0"/>
                      <w:sz w:val="21"/>
                      <w:szCs w:val="21"/>
                    </w:rPr>
                    <w:t>一次性</w:t>
                  </w:r>
                  <w:r>
                    <w:rPr>
                      <w:kern w:val="0"/>
                      <w:sz w:val="21"/>
                      <w:szCs w:val="21"/>
                    </w:rPr>
                    <w:t>使用负压引流</w:t>
                  </w:r>
                  <w:r>
                    <w:rPr>
                      <w:rFonts w:hint="eastAsia"/>
                      <w:kern w:val="0"/>
                      <w:sz w:val="21"/>
                      <w:szCs w:val="21"/>
                    </w:rPr>
                    <w:t>器</w:t>
                  </w:r>
                </w:p>
              </w:tc>
              <w:tc>
                <w:tcPr>
                  <w:tcW w:w="484" w:type="pct"/>
                  <w:vAlign w:val="center"/>
                </w:tcPr>
                <w:p>
                  <w:pPr>
                    <w:widowControl/>
                    <w:spacing w:line="240" w:lineRule="auto"/>
                    <w:ind w:firstLine="0" w:firstLineChars="0"/>
                    <w:jc w:val="center"/>
                    <w:rPr>
                      <w:kern w:val="0"/>
                      <w:sz w:val="21"/>
                      <w:szCs w:val="21"/>
                    </w:rPr>
                  </w:pPr>
                  <w:r>
                    <w:rPr>
                      <w:rFonts w:hint="eastAsia"/>
                      <w:kern w:val="0"/>
                      <w:sz w:val="21"/>
                      <w:szCs w:val="21"/>
                    </w:rPr>
                    <w:t>10000</w:t>
                  </w:r>
                </w:p>
              </w:tc>
              <w:tc>
                <w:tcPr>
                  <w:tcW w:w="565" w:type="pct"/>
                  <w:vAlign w:val="center"/>
                </w:tcPr>
                <w:p>
                  <w:pPr>
                    <w:widowControl/>
                    <w:spacing w:line="240" w:lineRule="auto"/>
                    <w:ind w:firstLine="0" w:firstLineChars="0"/>
                    <w:jc w:val="center"/>
                    <w:rPr>
                      <w:kern w:val="0"/>
                      <w:sz w:val="21"/>
                      <w:szCs w:val="21"/>
                    </w:rPr>
                  </w:pPr>
                  <w:r>
                    <w:rPr>
                      <w:rFonts w:hint="eastAsia"/>
                      <w:kern w:val="0"/>
                      <w:sz w:val="21"/>
                      <w:szCs w:val="21"/>
                    </w:rPr>
                    <w:t>个/a</w:t>
                  </w:r>
                </w:p>
              </w:tc>
              <w:tc>
                <w:tcPr>
                  <w:tcW w:w="1613" w:type="pct"/>
                  <w:vAlign w:val="center"/>
                </w:tcPr>
                <w:p>
                  <w:pPr>
                    <w:widowControl/>
                    <w:spacing w:line="240" w:lineRule="auto"/>
                    <w:ind w:firstLine="0" w:firstLineChars="0"/>
                    <w:jc w:val="center"/>
                    <w:rPr>
                      <w:kern w:val="0"/>
                      <w:sz w:val="21"/>
                      <w:szCs w:val="21"/>
                    </w:rPr>
                  </w:pPr>
                  <w:r>
                    <w:rPr>
                      <w:rFonts w:hint="eastAsia"/>
                      <w:kern w:val="0"/>
                      <w:sz w:val="21"/>
                      <w:szCs w:val="21"/>
                    </w:rPr>
                    <w:t>独立袋装</w:t>
                  </w:r>
                </w:p>
              </w:tc>
              <w:tc>
                <w:tcPr>
                  <w:tcW w:w="672" w:type="pct"/>
                  <w:vAlign w:val="center"/>
                </w:tcPr>
                <w:p>
                  <w:pPr>
                    <w:widowControl/>
                    <w:spacing w:line="240" w:lineRule="auto"/>
                    <w:ind w:firstLine="0" w:firstLineChars="0"/>
                    <w:jc w:val="center"/>
                    <w:rPr>
                      <w:kern w:val="0"/>
                      <w:sz w:val="21"/>
                      <w:szCs w:val="21"/>
                    </w:rPr>
                  </w:pPr>
                  <w:r>
                    <w:rPr>
                      <w:rFonts w:hint="eastAsia"/>
                      <w:kern w:val="0"/>
                      <w:sz w:val="21"/>
                      <w:szCs w:val="21"/>
                    </w:rPr>
                    <w:t>仓库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666" w:type="pct"/>
                  <w:vAlign w:val="center"/>
                </w:tcPr>
                <w:p>
                  <w:pPr>
                    <w:widowControl/>
                    <w:spacing w:line="240" w:lineRule="auto"/>
                    <w:ind w:firstLine="0" w:firstLineChars="0"/>
                    <w:jc w:val="center"/>
                    <w:rPr>
                      <w:kern w:val="0"/>
                      <w:sz w:val="21"/>
                      <w:szCs w:val="21"/>
                    </w:rPr>
                  </w:pPr>
                  <w:r>
                    <w:rPr>
                      <w:rFonts w:hint="eastAsia"/>
                      <w:kern w:val="0"/>
                      <w:sz w:val="21"/>
                      <w:szCs w:val="21"/>
                    </w:rPr>
                    <w:t>一次性使用护理包</w:t>
                  </w:r>
                </w:p>
              </w:tc>
              <w:tc>
                <w:tcPr>
                  <w:tcW w:w="484" w:type="pct"/>
                  <w:vAlign w:val="center"/>
                </w:tcPr>
                <w:p>
                  <w:pPr>
                    <w:widowControl/>
                    <w:spacing w:line="240" w:lineRule="auto"/>
                    <w:ind w:firstLine="0" w:firstLineChars="0"/>
                    <w:jc w:val="center"/>
                    <w:rPr>
                      <w:kern w:val="0"/>
                      <w:sz w:val="21"/>
                      <w:szCs w:val="21"/>
                    </w:rPr>
                  </w:pPr>
                  <w:r>
                    <w:rPr>
                      <w:rFonts w:hint="eastAsia"/>
                      <w:kern w:val="0"/>
                      <w:sz w:val="21"/>
                      <w:szCs w:val="21"/>
                    </w:rPr>
                    <w:t>10000</w:t>
                  </w:r>
                </w:p>
              </w:tc>
              <w:tc>
                <w:tcPr>
                  <w:tcW w:w="565" w:type="pct"/>
                  <w:vAlign w:val="center"/>
                </w:tcPr>
                <w:p>
                  <w:pPr>
                    <w:widowControl/>
                    <w:spacing w:line="240" w:lineRule="auto"/>
                    <w:ind w:firstLine="0" w:firstLineChars="0"/>
                    <w:jc w:val="center"/>
                    <w:rPr>
                      <w:kern w:val="0"/>
                      <w:sz w:val="21"/>
                      <w:szCs w:val="21"/>
                    </w:rPr>
                  </w:pPr>
                  <w:r>
                    <w:rPr>
                      <w:rFonts w:hint="eastAsia"/>
                      <w:kern w:val="0"/>
                      <w:sz w:val="21"/>
                      <w:szCs w:val="21"/>
                    </w:rPr>
                    <w:t>个/a</w:t>
                  </w:r>
                </w:p>
              </w:tc>
              <w:tc>
                <w:tcPr>
                  <w:tcW w:w="1613" w:type="pct"/>
                  <w:vAlign w:val="center"/>
                </w:tcPr>
                <w:p>
                  <w:pPr>
                    <w:widowControl/>
                    <w:spacing w:line="240" w:lineRule="auto"/>
                    <w:ind w:firstLine="0" w:firstLineChars="0"/>
                    <w:jc w:val="center"/>
                    <w:rPr>
                      <w:kern w:val="0"/>
                      <w:sz w:val="21"/>
                      <w:szCs w:val="21"/>
                    </w:rPr>
                  </w:pPr>
                  <w:r>
                    <w:rPr>
                      <w:rFonts w:hint="eastAsia"/>
                      <w:kern w:val="0"/>
                      <w:sz w:val="21"/>
                      <w:szCs w:val="21"/>
                    </w:rPr>
                    <w:t>独立袋装</w:t>
                  </w:r>
                </w:p>
              </w:tc>
              <w:tc>
                <w:tcPr>
                  <w:tcW w:w="672" w:type="pct"/>
                  <w:vAlign w:val="center"/>
                </w:tcPr>
                <w:p>
                  <w:pPr>
                    <w:widowControl/>
                    <w:spacing w:line="240" w:lineRule="auto"/>
                    <w:ind w:firstLine="0" w:firstLineChars="0"/>
                    <w:jc w:val="center"/>
                    <w:rPr>
                      <w:kern w:val="0"/>
                      <w:sz w:val="21"/>
                      <w:szCs w:val="21"/>
                    </w:rPr>
                  </w:pPr>
                  <w:r>
                    <w:rPr>
                      <w:rFonts w:hint="eastAsia"/>
                      <w:kern w:val="0"/>
                      <w:sz w:val="21"/>
                      <w:szCs w:val="21"/>
                    </w:rPr>
                    <w:t>仓库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666" w:type="pct"/>
                  <w:vAlign w:val="center"/>
                </w:tcPr>
                <w:p>
                  <w:pPr>
                    <w:widowControl/>
                    <w:spacing w:line="240" w:lineRule="auto"/>
                    <w:ind w:firstLine="0" w:firstLineChars="0"/>
                    <w:jc w:val="center"/>
                    <w:rPr>
                      <w:kern w:val="0"/>
                      <w:sz w:val="21"/>
                      <w:szCs w:val="21"/>
                    </w:rPr>
                  </w:pPr>
                  <w:r>
                    <w:rPr>
                      <w:rFonts w:hint="eastAsia"/>
                      <w:kern w:val="0"/>
                      <w:sz w:val="21"/>
                      <w:szCs w:val="21"/>
                    </w:rPr>
                    <w:t>一次性使用换药护理包</w:t>
                  </w:r>
                </w:p>
              </w:tc>
              <w:tc>
                <w:tcPr>
                  <w:tcW w:w="484" w:type="pct"/>
                  <w:vAlign w:val="center"/>
                </w:tcPr>
                <w:p>
                  <w:pPr>
                    <w:widowControl/>
                    <w:spacing w:line="240" w:lineRule="auto"/>
                    <w:ind w:firstLine="0" w:firstLineChars="0"/>
                    <w:jc w:val="center"/>
                    <w:rPr>
                      <w:kern w:val="0"/>
                      <w:sz w:val="21"/>
                      <w:szCs w:val="21"/>
                    </w:rPr>
                  </w:pPr>
                  <w:r>
                    <w:rPr>
                      <w:rFonts w:hint="eastAsia"/>
                      <w:kern w:val="0"/>
                      <w:sz w:val="21"/>
                      <w:szCs w:val="21"/>
                    </w:rPr>
                    <w:t>10000</w:t>
                  </w:r>
                </w:p>
              </w:tc>
              <w:tc>
                <w:tcPr>
                  <w:tcW w:w="565" w:type="pct"/>
                  <w:vAlign w:val="center"/>
                </w:tcPr>
                <w:p>
                  <w:pPr>
                    <w:widowControl/>
                    <w:spacing w:line="240" w:lineRule="auto"/>
                    <w:ind w:firstLine="0" w:firstLineChars="0"/>
                    <w:jc w:val="center"/>
                    <w:rPr>
                      <w:kern w:val="0"/>
                      <w:sz w:val="21"/>
                      <w:szCs w:val="21"/>
                    </w:rPr>
                  </w:pPr>
                  <w:r>
                    <w:rPr>
                      <w:rFonts w:hint="eastAsia"/>
                      <w:kern w:val="0"/>
                      <w:sz w:val="21"/>
                      <w:szCs w:val="21"/>
                    </w:rPr>
                    <w:t>个/a</w:t>
                  </w:r>
                </w:p>
              </w:tc>
              <w:tc>
                <w:tcPr>
                  <w:tcW w:w="1613" w:type="pct"/>
                  <w:vAlign w:val="center"/>
                </w:tcPr>
                <w:p>
                  <w:pPr>
                    <w:widowControl/>
                    <w:spacing w:line="240" w:lineRule="auto"/>
                    <w:ind w:firstLine="0" w:firstLineChars="0"/>
                    <w:jc w:val="center"/>
                    <w:rPr>
                      <w:kern w:val="0"/>
                      <w:sz w:val="21"/>
                      <w:szCs w:val="21"/>
                    </w:rPr>
                  </w:pPr>
                  <w:r>
                    <w:rPr>
                      <w:rFonts w:hint="eastAsia"/>
                      <w:kern w:val="0"/>
                      <w:sz w:val="21"/>
                      <w:szCs w:val="21"/>
                    </w:rPr>
                    <w:t>独立袋装</w:t>
                  </w:r>
                </w:p>
              </w:tc>
              <w:tc>
                <w:tcPr>
                  <w:tcW w:w="672" w:type="pct"/>
                  <w:vAlign w:val="center"/>
                </w:tcPr>
                <w:p>
                  <w:pPr>
                    <w:widowControl/>
                    <w:spacing w:line="240" w:lineRule="auto"/>
                    <w:ind w:firstLine="0" w:firstLineChars="0"/>
                    <w:jc w:val="center"/>
                    <w:rPr>
                      <w:kern w:val="0"/>
                      <w:sz w:val="21"/>
                      <w:szCs w:val="21"/>
                    </w:rPr>
                  </w:pPr>
                  <w:r>
                    <w:rPr>
                      <w:rFonts w:hint="eastAsia"/>
                      <w:kern w:val="0"/>
                      <w:sz w:val="21"/>
                      <w:szCs w:val="21"/>
                    </w:rPr>
                    <w:t>仓库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666" w:type="pct"/>
                  <w:vAlign w:val="center"/>
                </w:tcPr>
                <w:p>
                  <w:pPr>
                    <w:widowControl/>
                    <w:spacing w:line="240" w:lineRule="auto"/>
                    <w:ind w:firstLine="0" w:firstLineChars="0"/>
                    <w:jc w:val="center"/>
                    <w:rPr>
                      <w:kern w:val="0"/>
                      <w:sz w:val="21"/>
                      <w:szCs w:val="21"/>
                    </w:rPr>
                  </w:pPr>
                  <w:r>
                    <w:rPr>
                      <w:rFonts w:hint="eastAsia"/>
                      <w:kern w:val="0"/>
                      <w:sz w:val="21"/>
                      <w:szCs w:val="21"/>
                    </w:rPr>
                    <w:t>一次性使用集尿袋</w:t>
                  </w:r>
                </w:p>
              </w:tc>
              <w:tc>
                <w:tcPr>
                  <w:tcW w:w="484" w:type="pct"/>
                  <w:vAlign w:val="center"/>
                </w:tcPr>
                <w:p>
                  <w:pPr>
                    <w:widowControl/>
                    <w:spacing w:line="240" w:lineRule="auto"/>
                    <w:ind w:firstLine="0" w:firstLineChars="0"/>
                    <w:jc w:val="center"/>
                    <w:rPr>
                      <w:kern w:val="0"/>
                      <w:sz w:val="21"/>
                      <w:szCs w:val="21"/>
                    </w:rPr>
                  </w:pPr>
                  <w:r>
                    <w:rPr>
                      <w:rFonts w:hint="eastAsia"/>
                      <w:kern w:val="0"/>
                      <w:sz w:val="21"/>
                      <w:szCs w:val="21"/>
                    </w:rPr>
                    <w:t>20000</w:t>
                  </w:r>
                </w:p>
              </w:tc>
              <w:tc>
                <w:tcPr>
                  <w:tcW w:w="565" w:type="pct"/>
                  <w:vAlign w:val="center"/>
                </w:tcPr>
                <w:p>
                  <w:pPr>
                    <w:widowControl/>
                    <w:spacing w:line="240" w:lineRule="auto"/>
                    <w:ind w:firstLine="0" w:firstLineChars="0"/>
                    <w:jc w:val="center"/>
                    <w:rPr>
                      <w:kern w:val="0"/>
                      <w:sz w:val="21"/>
                      <w:szCs w:val="21"/>
                    </w:rPr>
                  </w:pPr>
                  <w:r>
                    <w:rPr>
                      <w:rFonts w:hint="eastAsia"/>
                      <w:kern w:val="0"/>
                      <w:sz w:val="21"/>
                      <w:szCs w:val="21"/>
                    </w:rPr>
                    <w:t>个/a</w:t>
                  </w:r>
                </w:p>
              </w:tc>
              <w:tc>
                <w:tcPr>
                  <w:tcW w:w="1613" w:type="pct"/>
                  <w:vAlign w:val="center"/>
                </w:tcPr>
                <w:p>
                  <w:pPr>
                    <w:widowControl/>
                    <w:spacing w:line="240" w:lineRule="auto"/>
                    <w:ind w:firstLine="0" w:firstLineChars="0"/>
                    <w:jc w:val="center"/>
                    <w:rPr>
                      <w:kern w:val="0"/>
                      <w:sz w:val="21"/>
                      <w:szCs w:val="21"/>
                    </w:rPr>
                  </w:pPr>
                  <w:r>
                    <w:rPr>
                      <w:rFonts w:hint="eastAsia"/>
                      <w:kern w:val="0"/>
                      <w:sz w:val="21"/>
                      <w:szCs w:val="21"/>
                    </w:rPr>
                    <w:t>—</w:t>
                  </w:r>
                </w:p>
              </w:tc>
              <w:tc>
                <w:tcPr>
                  <w:tcW w:w="672" w:type="pct"/>
                  <w:vAlign w:val="center"/>
                </w:tcPr>
                <w:p>
                  <w:pPr>
                    <w:widowControl/>
                    <w:spacing w:line="240" w:lineRule="auto"/>
                    <w:ind w:firstLine="0" w:firstLineChars="0"/>
                    <w:jc w:val="center"/>
                    <w:rPr>
                      <w:kern w:val="0"/>
                      <w:sz w:val="21"/>
                      <w:szCs w:val="21"/>
                    </w:rPr>
                  </w:pPr>
                  <w:r>
                    <w:rPr>
                      <w:rFonts w:hint="eastAsia"/>
                      <w:kern w:val="0"/>
                      <w:sz w:val="21"/>
                      <w:szCs w:val="21"/>
                    </w:rPr>
                    <w:t>仓库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666" w:type="pct"/>
                  <w:vAlign w:val="center"/>
                </w:tcPr>
                <w:p>
                  <w:pPr>
                    <w:widowControl/>
                    <w:spacing w:line="240" w:lineRule="auto"/>
                    <w:ind w:firstLine="0" w:firstLineChars="0"/>
                    <w:jc w:val="center"/>
                    <w:rPr>
                      <w:kern w:val="0"/>
                      <w:sz w:val="21"/>
                      <w:szCs w:val="21"/>
                    </w:rPr>
                  </w:pPr>
                  <w:r>
                    <w:rPr>
                      <w:rFonts w:hint="eastAsia"/>
                      <w:kern w:val="0"/>
                      <w:sz w:val="21"/>
                      <w:szCs w:val="21"/>
                    </w:rPr>
                    <w:t>一次性使用灭菌橡胶外科手套</w:t>
                  </w:r>
                </w:p>
              </w:tc>
              <w:tc>
                <w:tcPr>
                  <w:tcW w:w="484" w:type="pct"/>
                  <w:vAlign w:val="center"/>
                </w:tcPr>
                <w:p>
                  <w:pPr>
                    <w:widowControl/>
                    <w:spacing w:line="240" w:lineRule="auto"/>
                    <w:ind w:firstLine="0" w:firstLineChars="0"/>
                    <w:jc w:val="center"/>
                    <w:rPr>
                      <w:kern w:val="0"/>
                      <w:sz w:val="21"/>
                      <w:szCs w:val="21"/>
                    </w:rPr>
                  </w:pPr>
                  <w:r>
                    <w:rPr>
                      <w:rFonts w:hint="eastAsia"/>
                      <w:kern w:val="0"/>
                      <w:sz w:val="21"/>
                      <w:szCs w:val="21"/>
                    </w:rPr>
                    <w:t>若干</w:t>
                  </w:r>
                </w:p>
              </w:tc>
              <w:tc>
                <w:tcPr>
                  <w:tcW w:w="565" w:type="pct"/>
                  <w:vAlign w:val="center"/>
                </w:tcPr>
                <w:p>
                  <w:pPr>
                    <w:widowControl/>
                    <w:spacing w:line="240" w:lineRule="auto"/>
                    <w:ind w:firstLine="0" w:firstLineChars="0"/>
                    <w:jc w:val="center"/>
                    <w:rPr>
                      <w:kern w:val="0"/>
                      <w:sz w:val="21"/>
                      <w:szCs w:val="21"/>
                    </w:rPr>
                  </w:pPr>
                  <w:r>
                    <w:rPr>
                      <w:rFonts w:hint="eastAsia"/>
                      <w:kern w:val="0"/>
                      <w:sz w:val="21"/>
                      <w:szCs w:val="21"/>
                    </w:rPr>
                    <w:t>—</w:t>
                  </w:r>
                </w:p>
              </w:tc>
              <w:tc>
                <w:tcPr>
                  <w:tcW w:w="1613" w:type="pct"/>
                  <w:vAlign w:val="center"/>
                </w:tcPr>
                <w:p>
                  <w:pPr>
                    <w:widowControl/>
                    <w:spacing w:line="240" w:lineRule="auto"/>
                    <w:ind w:firstLine="0" w:firstLineChars="0"/>
                    <w:jc w:val="center"/>
                    <w:rPr>
                      <w:kern w:val="0"/>
                      <w:sz w:val="21"/>
                      <w:szCs w:val="21"/>
                    </w:rPr>
                  </w:pPr>
                  <w:r>
                    <w:rPr>
                      <w:rFonts w:hint="eastAsia"/>
                      <w:kern w:val="0"/>
                      <w:sz w:val="21"/>
                      <w:szCs w:val="21"/>
                    </w:rPr>
                    <w:t>独立袋装</w:t>
                  </w:r>
                </w:p>
              </w:tc>
              <w:tc>
                <w:tcPr>
                  <w:tcW w:w="672" w:type="pct"/>
                  <w:vAlign w:val="center"/>
                </w:tcPr>
                <w:p>
                  <w:pPr>
                    <w:widowControl/>
                    <w:spacing w:line="240" w:lineRule="auto"/>
                    <w:ind w:firstLine="0" w:firstLineChars="0"/>
                    <w:jc w:val="center"/>
                    <w:rPr>
                      <w:kern w:val="0"/>
                      <w:sz w:val="21"/>
                      <w:szCs w:val="21"/>
                    </w:rPr>
                  </w:pPr>
                  <w:r>
                    <w:rPr>
                      <w:rFonts w:hint="eastAsia"/>
                      <w:kern w:val="0"/>
                      <w:sz w:val="21"/>
                      <w:szCs w:val="21"/>
                    </w:rPr>
                    <w:t>仓库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666" w:type="pct"/>
                  <w:vAlign w:val="center"/>
                </w:tcPr>
                <w:p>
                  <w:pPr>
                    <w:widowControl/>
                    <w:spacing w:line="240" w:lineRule="auto"/>
                    <w:ind w:firstLine="0" w:firstLineChars="0"/>
                    <w:jc w:val="left"/>
                    <w:rPr>
                      <w:kern w:val="0"/>
                      <w:sz w:val="21"/>
                      <w:szCs w:val="21"/>
                    </w:rPr>
                  </w:pPr>
                  <w:r>
                    <w:rPr>
                      <w:rFonts w:hint="eastAsia"/>
                      <w:kern w:val="0"/>
                      <w:sz w:val="21"/>
                      <w:szCs w:val="21"/>
                    </w:rPr>
                    <w:t>一次性检查垫、医用棉球、棉花、胶布、纱布等</w:t>
                  </w:r>
                </w:p>
              </w:tc>
              <w:tc>
                <w:tcPr>
                  <w:tcW w:w="484" w:type="pct"/>
                  <w:vAlign w:val="center"/>
                </w:tcPr>
                <w:p>
                  <w:pPr>
                    <w:widowControl/>
                    <w:spacing w:line="240" w:lineRule="auto"/>
                    <w:ind w:firstLine="0" w:firstLineChars="0"/>
                    <w:jc w:val="center"/>
                    <w:rPr>
                      <w:kern w:val="0"/>
                      <w:sz w:val="21"/>
                      <w:szCs w:val="21"/>
                    </w:rPr>
                  </w:pPr>
                  <w:r>
                    <w:rPr>
                      <w:rFonts w:hint="eastAsia"/>
                      <w:kern w:val="0"/>
                      <w:sz w:val="21"/>
                      <w:szCs w:val="21"/>
                    </w:rPr>
                    <w:t>若干</w:t>
                  </w:r>
                </w:p>
              </w:tc>
              <w:tc>
                <w:tcPr>
                  <w:tcW w:w="565" w:type="pct"/>
                  <w:vAlign w:val="center"/>
                </w:tcPr>
                <w:p>
                  <w:pPr>
                    <w:widowControl/>
                    <w:spacing w:line="240" w:lineRule="auto"/>
                    <w:ind w:firstLine="0" w:firstLineChars="0"/>
                    <w:jc w:val="center"/>
                    <w:rPr>
                      <w:kern w:val="0"/>
                      <w:sz w:val="21"/>
                      <w:szCs w:val="21"/>
                    </w:rPr>
                  </w:pPr>
                  <w:r>
                    <w:rPr>
                      <w:rFonts w:hint="eastAsia"/>
                      <w:kern w:val="0"/>
                      <w:sz w:val="21"/>
                      <w:szCs w:val="21"/>
                    </w:rPr>
                    <w:t>—</w:t>
                  </w:r>
                </w:p>
              </w:tc>
              <w:tc>
                <w:tcPr>
                  <w:tcW w:w="1613" w:type="pct"/>
                  <w:vAlign w:val="center"/>
                </w:tcPr>
                <w:p>
                  <w:pPr>
                    <w:widowControl/>
                    <w:spacing w:line="240" w:lineRule="auto"/>
                    <w:ind w:firstLine="0" w:firstLineChars="0"/>
                    <w:jc w:val="center"/>
                    <w:rPr>
                      <w:kern w:val="0"/>
                      <w:sz w:val="21"/>
                      <w:szCs w:val="21"/>
                    </w:rPr>
                  </w:pPr>
                  <w:r>
                    <w:rPr>
                      <w:rFonts w:hint="eastAsia"/>
                      <w:kern w:val="0"/>
                      <w:sz w:val="21"/>
                      <w:szCs w:val="21"/>
                    </w:rPr>
                    <w:t>独立袋装</w:t>
                  </w:r>
                </w:p>
              </w:tc>
              <w:tc>
                <w:tcPr>
                  <w:tcW w:w="672" w:type="pct"/>
                  <w:vAlign w:val="center"/>
                </w:tcPr>
                <w:p>
                  <w:pPr>
                    <w:widowControl/>
                    <w:spacing w:line="240" w:lineRule="auto"/>
                    <w:ind w:firstLine="0" w:firstLineChars="0"/>
                    <w:jc w:val="center"/>
                    <w:rPr>
                      <w:kern w:val="0"/>
                      <w:sz w:val="21"/>
                      <w:szCs w:val="21"/>
                    </w:rPr>
                  </w:pPr>
                  <w:r>
                    <w:rPr>
                      <w:rFonts w:hint="eastAsia"/>
                      <w:kern w:val="0"/>
                      <w:sz w:val="21"/>
                      <w:szCs w:val="21"/>
                    </w:rPr>
                    <w:t>仓库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666" w:type="pct"/>
                  <w:vAlign w:val="center"/>
                </w:tcPr>
                <w:p>
                  <w:pPr>
                    <w:widowControl/>
                    <w:spacing w:line="240" w:lineRule="auto"/>
                    <w:ind w:firstLine="0" w:firstLineChars="0"/>
                    <w:jc w:val="center"/>
                    <w:rPr>
                      <w:kern w:val="0"/>
                      <w:sz w:val="21"/>
                      <w:szCs w:val="21"/>
                    </w:rPr>
                  </w:pPr>
                  <w:r>
                    <w:rPr>
                      <w:rFonts w:hint="eastAsia"/>
                      <w:kern w:val="0"/>
                      <w:sz w:val="21"/>
                      <w:szCs w:val="21"/>
                    </w:rPr>
                    <w:t>检测试剂盒</w:t>
                  </w:r>
                </w:p>
              </w:tc>
              <w:tc>
                <w:tcPr>
                  <w:tcW w:w="484" w:type="pct"/>
                  <w:vAlign w:val="center"/>
                </w:tcPr>
                <w:p>
                  <w:pPr>
                    <w:widowControl/>
                    <w:spacing w:line="240" w:lineRule="auto"/>
                    <w:ind w:firstLine="0" w:firstLineChars="0"/>
                    <w:jc w:val="center"/>
                    <w:rPr>
                      <w:kern w:val="0"/>
                      <w:sz w:val="21"/>
                      <w:szCs w:val="21"/>
                    </w:rPr>
                  </w:pPr>
                  <w:r>
                    <w:rPr>
                      <w:rFonts w:hint="eastAsia"/>
                      <w:kern w:val="0"/>
                      <w:sz w:val="21"/>
                      <w:szCs w:val="21"/>
                    </w:rPr>
                    <w:t>90000</w:t>
                  </w:r>
                </w:p>
              </w:tc>
              <w:tc>
                <w:tcPr>
                  <w:tcW w:w="565" w:type="pct"/>
                  <w:vAlign w:val="center"/>
                </w:tcPr>
                <w:p>
                  <w:pPr>
                    <w:widowControl/>
                    <w:spacing w:line="240" w:lineRule="auto"/>
                    <w:ind w:firstLine="0" w:firstLineChars="0"/>
                    <w:jc w:val="center"/>
                    <w:rPr>
                      <w:kern w:val="0"/>
                      <w:sz w:val="21"/>
                      <w:szCs w:val="21"/>
                    </w:rPr>
                  </w:pPr>
                  <w:r>
                    <w:rPr>
                      <w:rFonts w:hint="eastAsia"/>
                      <w:kern w:val="0"/>
                      <w:sz w:val="21"/>
                      <w:szCs w:val="21"/>
                    </w:rPr>
                    <w:t>份/a</w:t>
                  </w:r>
                </w:p>
              </w:tc>
              <w:tc>
                <w:tcPr>
                  <w:tcW w:w="1613" w:type="pct"/>
                  <w:vAlign w:val="center"/>
                </w:tcPr>
                <w:p>
                  <w:pPr>
                    <w:widowControl/>
                    <w:spacing w:line="240" w:lineRule="auto"/>
                    <w:ind w:firstLine="0" w:firstLineChars="0"/>
                    <w:jc w:val="center"/>
                    <w:rPr>
                      <w:kern w:val="0"/>
                      <w:sz w:val="21"/>
                      <w:szCs w:val="21"/>
                    </w:rPr>
                  </w:pPr>
                  <w:r>
                    <w:rPr>
                      <w:rFonts w:hint="eastAsia"/>
                      <w:kern w:val="0"/>
                      <w:sz w:val="21"/>
                      <w:szCs w:val="21"/>
                    </w:rPr>
                    <w:t>多份盒装</w:t>
                  </w:r>
                </w:p>
              </w:tc>
              <w:tc>
                <w:tcPr>
                  <w:tcW w:w="672" w:type="pct"/>
                  <w:vAlign w:val="center"/>
                </w:tcPr>
                <w:p>
                  <w:pPr>
                    <w:widowControl/>
                    <w:spacing w:line="240" w:lineRule="auto"/>
                    <w:ind w:firstLine="0" w:firstLineChars="0"/>
                    <w:jc w:val="center"/>
                    <w:rPr>
                      <w:kern w:val="0"/>
                      <w:sz w:val="21"/>
                      <w:szCs w:val="21"/>
                    </w:rPr>
                  </w:pPr>
                  <w:r>
                    <w:rPr>
                      <w:rFonts w:hint="eastAsia"/>
                      <w:kern w:val="0"/>
                      <w:sz w:val="21"/>
                      <w:szCs w:val="21"/>
                    </w:rPr>
                    <w:t>仓库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666" w:type="pct"/>
                  <w:vAlign w:val="center"/>
                </w:tcPr>
                <w:p>
                  <w:pPr>
                    <w:widowControl/>
                    <w:spacing w:line="240" w:lineRule="auto"/>
                    <w:ind w:firstLine="0" w:firstLineChars="0"/>
                    <w:jc w:val="center"/>
                    <w:rPr>
                      <w:kern w:val="0"/>
                      <w:sz w:val="21"/>
                      <w:szCs w:val="21"/>
                    </w:rPr>
                  </w:pPr>
                  <w:r>
                    <w:rPr>
                      <w:rFonts w:hint="eastAsia"/>
                      <w:kern w:val="0"/>
                      <w:sz w:val="21"/>
                      <w:szCs w:val="21"/>
                    </w:rPr>
                    <w:t>其他医院器械等</w:t>
                  </w:r>
                </w:p>
              </w:tc>
              <w:tc>
                <w:tcPr>
                  <w:tcW w:w="484" w:type="pct"/>
                  <w:vAlign w:val="center"/>
                </w:tcPr>
                <w:p>
                  <w:pPr>
                    <w:widowControl/>
                    <w:spacing w:line="240" w:lineRule="auto"/>
                    <w:ind w:firstLine="0" w:firstLineChars="0"/>
                    <w:jc w:val="center"/>
                    <w:rPr>
                      <w:kern w:val="0"/>
                      <w:sz w:val="21"/>
                      <w:szCs w:val="21"/>
                    </w:rPr>
                  </w:pPr>
                  <w:r>
                    <w:rPr>
                      <w:rFonts w:hint="eastAsia"/>
                      <w:kern w:val="0"/>
                      <w:sz w:val="21"/>
                      <w:szCs w:val="21"/>
                    </w:rPr>
                    <w:t>若干</w:t>
                  </w:r>
                </w:p>
              </w:tc>
              <w:tc>
                <w:tcPr>
                  <w:tcW w:w="565" w:type="pct"/>
                  <w:vAlign w:val="center"/>
                </w:tcPr>
                <w:p>
                  <w:pPr>
                    <w:widowControl/>
                    <w:spacing w:line="240" w:lineRule="auto"/>
                    <w:ind w:firstLine="0" w:firstLineChars="0"/>
                    <w:jc w:val="center"/>
                    <w:rPr>
                      <w:kern w:val="0"/>
                      <w:sz w:val="21"/>
                      <w:szCs w:val="21"/>
                    </w:rPr>
                  </w:pPr>
                  <w:r>
                    <w:rPr>
                      <w:rFonts w:hint="eastAsia"/>
                      <w:kern w:val="0"/>
                      <w:sz w:val="21"/>
                      <w:szCs w:val="21"/>
                    </w:rPr>
                    <w:t>—</w:t>
                  </w:r>
                </w:p>
              </w:tc>
              <w:tc>
                <w:tcPr>
                  <w:tcW w:w="1613" w:type="pct"/>
                  <w:vAlign w:val="center"/>
                </w:tcPr>
                <w:p>
                  <w:pPr>
                    <w:widowControl/>
                    <w:spacing w:line="240" w:lineRule="auto"/>
                    <w:ind w:firstLine="0" w:firstLineChars="0"/>
                    <w:jc w:val="center"/>
                    <w:rPr>
                      <w:kern w:val="0"/>
                      <w:sz w:val="21"/>
                      <w:szCs w:val="21"/>
                    </w:rPr>
                  </w:pPr>
                  <w:r>
                    <w:rPr>
                      <w:rFonts w:hint="eastAsia"/>
                      <w:kern w:val="0"/>
                      <w:sz w:val="21"/>
                      <w:szCs w:val="21"/>
                    </w:rPr>
                    <w:t>—</w:t>
                  </w:r>
                </w:p>
              </w:tc>
              <w:tc>
                <w:tcPr>
                  <w:tcW w:w="672" w:type="pct"/>
                  <w:vAlign w:val="center"/>
                </w:tcPr>
                <w:p>
                  <w:pPr>
                    <w:widowControl/>
                    <w:spacing w:line="240" w:lineRule="auto"/>
                    <w:ind w:firstLine="0" w:firstLineChars="0"/>
                    <w:jc w:val="center"/>
                    <w:rPr>
                      <w:kern w:val="0"/>
                      <w:sz w:val="21"/>
                      <w:szCs w:val="21"/>
                    </w:rPr>
                  </w:pPr>
                  <w:r>
                    <w:rPr>
                      <w:rFonts w:hint="eastAsia"/>
                      <w:kern w:val="0"/>
                      <w:sz w:val="21"/>
                      <w:szCs w:val="21"/>
                    </w:rPr>
                    <w:t>仓库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666" w:type="pct"/>
                  <w:vAlign w:val="center"/>
                </w:tcPr>
                <w:p>
                  <w:pPr>
                    <w:widowControl/>
                    <w:spacing w:line="240" w:lineRule="auto"/>
                    <w:ind w:firstLine="0" w:firstLineChars="0"/>
                    <w:jc w:val="center"/>
                    <w:rPr>
                      <w:kern w:val="0"/>
                      <w:sz w:val="21"/>
                      <w:szCs w:val="21"/>
                    </w:rPr>
                  </w:pPr>
                  <w:r>
                    <w:rPr>
                      <w:rFonts w:hint="eastAsia"/>
                      <w:kern w:val="0"/>
                      <w:sz w:val="21"/>
                      <w:szCs w:val="21"/>
                    </w:rPr>
                    <w:t>乙醚</w:t>
                  </w:r>
                </w:p>
              </w:tc>
              <w:tc>
                <w:tcPr>
                  <w:tcW w:w="484" w:type="pct"/>
                  <w:vAlign w:val="center"/>
                </w:tcPr>
                <w:p>
                  <w:pPr>
                    <w:widowControl/>
                    <w:spacing w:line="240" w:lineRule="auto"/>
                    <w:ind w:firstLine="0" w:firstLineChars="0"/>
                    <w:jc w:val="center"/>
                    <w:rPr>
                      <w:kern w:val="0"/>
                      <w:sz w:val="21"/>
                      <w:szCs w:val="21"/>
                    </w:rPr>
                  </w:pPr>
                  <w:r>
                    <w:rPr>
                      <w:rFonts w:hint="eastAsia"/>
                      <w:kern w:val="0"/>
                      <w:sz w:val="21"/>
                      <w:szCs w:val="21"/>
                    </w:rPr>
                    <w:t>2</w:t>
                  </w:r>
                </w:p>
              </w:tc>
              <w:tc>
                <w:tcPr>
                  <w:tcW w:w="565" w:type="pct"/>
                  <w:vAlign w:val="center"/>
                </w:tcPr>
                <w:p>
                  <w:pPr>
                    <w:widowControl/>
                    <w:spacing w:line="240" w:lineRule="auto"/>
                    <w:ind w:firstLine="0" w:firstLineChars="0"/>
                    <w:jc w:val="center"/>
                    <w:rPr>
                      <w:kern w:val="0"/>
                      <w:sz w:val="21"/>
                      <w:szCs w:val="21"/>
                    </w:rPr>
                  </w:pPr>
                  <w:r>
                    <w:rPr>
                      <w:rFonts w:hint="eastAsia"/>
                      <w:kern w:val="0"/>
                      <w:sz w:val="21"/>
                      <w:szCs w:val="21"/>
                    </w:rPr>
                    <w:t>瓶/a</w:t>
                  </w:r>
                </w:p>
              </w:tc>
              <w:tc>
                <w:tcPr>
                  <w:tcW w:w="1613" w:type="pct"/>
                  <w:vAlign w:val="center"/>
                </w:tcPr>
                <w:p>
                  <w:pPr>
                    <w:widowControl/>
                    <w:spacing w:line="240" w:lineRule="auto"/>
                    <w:ind w:firstLine="0" w:firstLineChars="0"/>
                    <w:jc w:val="center"/>
                    <w:rPr>
                      <w:kern w:val="0"/>
                      <w:sz w:val="21"/>
                      <w:szCs w:val="21"/>
                    </w:rPr>
                  </w:pPr>
                  <w:r>
                    <w:rPr>
                      <w:kern w:val="0"/>
                      <w:sz w:val="21"/>
                      <w:szCs w:val="21"/>
                    </w:rPr>
                    <w:t>500mL</w:t>
                  </w:r>
                  <w:r>
                    <w:rPr>
                      <w:rFonts w:hint="eastAsia"/>
                      <w:kern w:val="0"/>
                      <w:sz w:val="21"/>
                      <w:szCs w:val="21"/>
                    </w:rPr>
                    <w:t>/瓶</w:t>
                  </w:r>
                </w:p>
              </w:tc>
              <w:tc>
                <w:tcPr>
                  <w:tcW w:w="672" w:type="pct"/>
                  <w:vAlign w:val="center"/>
                </w:tcPr>
                <w:p>
                  <w:pPr>
                    <w:widowControl/>
                    <w:spacing w:line="240" w:lineRule="auto"/>
                    <w:ind w:firstLine="0" w:firstLineChars="0"/>
                    <w:jc w:val="center"/>
                    <w:rPr>
                      <w:kern w:val="0"/>
                      <w:sz w:val="21"/>
                      <w:szCs w:val="21"/>
                    </w:rPr>
                  </w:pPr>
                  <w:r>
                    <w:rPr>
                      <w:rFonts w:hint="eastAsia"/>
                      <w:kern w:val="0"/>
                      <w:sz w:val="21"/>
                      <w:szCs w:val="21"/>
                    </w:rPr>
                    <w:t>仓库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666" w:type="pct"/>
                  <w:vAlign w:val="center"/>
                </w:tcPr>
                <w:p>
                  <w:pPr>
                    <w:widowControl/>
                    <w:spacing w:line="240" w:lineRule="auto"/>
                    <w:ind w:firstLine="0" w:firstLineChars="0"/>
                    <w:jc w:val="center"/>
                    <w:rPr>
                      <w:kern w:val="0"/>
                      <w:sz w:val="21"/>
                      <w:szCs w:val="21"/>
                    </w:rPr>
                  </w:pPr>
                  <w:r>
                    <w:rPr>
                      <w:rFonts w:hint="eastAsia"/>
                      <w:kern w:val="0"/>
                      <w:sz w:val="21"/>
                      <w:szCs w:val="21"/>
                    </w:rPr>
                    <w:t>醋酸（38%）</w:t>
                  </w:r>
                </w:p>
              </w:tc>
              <w:tc>
                <w:tcPr>
                  <w:tcW w:w="484" w:type="pct"/>
                  <w:vAlign w:val="center"/>
                </w:tcPr>
                <w:p>
                  <w:pPr>
                    <w:widowControl/>
                    <w:spacing w:line="240" w:lineRule="auto"/>
                    <w:ind w:firstLine="0" w:firstLineChars="0"/>
                    <w:jc w:val="center"/>
                    <w:rPr>
                      <w:kern w:val="0"/>
                      <w:sz w:val="21"/>
                      <w:szCs w:val="21"/>
                    </w:rPr>
                  </w:pPr>
                  <w:r>
                    <w:rPr>
                      <w:rFonts w:hint="eastAsia"/>
                      <w:kern w:val="0"/>
                      <w:sz w:val="21"/>
                      <w:szCs w:val="21"/>
                    </w:rPr>
                    <w:t>2</w:t>
                  </w:r>
                </w:p>
              </w:tc>
              <w:tc>
                <w:tcPr>
                  <w:tcW w:w="565" w:type="pct"/>
                  <w:vAlign w:val="center"/>
                </w:tcPr>
                <w:p>
                  <w:pPr>
                    <w:widowControl/>
                    <w:spacing w:line="240" w:lineRule="auto"/>
                    <w:ind w:firstLine="0" w:firstLineChars="0"/>
                    <w:jc w:val="center"/>
                    <w:rPr>
                      <w:kern w:val="0"/>
                      <w:sz w:val="21"/>
                      <w:szCs w:val="21"/>
                    </w:rPr>
                  </w:pPr>
                  <w:r>
                    <w:rPr>
                      <w:rFonts w:hint="eastAsia"/>
                      <w:kern w:val="0"/>
                      <w:sz w:val="21"/>
                      <w:szCs w:val="21"/>
                    </w:rPr>
                    <w:t>瓶/a</w:t>
                  </w:r>
                </w:p>
              </w:tc>
              <w:tc>
                <w:tcPr>
                  <w:tcW w:w="1613" w:type="pct"/>
                  <w:vAlign w:val="center"/>
                </w:tcPr>
                <w:p>
                  <w:pPr>
                    <w:widowControl/>
                    <w:spacing w:line="240" w:lineRule="auto"/>
                    <w:ind w:firstLine="0" w:firstLineChars="0"/>
                    <w:jc w:val="center"/>
                    <w:rPr>
                      <w:kern w:val="0"/>
                      <w:sz w:val="21"/>
                      <w:szCs w:val="21"/>
                    </w:rPr>
                  </w:pPr>
                  <w:r>
                    <w:rPr>
                      <w:kern w:val="0"/>
                      <w:sz w:val="21"/>
                      <w:szCs w:val="21"/>
                    </w:rPr>
                    <w:t>500mL</w:t>
                  </w:r>
                  <w:r>
                    <w:rPr>
                      <w:rFonts w:hint="eastAsia"/>
                      <w:kern w:val="0"/>
                      <w:sz w:val="21"/>
                      <w:szCs w:val="21"/>
                    </w:rPr>
                    <w:t>/瓶</w:t>
                  </w:r>
                </w:p>
              </w:tc>
              <w:tc>
                <w:tcPr>
                  <w:tcW w:w="672" w:type="pct"/>
                  <w:vAlign w:val="center"/>
                </w:tcPr>
                <w:p>
                  <w:pPr>
                    <w:widowControl/>
                    <w:spacing w:line="240" w:lineRule="auto"/>
                    <w:ind w:firstLine="0" w:firstLineChars="0"/>
                    <w:jc w:val="center"/>
                    <w:rPr>
                      <w:kern w:val="0"/>
                      <w:sz w:val="21"/>
                      <w:szCs w:val="21"/>
                    </w:rPr>
                  </w:pPr>
                  <w:r>
                    <w:rPr>
                      <w:rFonts w:hint="eastAsia"/>
                      <w:kern w:val="0"/>
                      <w:sz w:val="21"/>
                      <w:szCs w:val="21"/>
                    </w:rPr>
                    <w:t>仓库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666" w:type="pct"/>
                  <w:vAlign w:val="center"/>
                </w:tcPr>
                <w:p>
                  <w:pPr>
                    <w:widowControl/>
                    <w:spacing w:line="240" w:lineRule="auto"/>
                    <w:ind w:firstLine="0" w:firstLineChars="0"/>
                    <w:jc w:val="center"/>
                    <w:rPr>
                      <w:kern w:val="0"/>
                      <w:sz w:val="21"/>
                      <w:szCs w:val="21"/>
                    </w:rPr>
                  </w:pPr>
                  <w:r>
                    <w:rPr>
                      <w:rFonts w:hint="eastAsia"/>
                      <w:kern w:val="0"/>
                      <w:sz w:val="21"/>
                      <w:szCs w:val="21"/>
                    </w:rPr>
                    <w:t>医用消毒剂</w:t>
                  </w:r>
                </w:p>
              </w:tc>
              <w:tc>
                <w:tcPr>
                  <w:tcW w:w="484" w:type="pct"/>
                  <w:vAlign w:val="center"/>
                </w:tcPr>
                <w:p>
                  <w:pPr>
                    <w:widowControl/>
                    <w:spacing w:line="240" w:lineRule="auto"/>
                    <w:ind w:firstLine="0" w:firstLineChars="0"/>
                    <w:jc w:val="center"/>
                    <w:rPr>
                      <w:kern w:val="0"/>
                      <w:sz w:val="21"/>
                      <w:szCs w:val="21"/>
                    </w:rPr>
                  </w:pPr>
                  <w:r>
                    <w:rPr>
                      <w:rFonts w:hint="eastAsia"/>
                      <w:kern w:val="0"/>
                      <w:sz w:val="21"/>
                      <w:szCs w:val="21"/>
                    </w:rPr>
                    <w:t>200</w:t>
                  </w:r>
                </w:p>
              </w:tc>
              <w:tc>
                <w:tcPr>
                  <w:tcW w:w="565" w:type="pct"/>
                  <w:vAlign w:val="center"/>
                </w:tcPr>
                <w:p>
                  <w:pPr>
                    <w:widowControl/>
                    <w:spacing w:line="240" w:lineRule="auto"/>
                    <w:ind w:firstLine="0" w:firstLineChars="0"/>
                    <w:jc w:val="center"/>
                    <w:rPr>
                      <w:kern w:val="0"/>
                      <w:sz w:val="21"/>
                      <w:szCs w:val="21"/>
                    </w:rPr>
                  </w:pPr>
                  <w:r>
                    <w:rPr>
                      <w:kern w:val="0"/>
                      <w:sz w:val="21"/>
                      <w:szCs w:val="21"/>
                    </w:rPr>
                    <w:t>L/a</w:t>
                  </w:r>
                </w:p>
              </w:tc>
              <w:tc>
                <w:tcPr>
                  <w:tcW w:w="1613" w:type="pct"/>
                  <w:vAlign w:val="center"/>
                </w:tcPr>
                <w:p>
                  <w:pPr>
                    <w:widowControl/>
                    <w:spacing w:line="240" w:lineRule="auto"/>
                    <w:ind w:firstLine="0" w:firstLineChars="0"/>
                    <w:jc w:val="center"/>
                    <w:rPr>
                      <w:kern w:val="0"/>
                      <w:sz w:val="21"/>
                      <w:szCs w:val="21"/>
                    </w:rPr>
                  </w:pPr>
                  <w:r>
                    <w:rPr>
                      <w:rFonts w:hint="eastAsia"/>
                      <w:kern w:val="0"/>
                      <w:sz w:val="21"/>
                      <w:szCs w:val="21"/>
                    </w:rPr>
                    <w:t>5L/桶</w:t>
                  </w:r>
                </w:p>
              </w:tc>
              <w:tc>
                <w:tcPr>
                  <w:tcW w:w="672" w:type="pct"/>
                  <w:vAlign w:val="center"/>
                </w:tcPr>
                <w:p>
                  <w:pPr>
                    <w:widowControl/>
                    <w:spacing w:line="240" w:lineRule="auto"/>
                    <w:ind w:firstLine="0" w:firstLineChars="0"/>
                    <w:jc w:val="center"/>
                    <w:rPr>
                      <w:kern w:val="0"/>
                      <w:sz w:val="21"/>
                      <w:szCs w:val="21"/>
                    </w:rPr>
                  </w:pPr>
                  <w:r>
                    <w:rPr>
                      <w:rFonts w:hint="eastAsia"/>
                      <w:kern w:val="0"/>
                      <w:sz w:val="21"/>
                      <w:szCs w:val="21"/>
                    </w:rPr>
                    <w:t>仓库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666" w:type="pct"/>
                  <w:vAlign w:val="center"/>
                </w:tcPr>
                <w:p>
                  <w:pPr>
                    <w:widowControl/>
                    <w:spacing w:line="240" w:lineRule="auto"/>
                    <w:ind w:firstLine="0" w:firstLineChars="0"/>
                    <w:jc w:val="center"/>
                    <w:rPr>
                      <w:kern w:val="0"/>
                      <w:sz w:val="21"/>
                      <w:szCs w:val="21"/>
                      <w:highlight w:val="yellow"/>
                    </w:rPr>
                  </w:pPr>
                  <w:r>
                    <w:rPr>
                      <w:rFonts w:hint="eastAsia"/>
                      <w:kern w:val="0"/>
                      <w:sz w:val="21"/>
                      <w:szCs w:val="21"/>
                    </w:rPr>
                    <w:t>污水处理用消毒剂（NaClO）</w:t>
                  </w:r>
                </w:p>
              </w:tc>
              <w:tc>
                <w:tcPr>
                  <w:tcW w:w="484" w:type="pct"/>
                  <w:vAlign w:val="center"/>
                </w:tcPr>
                <w:p>
                  <w:pPr>
                    <w:widowControl/>
                    <w:spacing w:line="240" w:lineRule="auto"/>
                    <w:ind w:firstLine="0" w:firstLineChars="0"/>
                    <w:jc w:val="center"/>
                    <w:rPr>
                      <w:kern w:val="0"/>
                      <w:sz w:val="21"/>
                      <w:szCs w:val="21"/>
                    </w:rPr>
                  </w:pPr>
                  <w:r>
                    <w:rPr>
                      <w:rFonts w:hint="eastAsia"/>
                      <w:kern w:val="0"/>
                      <w:sz w:val="21"/>
                      <w:szCs w:val="21"/>
                    </w:rPr>
                    <w:t>0.03</w:t>
                  </w:r>
                </w:p>
              </w:tc>
              <w:tc>
                <w:tcPr>
                  <w:tcW w:w="565" w:type="pct"/>
                  <w:vAlign w:val="center"/>
                </w:tcPr>
                <w:p>
                  <w:pPr>
                    <w:widowControl/>
                    <w:spacing w:line="240" w:lineRule="auto"/>
                    <w:ind w:firstLine="0" w:firstLineChars="0"/>
                    <w:jc w:val="center"/>
                    <w:rPr>
                      <w:kern w:val="0"/>
                      <w:sz w:val="21"/>
                      <w:szCs w:val="21"/>
                    </w:rPr>
                  </w:pPr>
                  <w:r>
                    <w:rPr>
                      <w:rFonts w:hint="eastAsia"/>
                      <w:kern w:val="0"/>
                      <w:sz w:val="21"/>
                      <w:szCs w:val="21"/>
                    </w:rPr>
                    <w:t>t/a</w:t>
                  </w:r>
                </w:p>
              </w:tc>
              <w:tc>
                <w:tcPr>
                  <w:tcW w:w="1613" w:type="pct"/>
                  <w:vAlign w:val="center"/>
                </w:tcPr>
                <w:p>
                  <w:pPr>
                    <w:widowControl/>
                    <w:spacing w:line="240" w:lineRule="auto"/>
                    <w:ind w:firstLine="0" w:firstLineChars="0"/>
                    <w:jc w:val="center"/>
                    <w:rPr>
                      <w:kern w:val="0"/>
                      <w:sz w:val="21"/>
                      <w:szCs w:val="21"/>
                    </w:rPr>
                  </w:pPr>
                  <w:r>
                    <w:rPr>
                      <w:rFonts w:hint="eastAsia"/>
                      <w:kern w:val="0"/>
                      <w:sz w:val="21"/>
                      <w:szCs w:val="21"/>
                    </w:rPr>
                    <w:t>25kg/袋</w:t>
                  </w:r>
                </w:p>
              </w:tc>
              <w:tc>
                <w:tcPr>
                  <w:tcW w:w="672" w:type="pct"/>
                  <w:vAlign w:val="center"/>
                </w:tcPr>
                <w:p>
                  <w:pPr>
                    <w:widowControl/>
                    <w:spacing w:line="240" w:lineRule="auto"/>
                    <w:ind w:firstLine="0" w:firstLineChars="0"/>
                    <w:jc w:val="center"/>
                    <w:rPr>
                      <w:kern w:val="0"/>
                      <w:sz w:val="21"/>
                      <w:szCs w:val="21"/>
                    </w:rPr>
                  </w:pPr>
                  <w:r>
                    <w:rPr>
                      <w:rFonts w:hint="eastAsia"/>
                      <w:kern w:val="0"/>
                      <w:sz w:val="21"/>
                      <w:szCs w:val="21"/>
                    </w:rPr>
                    <w:t>污水处理间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666" w:type="pct"/>
                  <w:vAlign w:val="center"/>
                </w:tcPr>
                <w:p>
                  <w:pPr>
                    <w:widowControl/>
                    <w:spacing w:line="240" w:lineRule="auto"/>
                    <w:ind w:firstLine="0" w:firstLineChars="0"/>
                    <w:jc w:val="center"/>
                    <w:rPr>
                      <w:kern w:val="0"/>
                      <w:sz w:val="21"/>
                      <w:szCs w:val="21"/>
                      <w:highlight w:val="yellow"/>
                    </w:rPr>
                  </w:pPr>
                  <w:r>
                    <w:rPr>
                      <w:rFonts w:hint="eastAsia"/>
                      <w:kern w:val="0"/>
                      <w:sz w:val="21"/>
                      <w:szCs w:val="21"/>
                    </w:rPr>
                    <w:t>氧化钙</w:t>
                  </w:r>
                </w:p>
              </w:tc>
              <w:tc>
                <w:tcPr>
                  <w:tcW w:w="484" w:type="pct"/>
                  <w:vAlign w:val="center"/>
                </w:tcPr>
                <w:p>
                  <w:pPr>
                    <w:widowControl/>
                    <w:spacing w:line="240" w:lineRule="auto"/>
                    <w:ind w:firstLine="0" w:firstLineChars="0"/>
                    <w:jc w:val="center"/>
                    <w:rPr>
                      <w:kern w:val="0"/>
                      <w:sz w:val="21"/>
                      <w:szCs w:val="21"/>
                    </w:rPr>
                  </w:pPr>
                  <w:r>
                    <w:rPr>
                      <w:rFonts w:hint="eastAsia"/>
                      <w:kern w:val="0"/>
                      <w:sz w:val="21"/>
                      <w:szCs w:val="21"/>
                    </w:rPr>
                    <w:t>0.03</w:t>
                  </w:r>
                </w:p>
              </w:tc>
              <w:tc>
                <w:tcPr>
                  <w:tcW w:w="565" w:type="pct"/>
                  <w:vAlign w:val="center"/>
                </w:tcPr>
                <w:p>
                  <w:pPr>
                    <w:widowControl/>
                    <w:spacing w:line="240" w:lineRule="auto"/>
                    <w:ind w:firstLine="0" w:firstLineChars="0"/>
                    <w:jc w:val="center"/>
                    <w:rPr>
                      <w:kern w:val="0"/>
                      <w:sz w:val="21"/>
                      <w:szCs w:val="21"/>
                    </w:rPr>
                  </w:pPr>
                  <w:r>
                    <w:rPr>
                      <w:rFonts w:hint="eastAsia"/>
                      <w:kern w:val="0"/>
                      <w:sz w:val="21"/>
                      <w:szCs w:val="21"/>
                    </w:rPr>
                    <w:t>t/a</w:t>
                  </w:r>
                </w:p>
              </w:tc>
              <w:tc>
                <w:tcPr>
                  <w:tcW w:w="1613" w:type="pct"/>
                  <w:vAlign w:val="center"/>
                </w:tcPr>
                <w:p>
                  <w:pPr>
                    <w:widowControl/>
                    <w:spacing w:line="240" w:lineRule="auto"/>
                    <w:ind w:firstLine="0" w:firstLineChars="0"/>
                    <w:jc w:val="center"/>
                    <w:rPr>
                      <w:kern w:val="0"/>
                      <w:sz w:val="21"/>
                      <w:szCs w:val="21"/>
                    </w:rPr>
                  </w:pPr>
                  <w:r>
                    <w:rPr>
                      <w:rFonts w:hint="eastAsia"/>
                      <w:kern w:val="0"/>
                      <w:sz w:val="21"/>
                      <w:szCs w:val="21"/>
                    </w:rPr>
                    <w:t>25kg/袋</w:t>
                  </w:r>
                </w:p>
              </w:tc>
              <w:tc>
                <w:tcPr>
                  <w:tcW w:w="672" w:type="pct"/>
                  <w:vAlign w:val="center"/>
                </w:tcPr>
                <w:p>
                  <w:pPr>
                    <w:widowControl/>
                    <w:spacing w:line="240" w:lineRule="auto"/>
                    <w:ind w:firstLine="0" w:firstLineChars="0"/>
                    <w:jc w:val="center"/>
                    <w:rPr>
                      <w:kern w:val="0"/>
                      <w:sz w:val="21"/>
                      <w:szCs w:val="21"/>
                    </w:rPr>
                  </w:pPr>
                  <w:r>
                    <w:rPr>
                      <w:rFonts w:hint="eastAsia"/>
                      <w:kern w:val="0"/>
                      <w:sz w:val="21"/>
                      <w:szCs w:val="21"/>
                    </w:rPr>
                    <w:t>污水处理间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666" w:type="pct"/>
                  <w:vAlign w:val="center"/>
                </w:tcPr>
                <w:p>
                  <w:pPr>
                    <w:widowControl/>
                    <w:spacing w:line="240" w:lineRule="auto"/>
                    <w:ind w:firstLine="0" w:firstLineChars="0"/>
                    <w:jc w:val="center"/>
                    <w:rPr>
                      <w:kern w:val="0"/>
                      <w:sz w:val="21"/>
                      <w:szCs w:val="21"/>
                    </w:rPr>
                  </w:pPr>
                  <w:r>
                    <w:rPr>
                      <w:rFonts w:hint="eastAsia"/>
                      <w:kern w:val="0"/>
                      <w:sz w:val="21"/>
                      <w:szCs w:val="21"/>
                    </w:rPr>
                    <w:t>水</w:t>
                  </w:r>
                </w:p>
              </w:tc>
              <w:tc>
                <w:tcPr>
                  <w:tcW w:w="484" w:type="pct"/>
                  <w:vAlign w:val="center"/>
                </w:tcPr>
                <w:p>
                  <w:pPr>
                    <w:widowControl/>
                    <w:spacing w:line="240" w:lineRule="auto"/>
                    <w:ind w:firstLine="0" w:firstLineChars="0"/>
                    <w:jc w:val="center"/>
                    <w:rPr>
                      <w:kern w:val="0"/>
                      <w:sz w:val="21"/>
                      <w:szCs w:val="21"/>
                    </w:rPr>
                  </w:pPr>
                  <w:r>
                    <w:rPr>
                      <w:rFonts w:hint="eastAsia"/>
                      <w:kern w:val="0"/>
                      <w:sz w:val="21"/>
                      <w:szCs w:val="21"/>
                    </w:rPr>
                    <w:t>5905.7</w:t>
                  </w:r>
                </w:p>
              </w:tc>
              <w:tc>
                <w:tcPr>
                  <w:tcW w:w="565" w:type="pct"/>
                  <w:vAlign w:val="center"/>
                </w:tcPr>
                <w:p>
                  <w:pPr>
                    <w:spacing w:line="240" w:lineRule="auto"/>
                    <w:ind w:firstLine="0" w:firstLineChars="0"/>
                    <w:jc w:val="center"/>
                    <w:rPr>
                      <w:szCs w:val="21"/>
                    </w:rPr>
                  </w:pPr>
                  <w:r>
                    <w:rPr>
                      <w:rFonts w:hint="eastAsia"/>
                      <w:szCs w:val="21"/>
                    </w:rPr>
                    <w:t>m</w:t>
                  </w:r>
                  <w:r>
                    <w:rPr>
                      <w:rFonts w:hint="eastAsia"/>
                      <w:szCs w:val="21"/>
                      <w:vertAlign w:val="superscript"/>
                    </w:rPr>
                    <w:t>3</w:t>
                  </w:r>
                  <w:r>
                    <w:rPr>
                      <w:rFonts w:hint="eastAsia"/>
                      <w:szCs w:val="21"/>
                    </w:rPr>
                    <w:t>/a</w:t>
                  </w:r>
                </w:p>
              </w:tc>
              <w:tc>
                <w:tcPr>
                  <w:tcW w:w="2285" w:type="pct"/>
                  <w:gridSpan w:val="2"/>
                  <w:vAlign w:val="center"/>
                </w:tcPr>
                <w:p>
                  <w:pPr>
                    <w:widowControl/>
                    <w:spacing w:line="240" w:lineRule="auto"/>
                    <w:ind w:firstLine="0" w:firstLineChars="0"/>
                    <w:jc w:val="center"/>
                    <w:rPr>
                      <w:kern w:val="0"/>
                      <w:sz w:val="21"/>
                      <w:szCs w:val="21"/>
                    </w:rPr>
                  </w:pPr>
                  <w:r>
                    <w:rPr>
                      <w:rFonts w:hint="eastAsia"/>
                      <w:kern w:val="0"/>
                      <w:sz w:val="21"/>
                      <w:szCs w:val="21"/>
                    </w:rPr>
                    <w:t>市政供水管网提供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666" w:type="pct"/>
                  <w:vAlign w:val="center"/>
                </w:tcPr>
                <w:p>
                  <w:pPr>
                    <w:widowControl/>
                    <w:spacing w:line="240" w:lineRule="auto"/>
                    <w:ind w:firstLine="0" w:firstLineChars="0"/>
                    <w:jc w:val="center"/>
                    <w:rPr>
                      <w:kern w:val="0"/>
                      <w:sz w:val="21"/>
                      <w:szCs w:val="21"/>
                    </w:rPr>
                  </w:pPr>
                  <w:r>
                    <w:rPr>
                      <w:rFonts w:hint="eastAsia"/>
                      <w:kern w:val="0"/>
                      <w:sz w:val="21"/>
                      <w:szCs w:val="21"/>
                    </w:rPr>
                    <w:t>电</w:t>
                  </w:r>
                </w:p>
              </w:tc>
              <w:tc>
                <w:tcPr>
                  <w:tcW w:w="484" w:type="pct"/>
                  <w:vAlign w:val="center"/>
                </w:tcPr>
                <w:p>
                  <w:pPr>
                    <w:widowControl/>
                    <w:spacing w:line="240" w:lineRule="auto"/>
                    <w:ind w:firstLine="0" w:firstLineChars="0"/>
                    <w:jc w:val="center"/>
                    <w:rPr>
                      <w:kern w:val="0"/>
                      <w:sz w:val="21"/>
                      <w:szCs w:val="21"/>
                    </w:rPr>
                  </w:pPr>
                  <w:r>
                    <w:rPr>
                      <w:rFonts w:hint="eastAsia"/>
                      <w:kern w:val="0"/>
                      <w:sz w:val="21"/>
                      <w:szCs w:val="21"/>
                    </w:rPr>
                    <w:t>80</w:t>
                  </w:r>
                </w:p>
              </w:tc>
              <w:tc>
                <w:tcPr>
                  <w:tcW w:w="565" w:type="pct"/>
                  <w:vAlign w:val="center"/>
                </w:tcPr>
                <w:p>
                  <w:pPr>
                    <w:spacing w:line="240" w:lineRule="auto"/>
                    <w:ind w:firstLine="0" w:firstLineChars="0"/>
                    <w:jc w:val="center"/>
                    <w:rPr>
                      <w:szCs w:val="21"/>
                    </w:rPr>
                  </w:pPr>
                  <w:r>
                    <w:rPr>
                      <w:szCs w:val="21"/>
                    </w:rPr>
                    <w:t>万kw·h/a</w:t>
                  </w:r>
                </w:p>
              </w:tc>
              <w:tc>
                <w:tcPr>
                  <w:tcW w:w="2285" w:type="pct"/>
                  <w:gridSpan w:val="2"/>
                  <w:vAlign w:val="center"/>
                </w:tcPr>
                <w:p>
                  <w:pPr>
                    <w:widowControl/>
                    <w:spacing w:line="240" w:lineRule="auto"/>
                    <w:ind w:firstLine="0" w:firstLineChars="0"/>
                    <w:jc w:val="center"/>
                    <w:rPr>
                      <w:kern w:val="0"/>
                      <w:sz w:val="21"/>
                      <w:szCs w:val="21"/>
                    </w:rPr>
                  </w:pPr>
                  <w:r>
                    <w:rPr>
                      <w:rFonts w:hint="eastAsia"/>
                      <w:kern w:val="0"/>
                      <w:sz w:val="21"/>
                      <w:szCs w:val="21"/>
                    </w:rPr>
                    <w:t>市政电网提供</w:t>
                  </w:r>
                </w:p>
              </w:tc>
            </w:tr>
          </w:tbl>
          <w:p>
            <w:pPr>
              <w:ind w:left="24" w:leftChars="10" w:right="24" w:rightChars="10" w:firstLine="480"/>
              <w:jc w:val="left"/>
            </w:pPr>
            <w:r>
              <w:rPr>
                <w:rFonts w:hint="eastAsia"/>
              </w:rPr>
              <w:t>（2）原辅材料理化性质</w:t>
            </w:r>
          </w:p>
          <w:p>
            <w:pPr>
              <w:pStyle w:val="14"/>
            </w:pPr>
            <w:r>
              <w:rPr>
                <w:rFonts w:hint="eastAsia"/>
              </w:rPr>
              <w:t>表9  本医院原辅材料理化性质</w:t>
            </w:r>
          </w:p>
          <w:tbl>
            <w:tblPr>
              <w:tblStyle w:val="1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5"/>
              <w:gridCol w:w="1276"/>
              <w:gridCol w:w="3543"/>
              <w:gridCol w:w="317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5" w:type="dxa"/>
                  <w:tcMar>
                    <w:left w:w="0" w:type="dxa"/>
                    <w:right w:w="0" w:type="dxa"/>
                  </w:tcMar>
                  <w:vAlign w:val="center"/>
                </w:tcPr>
                <w:p>
                  <w:pPr>
                    <w:spacing w:line="240" w:lineRule="auto"/>
                    <w:ind w:right="48" w:rightChars="20" w:firstLine="0" w:firstLineChars="0"/>
                    <w:jc w:val="center"/>
                    <w:rPr>
                      <w:sz w:val="21"/>
                      <w:szCs w:val="21"/>
                    </w:rPr>
                  </w:pPr>
                  <w:r>
                    <w:rPr>
                      <w:rFonts w:hint="eastAsia"/>
                      <w:sz w:val="21"/>
                      <w:szCs w:val="21"/>
                    </w:rPr>
                    <w:t>名称</w:t>
                  </w:r>
                </w:p>
              </w:tc>
              <w:tc>
                <w:tcPr>
                  <w:tcW w:w="1276" w:type="dxa"/>
                  <w:tcMar>
                    <w:left w:w="0" w:type="dxa"/>
                    <w:right w:w="0" w:type="dxa"/>
                  </w:tcMar>
                  <w:vAlign w:val="center"/>
                </w:tcPr>
                <w:p>
                  <w:pPr>
                    <w:spacing w:line="240" w:lineRule="auto"/>
                    <w:ind w:right="48" w:rightChars="20" w:firstLine="0" w:firstLineChars="0"/>
                    <w:jc w:val="center"/>
                    <w:rPr>
                      <w:sz w:val="21"/>
                      <w:szCs w:val="21"/>
                    </w:rPr>
                  </w:pPr>
                  <w:r>
                    <w:rPr>
                      <w:rFonts w:hint="eastAsia"/>
                      <w:sz w:val="21"/>
                      <w:szCs w:val="21"/>
                    </w:rPr>
                    <w:t>外观与性状</w:t>
                  </w:r>
                </w:p>
              </w:tc>
              <w:tc>
                <w:tcPr>
                  <w:tcW w:w="3543" w:type="dxa"/>
                  <w:tcMar>
                    <w:left w:w="0" w:type="dxa"/>
                    <w:right w:w="0" w:type="dxa"/>
                  </w:tcMar>
                  <w:vAlign w:val="center"/>
                </w:tcPr>
                <w:p>
                  <w:pPr>
                    <w:spacing w:line="240" w:lineRule="auto"/>
                    <w:ind w:right="48" w:rightChars="20" w:firstLine="0" w:firstLineChars="0"/>
                    <w:jc w:val="center"/>
                    <w:rPr>
                      <w:sz w:val="21"/>
                      <w:szCs w:val="21"/>
                    </w:rPr>
                  </w:pPr>
                  <w:r>
                    <w:rPr>
                      <w:rFonts w:hint="eastAsia"/>
                      <w:sz w:val="21"/>
                      <w:szCs w:val="21"/>
                    </w:rPr>
                    <w:t>理化性质</w:t>
                  </w:r>
                </w:p>
              </w:tc>
              <w:tc>
                <w:tcPr>
                  <w:tcW w:w="3179" w:type="dxa"/>
                  <w:tcMar>
                    <w:left w:w="0" w:type="dxa"/>
                    <w:right w:w="0" w:type="dxa"/>
                  </w:tcMar>
                  <w:vAlign w:val="center"/>
                </w:tcPr>
                <w:p>
                  <w:pPr>
                    <w:spacing w:line="240" w:lineRule="auto"/>
                    <w:ind w:right="48" w:rightChars="20" w:firstLine="0" w:firstLineChars="0"/>
                    <w:jc w:val="center"/>
                    <w:rPr>
                      <w:sz w:val="21"/>
                      <w:szCs w:val="21"/>
                    </w:rPr>
                  </w:pPr>
                  <w:r>
                    <w:rPr>
                      <w:rFonts w:hint="eastAsia"/>
                      <w:sz w:val="21"/>
                      <w:szCs w:val="21"/>
                    </w:rPr>
                    <w:t>危险性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5" w:type="dxa"/>
                  <w:tcMar>
                    <w:left w:w="0" w:type="dxa"/>
                    <w:right w:w="0" w:type="dxa"/>
                  </w:tcMar>
                  <w:vAlign w:val="center"/>
                </w:tcPr>
                <w:p>
                  <w:pPr>
                    <w:spacing w:line="240" w:lineRule="auto"/>
                    <w:ind w:right="48" w:rightChars="20" w:firstLine="0" w:firstLineChars="0"/>
                    <w:jc w:val="center"/>
                    <w:rPr>
                      <w:kern w:val="0"/>
                      <w:sz w:val="21"/>
                      <w:szCs w:val="21"/>
                    </w:rPr>
                  </w:pPr>
                  <w:r>
                    <w:rPr>
                      <w:rFonts w:hint="eastAsia"/>
                      <w:sz w:val="21"/>
                      <w:szCs w:val="21"/>
                    </w:rPr>
                    <w:t>乙醚</w:t>
                  </w:r>
                </w:p>
              </w:tc>
              <w:tc>
                <w:tcPr>
                  <w:tcW w:w="1276" w:type="dxa"/>
                  <w:tcMar>
                    <w:left w:w="0" w:type="dxa"/>
                    <w:right w:w="0" w:type="dxa"/>
                  </w:tcMar>
                  <w:vAlign w:val="center"/>
                </w:tcPr>
                <w:p>
                  <w:pPr>
                    <w:spacing w:line="240" w:lineRule="auto"/>
                    <w:ind w:right="48" w:rightChars="20" w:firstLine="0" w:firstLineChars="0"/>
                    <w:jc w:val="left"/>
                    <w:rPr>
                      <w:sz w:val="21"/>
                      <w:szCs w:val="21"/>
                    </w:rPr>
                  </w:pPr>
                  <w:r>
                    <w:rPr>
                      <w:rFonts w:hint="eastAsia"/>
                      <w:sz w:val="21"/>
                      <w:szCs w:val="21"/>
                    </w:rPr>
                    <w:t>无色、无色透明液体，有芳香气味，极易挥发</w:t>
                  </w:r>
                </w:p>
              </w:tc>
              <w:tc>
                <w:tcPr>
                  <w:tcW w:w="3543" w:type="dxa"/>
                  <w:tcMar>
                    <w:left w:w="0" w:type="dxa"/>
                    <w:right w:w="0" w:type="dxa"/>
                  </w:tcMar>
                  <w:vAlign w:val="center"/>
                </w:tcPr>
                <w:p>
                  <w:pPr>
                    <w:spacing w:line="240" w:lineRule="auto"/>
                    <w:ind w:right="48" w:rightChars="20" w:firstLine="0" w:firstLineChars="0"/>
                    <w:jc w:val="left"/>
                    <w:rPr>
                      <w:sz w:val="21"/>
                      <w:szCs w:val="21"/>
                    </w:rPr>
                  </w:pPr>
                  <w:r>
                    <w:rPr>
                      <w:rFonts w:hint="eastAsia"/>
                      <w:sz w:val="21"/>
                      <w:szCs w:val="21"/>
                    </w:rPr>
                    <w:t>熔点（℃）：-116.2，沸点（℃）：34.6，相对密度（水=1）：0.71（20℃），相对蒸气密度（空气=1）：2.56，饱和蒸气压（kPa）：58.92（20℃），燃烧热（kJ/mol）：-2748.4，临界温度（℃）：192.7，临界压力（MPa）：3.61，闪点（℃）：-45（CC），引燃温度（℃）：160~180，爆炸上限（%）：49.0、爆炸下限（%）：1.7，微溶于水，溶于乙醇、苯、氯仿、溶剂石脑油等多数有机溶剂</w:t>
                  </w:r>
                </w:p>
              </w:tc>
              <w:tc>
                <w:tcPr>
                  <w:tcW w:w="3179" w:type="dxa"/>
                  <w:tcMar>
                    <w:left w:w="0" w:type="dxa"/>
                    <w:right w:w="0" w:type="dxa"/>
                  </w:tcMar>
                  <w:vAlign w:val="center"/>
                </w:tcPr>
                <w:p>
                  <w:pPr>
                    <w:spacing w:line="240" w:lineRule="auto"/>
                    <w:ind w:right="48" w:rightChars="20" w:firstLine="0" w:firstLineChars="0"/>
                    <w:jc w:val="left"/>
                    <w:rPr>
                      <w:sz w:val="21"/>
                      <w:szCs w:val="21"/>
                    </w:rPr>
                  </w:pPr>
                  <w:r>
                    <w:rPr>
                      <w:rFonts w:hint="eastAsia"/>
                      <w:sz w:val="21"/>
                      <w:szCs w:val="21"/>
                    </w:rPr>
                    <w:t>低闪点易燃液体，急性毒性：LD</w:t>
                  </w:r>
                  <w:r>
                    <w:rPr>
                      <w:rFonts w:hint="eastAsia"/>
                      <w:sz w:val="21"/>
                      <w:szCs w:val="21"/>
                      <w:vertAlign w:val="subscript"/>
                    </w:rPr>
                    <w:t>50</w:t>
                  </w:r>
                  <w:r>
                    <w:rPr>
                      <w:rFonts w:hint="eastAsia"/>
                      <w:sz w:val="21"/>
                      <w:szCs w:val="21"/>
                    </w:rPr>
                    <w:t>1215mg/kg(大鼠经口)；LC</w:t>
                  </w:r>
                  <w:r>
                    <w:rPr>
                      <w:rFonts w:hint="eastAsia"/>
                      <w:sz w:val="21"/>
                      <w:szCs w:val="21"/>
                      <w:vertAlign w:val="subscript"/>
                    </w:rPr>
                    <w:t>50</w:t>
                  </w:r>
                  <w:r>
                    <w:rPr>
                      <w:rFonts w:hint="eastAsia"/>
                      <w:sz w:val="21"/>
                      <w:szCs w:val="21"/>
                    </w:rPr>
                    <w:t>221190mg/m</w:t>
                  </w:r>
                  <w:r>
                    <w:rPr>
                      <w:rFonts w:hint="eastAsia"/>
                      <w:sz w:val="21"/>
                      <w:szCs w:val="21"/>
                      <w:vertAlign w:val="superscript"/>
                    </w:rPr>
                    <w:t>3</w:t>
                  </w:r>
                  <w:r>
                    <w:rPr>
                      <w:rFonts w:hint="eastAsia"/>
                      <w:sz w:val="21"/>
                      <w:szCs w:val="21"/>
                    </w:rPr>
                    <w:t>，2小时(大鼠吸入)人吸入200ppm，最小中毒浓度(刺激)；人经口420mg/kg，最小致死剂量。</w:t>
                  </w:r>
                </w:p>
                <w:p>
                  <w:pPr>
                    <w:spacing w:line="240" w:lineRule="auto"/>
                    <w:ind w:right="48" w:rightChars="20" w:firstLine="0" w:firstLineChars="0"/>
                    <w:jc w:val="left"/>
                    <w:rPr>
                      <w:sz w:val="21"/>
                      <w:szCs w:val="21"/>
                    </w:rPr>
                  </w:pPr>
                  <w:r>
                    <w:rPr>
                      <w:rFonts w:hint="eastAsia"/>
                      <w:sz w:val="21"/>
                      <w:szCs w:val="21"/>
                    </w:rPr>
                    <w:t>蒸气与空气可形成爆炸性混合物。遇明火、高热极易燃烧爆炸。与氧化剂能发生强烈反应。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5" w:type="dxa"/>
                  <w:tcMar>
                    <w:left w:w="0" w:type="dxa"/>
                    <w:right w:w="0" w:type="dxa"/>
                  </w:tcMar>
                  <w:vAlign w:val="center"/>
                </w:tcPr>
                <w:p>
                  <w:pPr>
                    <w:spacing w:line="240" w:lineRule="auto"/>
                    <w:ind w:firstLine="0" w:firstLineChars="0"/>
                    <w:jc w:val="center"/>
                    <w:rPr>
                      <w:sz w:val="21"/>
                      <w:szCs w:val="21"/>
                    </w:rPr>
                  </w:pPr>
                  <w:r>
                    <w:rPr>
                      <w:rFonts w:hint="eastAsia"/>
                      <w:sz w:val="21"/>
                      <w:szCs w:val="21"/>
                    </w:rPr>
                    <w:t>醋酸</w:t>
                  </w:r>
                </w:p>
                <w:p>
                  <w:pPr>
                    <w:spacing w:line="240" w:lineRule="auto"/>
                    <w:ind w:firstLine="0" w:firstLineChars="0"/>
                    <w:jc w:val="center"/>
                    <w:rPr>
                      <w:sz w:val="21"/>
                      <w:szCs w:val="21"/>
                    </w:rPr>
                  </w:pPr>
                  <w:r>
                    <w:rPr>
                      <w:rFonts w:hint="eastAsia"/>
                      <w:sz w:val="21"/>
                      <w:szCs w:val="21"/>
                    </w:rPr>
                    <w:t>（乙酸）</w:t>
                  </w:r>
                </w:p>
              </w:tc>
              <w:tc>
                <w:tcPr>
                  <w:tcW w:w="1276" w:type="dxa"/>
                  <w:tcMar>
                    <w:left w:w="0" w:type="dxa"/>
                    <w:right w:w="0" w:type="dxa"/>
                  </w:tcMar>
                  <w:vAlign w:val="center"/>
                </w:tcPr>
                <w:p>
                  <w:pPr>
                    <w:spacing w:line="240" w:lineRule="auto"/>
                    <w:ind w:right="48" w:rightChars="20" w:firstLine="0" w:firstLineChars="0"/>
                    <w:jc w:val="left"/>
                    <w:rPr>
                      <w:sz w:val="21"/>
                      <w:szCs w:val="21"/>
                    </w:rPr>
                  </w:pPr>
                  <w:r>
                    <w:rPr>
                      <w:rFonts w:hint="eastAsia"/>
                      <w:sz w:val="21"/>
                      <w:szCs w:val="21"/>
                    </w:rPr>
                    <w:t>无色透明液体，有刺激性气味</w:t>
                  </w:r>
                </w:p>
              </w:tc>
              <w:tc>
                <w:tcPr>
                  <w:tcW w:w="3543" w:type="dxa"/>
                  <w:tcMar>
                    <w:left w:w="0" w:type="dxa"/>
                    <w:right w:w="0" w:type="dxa"/>
                  </w:tcMar>
                  <w:vAlign w:val="center"/>
                </w:tcPr>
                <w:p>
                  <w:pPr>
                    <w:spacing w:line="240" w:lineRule="auto"/>
                    <w:ind w:right="48" w:rightChars="20" w:firstLine="0" w:firstLineChars="0"/>
                    <w:jc w:val="left"/>
                    <w:rPr>
                      <w:sz w:val="21"/>
                      <w:szCs w:val="21"/>
                    </w:rPr>
                  </w:pPr>
                  <w:r>
                    <w:rPr>
                      <w:rFonts w:hint="eastAsia"/>
                      <w:bCs/>
                      <w:sz w:val="21"/>
                      <w:szCs w:val="21"/>
                    </w:rPr>
                    <w:t>熔点16.6℃，沸点117.9℃，闪点39℃，密度1.05g/cm</w:t>
                  </w:r>
                  <w:r>
                    <w:rPr>
                      <w:rFonts w:hint="eastAsia"/>
                      <w:bCs/>
                      <w:sz w:val="21"/>
                      <w:szCs w:val="21"/>
                      <w:vertAlign w:val="superscript"/>
                    </w:rPr>
                    <w:t>3</w:t>
                  </w:r>
                  <w:r>
                    <w:rPr>
                      <w:rFonts w:hint="eastAsia"/>
                      <w:bCs/>
                      <w:sz w:val="21"/>
                      <w:szCs w:val="21"/>
                    </w:rPr>
                    <w:t>，凝固点为16.6℃（62℉）</w:t>
                  </w:r>
                </w:p>
              </w:tc>
              <w:tc>
                <w:tcPr>
                  <w:tcW w:w="3179" w:type="dxa"/>
                  <w:tcMar>
                    <w:left w:w="0" w:type="dxa"/>
                    <w:right w:w="0" w:type="dxa"/>
                  </w:tcMar>
                  <w:vAlign w:val="center"/>
                </w:tcPr>
                <w:p>
                  <w:pPr>
                    <w:spacing w:line="240" w:lineRule="auto"/>
                    <w:ind w:right="48" w:rightChars="20" w:firstLine="0" w:firstLineChars="0"/>
                    <w:jc w:val="left"/>
                    <w:rPr>
                      <w:sz w:val="21"/>
                      <w:szCs w:val="21"/>
                    </w:rPr>
                  </w:pPr>
                  <w:r>
                    <w:rPr>
                      <w:rFonts w:hint="eastAsia"/>
                      <w:sz w:val="21"/>
                      <w:szCs w:val="21"/>
                    </w:rPr>
                    <w:t>凝固后为无色晶体，水溶液中弱酸性且腐蚀性强，对金属有强烈腐蚀性，蒸汽对眼和鼻有刺激性作用。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5" w:type="dxa"/>
                  <w:tcMar>
                    <w:left w:w="0" w:type="dxa"/>
                    <w:right w:w="0" w:type="dxa"/>
                  </w:tcMar>
                  <w:vAlign w:val="center"/>
                </w:tcPr>
                <w:p>
                  <w:pPr>
                    <w:spacing w:line="240" w:lineRule="auto"/>
                    <w:ind w:firstLine="0" w:firstLineChars="0"/>
                    <w:jc w:val="center"/>
                    <w:rPr>
                      <w:sz w:val="21"/>
                      <w:szCs w:val="21"/>
                    </w:rPr>
                  </w:pPr>
                  <w:r>
                    <w:rPr>
                      <w:rFonts w:hint="eastAsia"/>
                      <w:sz w:val="21"/>
                      <w:szCs w:val="21"/>
                    </w:rPr>
                    <w:t>次氯酸钠</w:t>
                  </w:r>
                </w:p>
              </w:tc>
              <w:tc>
                <w:tcPr>
                  <w:tcW w:w="1276" w:type="dxa"/>
                  <w:tcMar>
                    <w:left w:w="0" w:type="dxa"/>
                    <w:right w:w="0" w:type="dxa"/>
                  </w:tcMar>
                  <w:vAlign w:val="center"/>
                </w:tcPr>
                <w:p>
                  <w:pPr>
                    <w:spacing w:line="240" w:lineRule="auto"/>
                    <w:ind w:right="48" w:rightChars="20" w:firstLine="0" w:firstLineChars="0"/>
                    <w:jc w:val="left"/>
                    <w:rPr>
                      <w:sz w:val="21"/>
                      <w:szCs w:val="21"/>
                    </w:rPr>
                  </w:pPr>
                  <w:r>
                    <w:rPr>
                      <w:rFonts w:hint="eastAsia"/>
                      <w:sz w:val="21"/>
                      <w:szCs w:val="21"/>
                    </w:rPr>
                    <w:t>工业品为无色或淡黄色液体</w:t>
                  </w:r>
                </w:p>
              </w:tc>
              <w:tc>
                <w:tcPr>
                  <w:tcW w:w="3543" w:type="dxa"/>
                  <w:tcMar>
                    <w:left w:w="0" w:type="dxa"/>
                    <w:right w:w="0" w:type="dxa"/>
                  </w:tcMar>
                  <w:vAlign w:val="center"/>
                </w:tcPr>
                <w:p>
                  <w:pPr>
                    <w:spacing w:line="240" w:lineRule="auto"/>
                    <w:ind w:right="48" w:rightChars="20" w:firstLine="0" w:firstLineChars="0"/>
                    <w:jc w:val="left"/>
                    <w:rPr>
                      <w:rFonts w:eastAsiaTheme="minorEastAsia"/>
                      <w:b/>
                      <w:bCs/>
                      <w:sz w:val="21"/>
                      <w:szCs w:val="21"/>
                    </w:rPr>
                  </w:pPr>
                  <w:r>
                    <w:rPr>
                      <w:rFonts w:hint="eastAsia"/>
                      <w:sz w:val="21"/>
                      <w:szCs w:val="21"/>
                    </w:rPr>
                    <w:t>熔点（℃）：-6，沸点（℃）：102.2，相对密度（水=1）：1.10（20℃），易溶于水</w:t>
                  </w:r>
                </w:p>
              </w:tc>
              <w:tc>
                <w:tcPr>
                  <w:tcW w:w="3179" w:type="dxa"/>
                  <w:tcMar>
                    <w:left w:w="0" w:type="dxa"/>
                    <w:right w:w="0" w:type="dxa"/>
                  </w:tcMar>
                  <w:vAlign w:val="center"/>
                </w:tcPr>
                <w:p>
                  <w:pPr>
                    <w:spacing w:line="240" w:lineRule="auto"/>
                    <w:ind w:right="48" w:rightChars="20" w:firstLine="0" w:firstLineChars="0"/>
                    <w:jc w:val="left"/>
                    <w:rPr>
                      <w:sz w:val="21"/>
                      <w:szCs w:val="21"/>
                    </w:rPr>
                  </w:pPr>
                  <w:r>
                    <w:rPr>
                      <w:rFonts w:hint="eastAsia"/>
                      <w:sz w:val="21"/>
                      <w:szCs w:val="21"/>
                    </w:rPr>
                    <w:t>有腐蚀性，受高热分解产生有毒的腐蚀性气体</w:t>
                  </w:r>
                </w:p>
                <w:p>
                  <w:pPr>
                    <w:spacing w:line="240" w:lineRule="auto"/>
                    <w:ind w:right="48" w:rightChars="20" w:firstLine="0" w:firstLineChars="0"/>
                    <w:jc w:val="left"/>
                    <w:rPr>
                      <w:sz w:val="21"/>
                      <w:szCs w:val="21"/>
                    </w:rPr>
                  </w:pPr>
                  <w:r>
                    <w:rPr>
                      <w:sz w:val="21"/>
                      <w:szCs w:val="21"/>
                    </w:rPr>
                    <w:t>LD</w:t>
                  </w:r>
                  <w:r>
                    <w:rPr>
                      <w:sz w:val="21"/>
                      <w:szCs w:val="21"/>
                      <w:vertAlign w:val="subscript"/>
                    </w:rPr>
                    <w:t>50</w:t>
                  </w:r>
                  <w:r>
                    <w:rPr>
                      <w:sz w:val="21"/>
                      <w:szCs w:val="21"/>
                    </w:rPr>
                    <w:t>5800mg/kg(小鼠经口)</w:t>
                  </w:r>
                </w:p>
              </w:tc>
            </w:tr>
          </w:tbl>
          <w:p>
            <w:pPr>
              <w:ind w:left="24" w:leftChars="10" w:right="72" w:rightChars="30" w:firstLine="0" w:firstLineChars="0"/>
              <w:jc w:val="left"/>
              <w:rPr>
                <w:b/>
              </w:rPr>
            </w:pPr>
          </w:p>
          <w:p>
            <w:pPr>
              <w:ind w:left="24" w:leftChars="10" w:right="72" w:rightChars="30" w:firstLine="0" w:firstLineChars="0"/>
              <w:jc w:val="left"/>
              <w:rPr>
                <w:b/>
              </w:rPr>
            </w:pPr>
            <w:r>
              <w:rPr>
                <w:rFonts w:hint="eastAsia"/>
                <w:b/>
              </w:rPr>
              <w:t>5、平面布置</w:t>
            </w:r>
          </w:p>
          <w:p>
            <w:pPr>
              <w:ind w:left="24" w:leftChars="10" w:right="72" w:rightChars="30" w:firstLine="480"/>
              <w:jc w:val="left"/>
            </w:pPr>
            <w:r>
              <w:rPr>
                <w:rFonts w:hint="eastAsia"/>
              </w:rPr>
              <w:t>石家庄慈爱中医医院租用河北省石家庄市高新区学苑路30号副6号傲湖小区1号商业楼01-204。医院建设有两层，一层设置导医台、中医外科、中医内科、检验科、心电图和彩超室、中西医药房、煎药室、放射科，污水处理间、餐厅，二层设置中医康复科、中医针灸科、妇科、办公室、病房、仓库、医疗废物暂存间等。具体平面布置见附图3。</w:t>
            </w:r>
          </w:p>
          <w:p>
            <w:pPr>
              <w:ind w:left="24" w:leftChars="10" w:right="72" w:rightChars="30" w:firstLine="0" w:firstLineChars="0"/>
              <w:jc w:val="left"/>
              <w:rPr>
                <w:b/>
              </w:rPr>
            </w:pPr>
            <w:r>
              <w:rPr>
                <w:rFonts w:hint="eastAsia"/>
                <w:b/>
              </w:rPr>
              <w:t>6、劳动定员与工作制度</w:t>
            </w:r>
          </w:p>
          <w:p>
            <w:pPr>
              <w:ind w:left="24" w:leftChars="10" w:right="72" w:rightChars="30" w:firstLine="480"/>
              <w:jc w:val="left"/>
            </w:pPr>
            <w:r>
              <w:rPr>
                <w:rFonts w:hint="eastAsia"/>
              </w:rPr>
              <w:t>医院设劳动定员26人，其中医护人员12人，行政管理人员8人，后勤人员6人，正常年工作365天，医护和后勤人员采用三班工作制，每班工作8h；行政管理人员采用一天八小时工作制。</w:t>
            </w:r>
          </w:p>
          <w:p>
            <w:pPr>
              <w:ind w:left="24" w:leftChars="10" w:right="72" w:rightChars="30" w:firstLine="0" w:firstLineChars="0"/>
              <w:jc w:val="left"/>
              <w:rPr>
                <w:b/>
              </w:rPr>
            </w:pPr>
            <w:r>
              <w:rPr>
                <w:rFonts w:hint="eastAsia"/>
                <w:b/>
              </w:rPr>
              <w:t>7、项目用排水分析</w:t>
            </w:r>
          </w:p>
          <w:p>
            <w:pPr>
              <w:ind w:left="24" w:leftChars="10" w:right="72" w:rightChars="30" w:firstLine="480"/>
              <w:jc w:val="left"/>
            </w:pPr>
            <w:r>
              <w:rPr>
                <w:rFonts w:hint="eastAsia"/>
              </w:rPr>
              <w:t>医院用水</w:t>
            </w:r>
            <w:r>
              <w:rPr>
                <w:rFonts w:hint="eastAsia"/>
                <w:bCs/>
              </w:rPr>
              <w:t>依托市政供水管网，用水主要包括病房用水、门诊用水、医务人员用水、检验用水、煎药用水、空调冷却塔补水用水，被服洗衣外委相关单位，不设洗衣房。总用水量为1357.05</w:t>
            </w:r>
            <w:r>
              <w:rPr>
                <w:rFonts w:hint="eastAsia"/>
              </w:rPr>
              <w:t>m</w:t>
            </w:r>
            <w:r>
              <w:rPr>
                <w:rFonts w:hint="eastAsia"/>
                <w:vertAlign w:val="superscript"/>
              </w:rPr>
              <w:t>3</w:t>
            </w:r>
            <w:r>
              <w:rPr>
                <w:rFonts w:hint="eastAsia"/>
              </w:rPr>
              <w:t>/d，495323.3m</w:t>
            </w:r>
            <w:r>
              <w:rPr>
                <w:rFonts w:hint="eastAsia"/>
                <w:vertAlign w:val="superscript"/>
              </w:rPr>
              <w:t>3</w:t>
            </w:r>
            <w:r>
              <w:rPr>
                <w:rFonts w:hint="eastAsia"/>
              </w:rPr>
              <w:t>/a，其中新鲜水用量为16.18m</w:t>
            </w:r>
            <w:r>
              <w:rPr>
                <w:rFonts w:hint="eastAsia"/>
                <w:vertAlign w:val="superscript"/>
              </w:rPr>
              <w:t>3</w:t>
            </w:r>
            <w:r>
              <w:rPr>
                <w:rFonts w:hint="eastAsia"/>
              </w:rPr>
              <w:t>/d，5905.7m</w:t>
            </w:r>
            <w:r>
              <w:rPr>
                <w:rFonts w:hint="eastAsia"/>
                <w:vertAlign w:val="superscript"/>
              </w:rPr>
              <w:t>3</w:t>
            </w:r>
            <w:r>
              <w:rPr>
                <w:rFonts w:hint="eastAsia"/>
              </w:rPr>
              <w:t>/a，新鲜水制取的纯水量为0.87m</w:t>
            </w:r>
            <w:r>
              <w:rPr>
                <w:rFonts w:hint="eastAsia"/>
                <w:vertAlign w:val="superscript"/>
              </w:rPr>
              <w:t>3</w:t>
            </w:r>
            <w:r>
              <w:rPr>
                <w:rFonts w:hint="eastAsia"/>
              </w:rPr>
              <w:t>/d，317.55m</w:t>
            </w:r>
            <w:r>
              <w:rPr>
                <w:rFonts w:hint="eastAsia"/>
                <w:vertAlign w:val="superscript"/>
              </w:rPr>
              <w:t>3</w:t>
            </w:r>
            <w:r>
              <w:rPr>
                <w:rFonts w:hint="eastAsia"/>
              </w:rPr>
              <w:t>/a，循环水量为1340m</w:t>
            </w:r>
            <w:r>
              <w:rPr>
                <w:rFonts w:hint="eastAsia"/>
                <w:vertAlign w:val="superscript"/>
              </w:rPr>
              <w:t>3</w:t>
            </w:r>
            <w:r>
              <w:rPr>
                <w:rFonts w:hint="eastAsia"/>
              </w:rPr>
              <w:t>/d，489100m</w:t>
            </w:r>
            <w:r>
              <w:rPr>
                <w:rFonts w:hint="eastAsia"/>
                <w:vertAlign w:val="superscript"/>
              </w:rPr>
              <w:t>3</w:t>
            </w:r>
            <w:r>
              <w:rPr>
                <w:rFonts w:hint="eastAsia"/>
              </w:rPr>
              <w:t>/a。</w:t>
            </w:r>
          </w:p>
          <w:p>
            <w:pPr>
              <w:spacing w:line="500" w:lineRule="exact"/>
              <w:ind w:left="24" w:leftChars="10" w:right="72" w:rightChars="30" w:firstLine="480"/>
              <w:jc w:val="left"/>
            </w:pPr>
            <w:r>
              <w:rPr>
                <w:rFonts w:hint="eastAsia"/>
              </w:rPr>
              <w:t>项目产生的废水主要有病房患者排放的生活污水、门诊患者排放的生活污水、医务人员排放的生活污水、检验仪器清洗废水、煎药设备清洗废水、空调冷却系统排污水、软水制备系统排污水，废水总量为11.75</w:t>
            </w:r>
            <w:r>
              <w:rPr>
                <w:spacing w:val="6"/>
              </w:rPr>
              <w:t>m</w:t>
            </w:r>
            <w:r>
              <w:rPr>
                <w:spacing w:val="6"/>
                <w:vertAlign w:val="superscript"/>
              </w:rPr>
              <w:t>3</w:t>
            </w:r>
            <w:r>
              <w:rPr>
                <w:spacing w:val="6"/>
              </w:rPr>
              <w:t>/d</w:t>
            </w:r>
            <w:r>
              <w:rPr>
                <w:rFonts w:hint="eastAsia"/>
                <w:spacing w:val="6"/>
              </w:rPr>
              <w:t>，</w:t>
            </w:r>
            <w:r>
              <w:rPr>
                <w:rFonts w:hint="eastAsia"/>
              </w:rPr>
              <w:t>4288.75m</w:t>
            </w:r>
            <w:r>
              <w:rPr>
                <w:rFonts w:hint="eastAsia"/>
                <w:vertAlign w:val="superscript"/>
              </w:rPr>
              <w:t>3</w:t>
            </w:r>
            <w:r>
              <w:rPr>
                <w:rFonts w:hint="eastAsia"/>
              </w:rPr>
              <w:t>/a，</w:t>
            </w:r>
            <w:r>
              <w:rPr>
                <w:rFonts w:hint="eastAsia"/>
                <w:spacing w:val="6"/>
              </w:rPr>
              <w:t>其中检验仪器清洗废水量为</w:t>
            </w:r>
            <w:r>
              <w:rPr>
                <w:rFonts w:hint="eastAsia"/>
              </w:rPr>
              <w:t>0.27</w:t>
            </w:r>
            <w:r>
              <w:t>m</w:t>
            </w:r>
            <w:r>
              <w:rPr>
                <w:vertAlign w:val="superscript"/>
              </w:rPr>
              <w:t>3</w:t>
            </w:r>
            <w:r>
              <w:t>/d，</w:t>
            </w:r>
            <w:r>
              <w:rPr>
                <w:rFonts w:hint="eastAsia"/>
              </w:rPr>
              <w:t>经酸碱中和后排入</w:t>
            </w:r>
            <w:r>
              <w:t>化粪池</w:t>
            </w:r>
            <w:r>
              <w:rPr>
                <w:rFonts w:hint="eastAsia"/>
              </w:rPr>
              <w:t>，和其他废水共同经</w:t>
            </w:r>
            <w:r>
              <w:t>化粪池</w:t>
            </w:r>
            <w:r>
              <w:rPr>
                <w:rFonts w:hint="eastAsia"/>
              </w:rPr>
              <w:t>和医院</w:t>
            </w:r>
            <w:r>
              <w:t>污水处理</w:t>
            </w:r>
            <w:r>
              <w:rPr>
                <w:rFonts w:hint="eastAsia"/>
              </w:rPr>
              <w:t>设备处理后</w:t>
            </w:r>
            <w:r>
              <w:t>，最终进入</w:t>
            </w:r>
            <w:r>
              <w:rPr>
                <w:rFonts w:hint="eastAsia"/>
              </w:rPr>
              <w:t>石家庄高新区污水处理厂进一步处理</w:t>
            </w:r>
            <w:r>
              <w:t>。</w:t>
            </w:r>
          </w:p>
          <w:p>
            <w:pPr>
              <w:ind w:left="24" w:leftChars="10" w:right="72" w:rightChars="30" w:firstLine="480"/>
              <w:jc w:val="left"/>
              <w:rPr>
                <w:bCs/>
              </w:rPr>
            </w:pPr>
            <w:r>
              <w:rPr>
                <w:rFonts w:hint="eastAsia"/>
                <w:bCs/>
              </w:rPr>
              <w:t>（1）病房用排水</w:t>
            </w:r>
          </w:p>
          <w:p>
            <w:pPr>
              <w:ind w:left="24" w:leftChars="10" w:right="72" w:rightChars="30" w:firstLine="480"/>
              <w:jc w:val="left"/>
            </w:pPr>
            <w:r>
              <w:rPr>
                <w:rFonts w:hint="eastAsia"/>
              </w:rPr>
              <w:t>慈爱医院设置30张床位，参考河北省《生活与服务业用水定额 第2部分：服务业》（</w:t>
            </w:r>
            <w:r>
              <w:t>DB 13/T 5450.2</w:t>
            </w:r>
            <w:r>
              <w:rPr>
                <w:rFonts w:hint="eastAsia"/>
              </w:rPr>
              <w:t>-</w:t>
            </w:r>
            <w:r>
              <w:t>2021</w:t>
            </w:r>
            <w:r>
              <w:rPr>
                <w:rFonts w:hint="eastAsia"/>
              </w:rPr>
              <w:t>）中的一级及以下综合医院住院部通用值：350L/（床·d），则本项目病房用水量为10.5</w:t>
            </w:r>
            <w:r>
              <w:t>m</w:t>
            </w:r>
            <w:r>
              <w:rPr>
                <w:rFonts w:hint="eastAsia"/>
                <w:vertAlign w:val="superscript"/>
              </w:rPr>
              <w:t>3</w:t>
            </w:r>
            <w:r>
              <w:t>/d</w:t>
            </w:r>
            <w:r>
              <w:rPr>
                <w:rFonts w:hint="eastAsia"/>
              </w:rPr>
              <w:t>，全部为新鲜水。</w:t>
            </w:r>
          </w:p>
          <w:p>
            <w:pPr>
              <w:ind w:left="24" w:leftChars="10" w:right="72" w:rightChars="30" w:firstLine="480"/>
              <w:jc w:val="left"/>
            </w:pPr>
            <w:r>
              <w:rPr>
                <w:rFonts w:hint="eastAsia"/>
              </w:rPr>
              <w:t>病房污水产生量按用水量的80%计，则病房污水产生量为8.4</w:t>
            </w:r>
            <w:r>
              <w:t>m</w:t>
            </w:r>
            <w:r>
              <w:rPr>
                <w:vertAlign w:val="superscript"/>
              </w:rPr>
              <w:t>3</w:t>
            </w:r>
            <w:r>
              <w:t>/d</w:t>
            </w:r>
            <w:r>
              <w:rPr>
                <w:rFonts w:hint="eastAsia"/>
              </w:rPr>
              <w:t>，污水排入化粪池及污水处理设备处理</w:t>
            </w:r>
            <w:r>
              <w:t>达标后</w:t>
            </w:r>
            <w:r>
              <w:rPr>
                <w:rFonts w:hint="eastAsia"/>
              </w:rPr>
              <w:t>，经市政管网排入石家庄高新区污水处理厂进一步处理。</w:t>
            </w:r>
          </w:p>
          <w:p>
            <w:pPr>
              <w:ind w:left="24" w:leftChars="10" w:right="72" w:rightChars="30" w:firstLine="480"/>
              <w:jc w:val="left"/>
            </w:pPr>
            <w:r>
              <w:rPr>
                <w:rFonts w:hint="eastAsia"/>
              </w:rPr>
              <w:t>（2）门诊用</w:t>
            </w:r>
            <w:r>
              <w:rPr>
                <w:rFonts w:hint="eastAsia"/>
                <w:bCs/>
              </w:rPr>
              <w:t>排</w:t>
            </w:r>
            <w:r>
              <w:rPr>
                <w:rFonts w:hint="eastAsia"/>
              </w:rPr>
              <w:t>水</w:t>
            </w:r>
          </w:p>
          <w:p>
            <w:pPr>
              <w:ind w:left="24" w:leftChars="10" w:right="72" w:rightChars="30" w:firstLine="480"/>
              <w:jc w:val="left"/>
            </w:pPr>
            <w:r>
              <w:rPr>
                <w:rFonts w:hint="eastAsia"/>
              </w:rPr>
              <w:t>慈爱医院建成后预计日门诊就诊人数50人，参考河北省《生活与服务业用水定额 第2部分：服务业》（</w:t>
            </w:r>
            <w:r>
              <w:t>DB 13/T 5450.2</w:t>
            </w:r>
            <w:r>
              <w:rPr>
                <w:rFonts w:hint="eastAsia"/>
              </w:rPr>
              <w:t>-</w:t>
            </w:r>
            <w:r>
              <w:t>2021</w:t>
            </w:r>
            <w:r>
              <w:rPr>
                <w:rFonts w:hint="eastAsia"/>
              </w:rPr>
              <w:t>）中医院门诊部单位人数用水量通用值：20 L/（人·次），则本项目门诊用水量为1</w:t>
            </w:r>
            <w:r>
              <w:t>m</w:t>
            </w:r>
            <w:r>
              <w:rPr>
                <w:rFonts w:hint="eastAsia"/>
                <w:vertAlign w:val="superscript"/>
              </w:rPr>
              <w:t>3</w:t>
            </w:r>
            <w:r>
              <w:t>/d</w:t>
            </w:r>
            <w:r>
              <w:rPr>
                <w:rFonts w:hint="eastAsia"/>
              </w:rPr>
              <w:t>，全部为新鲜水。</w:t>
            </w:r>
          </w:p>
          <w:p>
            <w:pPr>
              <w:ind w:left="24" w:leftChars="10" w:right="72" w:rightChars="30" w:firstLine="480"/>
              <w:jc w:val="left"/>
            </w:pPr>
            <w:r>
              <w:rPr>
                <w:rFonts w:hint="eastAsia"/>
              </w:rPr>
              <w:t>门诊污水产生量按用水量的80%计，门诊污水产生量为0.8</w:t>
            </w:r>
            <w:r>
              <w:t>m</w:t>
            </w:r>
            <w:r>
              <w:rPr>
                <w:vertAlign w:val="superscript"/>
              </w:rPr>
              <w:t>3</w:t>
            </w:r>
            <w:r>
              <w:t>/d</w:t>
            </w:r>
            <w:r>
              <w:rPr>
                <w:rFonts w:hint="eastAsia"/>
              </w:rPr>
              <w:t>，</w:t>
            </w:r>
            <w:bookmarkStart w:id="5" w:name="OLE_LINK4"/>
            <w:bookmarkStart w:id="6" w:name="OLE_LINK5"/>
            <w:r>
              <w:rPr>
                <w:rFonts w:hint="eastAsia"/>
              </w:rPr>
              <w:t>污水排入化粪池及污水处理设备处理</w:t>
            </w:r>
            <w:r>
              <w:t>达标后</w:t>
            </w:r>
            <w:r>
              <w:rPr>
                <w:rFonts w:hint="eastAsia"/>
              </w:rPr>
              <w:t>，经市政管网排入石家庄高新区污水处理厂进一步处理。</w:t>
            </w:r>
          </w:p>
          <w:bookmarkEnd w:id="5"/>
          <w:bookmarkEnd w:id="6"/>
          <w:p>
            <w:pPr>
              <w:ind w:left="24" w:leftChars="10" w:right="72" w:rightChars="30" w:firstLine="480"/>
              <w:jc w:val="left"/>
            </w:pPr>
            <w:r>
              <w:rPr>
                <w:rFonts w:hint="eastAsia"/>
              </w:rPr>
              <w:t>（3）医务人员用</w:t>
            </w:r>
            <w:r>
              <w:rPr>
                <w:rFonts w:hint="eastAsia"/>
                <w:bCs/>
              </w:rPr>
              <w:t>排</w:t>
            </w:r>
            <w:r>
              <w:rPr>
                <w:rFonts w:hint="eastAsia"/>
              </w:rPr>
              <w:t>水</w:t>
            </w:r>
          </w:p>
          <w:p>
            <w:pPr>
              <w:ind w:left="24" w:leftChars="10" w:right="72" w:rightChars="30" w:firstLine="480"/>
              <w:jc w:val="left"/>
            </w:pPr>
            <w:r>
              <w:rPr>
                <w:rFonts w:hint="eastAsia"/>
              </w:rPr>
              <w:t>医院劳动定员26人，参考河北省《生活与服务业用水定额 第2部分：服务业》（</w:t>
            </w:r>
            <w:r>
              <w:t>DB 13/T 5450.2</w:t>
            </w:r>
            <w:r>
              <w:rPr>
                <w:rFonts w:hint="eastAsia"/>
              </w:rPr>
              <w:t>-</w:t>
            </w:r>
            <w:r>
              <w:t>2021</w:t>
            </w:r>
            <w:r>
              <w:rPr>
                <w:rFonts w:hint="eastAsia"/>
              </w:rPr>
              <w:t>）中市直机关单位人数用水量通用值：20m</w:t>
            </w:r>
            <w:r>
              <w:rPr>
                <w:rFonts w:hint="eastAsia"/>
                <w:vertAlign w:val="superscript"/>
              </w:rPr>
              <w:t>3</w:t>
            </w:r>
            <w:r>
              <w:rPr>
                <w:rFonts w:hint="eastAsia"/>
              </w:rPr>
              <w:t>/（人·a），则本项目医务人员用水量为520</w:t>
            </w:r>
            <w:r>
              <w:t>m</w:t>
            </w:r>
            <w:r>
              <w:rPr>
                <w:rFonts w:hint="eastAsia"/>
                <w:vertAlign w:val="superscript"/>
              </w:rPr>
              <w:t>3</w:t>
            </w:r>
            <w:r>
              <w:t>/</w:t>
            </w:r>
            <w:r>
              <w:rPr>
                <w:rFonts w:hint="eastAsia"/>
              </w:rPr>
              <w:t>a（1.42</w:t>
            </w:r>
            <w:r>
              <w:t>m</w:t>
            </w:r>
            <w:r>
              <w:rPr>
                <w:rFonts w:hint="eastAsia"/>
                <w:vertAlign w:val="superscript"/>
              </w:rPr>
              <w:t>3</w:t>
            </w:r>
            <w:r>
              <w:t>/d</w:t>
            </w:r>
            <w:r>
              <w:rPr>
                <w:rFonts w:hint="eastAsia"/>
              </w:rPr>
              <w:t>），全部为新鲜水。</w:t>
            </w:r>
          </w:p>
          <w:p>
            <w:pPr>
              <w:ind w:left="24" w:leftChars="10" w:right="72" w:rightChars="30" w:firstLine="480"/>
              <w:jc w:val="left"/>
            </w:pPr>
            <w:r>
              <w:rPr>
                <w:rFonts w:hint="eastAsia"/>
              </w:rPr>
              <w:t>医务人员污水产生量按用水量的80%计，则医务人员污水产生量为1.14</w:t>
            </w:r>
            <w:r>
              <w:t>m</w:t>
            </w:r>
            <w:r>
              <w:rPr>
                <w:vertAlign w:val="superscript"/>
              </w:rPr>
              <w:t>3</w:t>
            </w:r>
            <w:r>
              <w:t>/d</w:t>
            </w:r>
            <w:r>
              <w:rPr>
                <w:rFonts w:hint="eastAsia"/>
              </w:rPr>
              <w:t>，污水排入化粪池及污水处理设备处理</w:t>
            </w:r>
            <w:r>
              <w:t>达标后</w:t>
            </w:r>
            <w:r>
              <w:rPr>
                <w:rFonts w:hint="eastAsia"/>
              </w:rPr>
              <w:t>，经市政管网排入石家庄高新区污水处理厂进一步处理。</w:t>
            </w:r>
          </w:p>
          <w:p>
            <w:pPr>
              <w:ind w:left="24" w:leftChars="10" w:right="72" w:rightChars="30" w:firstLine="480"/>
              <w:jc w:val="left"/>
            </w:pPr>
            <w:r>
              <w:rPr>
                <w:rFonts w:hint="eastAsia"/>
              </w:rPr>
              <w:t>（4）检验用排水</w:t>
            </w:r>
          </w:p>
          <w:p>
            <w:pPr>
              <w:ind w:left="24" w:leftChars="10" w:right="72" w:rightChars="30" w:firstLine="480"/>
              <w:jc w:val="left"/>
              <w:rPr>
                <w:kern w:val="28"/>
              </w:rPr>
            </w:pPr>
            <w:r>
              <w:rPr>
                <w:kern w:val="28"/>
              </w:rPr>
              <w:t>检验</w:t>
            </w:r>
            <w:r>
              <w:rPr>
                <w:rFonts w:hint="eastAsia"/>
                <w:kern w:val="28"/>
              </w:rPr>
              <w:t>/化验</w:t>
            </w:r>
            <w:r>
              <w:rPr>
                <w:kern w:val="28"/>
              </w:rPr>
              <w:t>等</w:t>
            </w:r>
            <w:r>
              <w:rPr>
                <w:rFonts w:hint="eastAsia"/>
                <w:kern w:val="28"/>
              </w:rPr>
              <w:t>过程</w:t>
            </w:r>
            <w:r>
              <w:rPr>
                <w:kern w:val="28"/>
              </w:rPr>
              <w:t>用水</w:t>
            </w:r>
            <w:r>
              <w:rPr>
                <w:rFonts w:hint="eastAsia"/>
                <w:kern w:val="28"/>
              </w:rPr>
              <w:t>主要来源于仪器设备</w:t>
            </w:r>
            <w:r>
              <w:rPr>
                <w:kern w:val="28"/>
              </w:rPr>
              <w:t>的</w:t>
            </w:r>
            <w:r>
              <w:rPr>
                <w:rFonts w:hint="eastAsia"/>
                <w:kern w:val="28"/>
              </w:rPr>
              <w:t>清洗</w:t>
            </w:r>
            <w:r>
              <w:rPr>
                <w:kern w:val="28"/>
              </w:rPr>
              <w:t>用水</w:t>
            </w:r>
            <w:r>
              <w:rPr>
                <w:rFonts w:hint="eastAsia"/>
                <w:kern w:val="28"/>
              </w:rPr>
              <w:t>。根据业主提供的经验数据，</w:t>
            </w:r>
            <w:r>
              <w:rPr>
                <w:kern w:val="28"/>
              </w:rPr>
              <w:t>检验</w:t>
            </w:r>
            <w:r>
              <w:rPr>
                <w:rFonts w:hint="eastAsia"/>
                <w:kern w:val="28"/>
              </w:rPr>
              <w:t>/化验新鲜水用量</w:t>
            </w:r>
            <w:r>
              <w:rPr>
                <w:kern w:val="28"/>
              </w:rPr>
              <w:t>约</w:t>
            </w:r>
            <w:r>
              <w:rPr>
                <w:rFonts w:hint="eastAsia"/>
                <w:kern w:val="28"/>
              </w:rPr>
              <w:t>0.2m</w:t>
            </w:r>
            <w:r>
              <w:rPr>
                <w:rFonts w:hint="eastAsia"/>
                <w:kern w:val="28"/>
                <w:vertAlign w:val="superscript"/>
              </w:rPr>
              <w:t>3</w:t>
            </w:r>
            <w:r>
              <w:rPr>
                <w:rFonts w:hint="eastAsia"/>
                <w:kern w:val="28"/>
              </w:rPr>
              <w:t>/d、纯水</w:t>
            </w:r>
            <w:r>
              <w:rPr>
                <w:kern w:val="28"/>
              </w:rPr>
              <w:t>用量约</w:t>
            </w:r>
            <w:r>
              <w:rPr>
                <w:rFonts w:hint="eastAsia"/>
                <w:kern w:val="28"/>
              </w:rPr>
              <w:t>0.1m</w:t>
            </w:r>
            <w:r>
              <w:rPr>
                <w:rFonts w:hint="eastAsia"/>
                <w:kern w:val="28"/>
                <w:vertAlign w:val="superscript"/>
              </w:rPr>
              <w:t>3</w:t>
            </w:r>
            <w:r>
              <w:rPr>
                <w:rFonts w:hint="eastAsia"/>
                <w:kern w:val="28"/>
              </w:rPr>
              <w:t>/d，总用水量为0.3m</w:t>
            </w:r>
            <w:r>
              <w:rPr>
                <w:rFonts w:hint="eastAsia"/>
                <w:kern w:val="28"/>
                <w:vertAlign w:val="superscript"/>
              </w:rPr>
              <w:t>3</w:t>
            </w:r>
            <w:r>
              <w:rPr>
                <w:rFonts w:hint="eastAsia"/>
                <w:kern w:val="28"/>
              </w:rPr>
              <w:t>/d。</w:t>
            </w:r>
          </w:p>
          <w:p>
            <w:pPr>
              <w:ind w:left="24" w:leftChars="10" w:right="72" w:rightChars="30" w:firstLine="480"/>
              <w:jc w:val="left"/>
            </w:pPr>
            <w:r>
              <w:rPr>
                <w:rFonts w:hint="eastAsia"/>
                <w:kern w:val="28"/>
              </w:rPr>
              <w:t>医院检验废液纳入医疗废物</w:t>
            </w:r>
            <w:r>
              <w:rPr>
                <w:rFonts w:hint="eastAsia"/>
              </w:rPr>
              <w:t>，不进入排水系统</w:t>
            </w:r>
            <w:r>
              <w:rPr>
                <w:rFonts w:hint="eastAsia"/>
                <w:kern w:val="28"/>
              </w:rPr>
              <w:t>。</w:t>
            </w:r>
            <w:r>
              <w:rPr>
                <w:kern w:val="28"/>
              </w:rPr>
              <w:t>检验</w:t>
            </w:r>
            <w:r>
              <w:rPr>
                <w:rFonts w:hint="eastAsia"/>
                <w:kern w:val="28"/>
              </w:rPr>
              <w:t>/化验排水按用水量0.9计，则检验/化验排水量为0.27m</w:t>
            </w:r>
            <w:r>
              <w:rPr>
                <w:rFonts w:hint="eastAsia"/>
                <w:kern w:val="28"/>
                <w:vertAlign w:val="superscript"/>
              </w:rPr>
              <w:t>3</w:t>
            </w:r>
            <w:r>
              <w:rPr>
                <w:rFonts w:hint="eastAsia"/>
                <w:kern w:val="28"/>
              </w:rPr>
              <w:t>/d，污水经酸碱中和预处理再排入院区污水处理</w:t>
            </w:r>
            <w:r>
              <w:rPr>
                <w:rFonts w:hint="eastAsia"/>
              </w:rPr>
              <w:t>设备处理，处理</w:t>
            </w:r>
            <w:r>
              <w:t>达标后</w:t>
            </w:r>
            <w:r>
              <w:rPr>
                <w:rFonts w:hint="eastAsia"/>
              </w:rPr>
              <w:t>经市政管网排入石家庄高新区污水处理厂进一步处理。</w:t>
            </w:r>
          </w:p>
          <w:p>
            <w:pPr>
              <w:ind w:left="24" w:leftChars="10" w:right="72" w:rightChars="30" w:firstLine="480"/>
              <w:jc w:val="left"/>
            </w:pPr>
            <w:r>
              <w:rPr>
                <w:rFonts w:hint="eastAsia"/>
              </w:rPr>
              <w:t>（5）煎药用排水</w:t>
            </w:r>
          </w:p>
          <w:p>
            <w:pPr>
              <w:ind w:left="24" w:leftChars="10" w:right="72" w:rightChars="30" w:firstLine="480"/>
              <w:jc w:val="left"/>
            </w:pPr>
            <w:r>
              <w:rPr>
                <w:rFonts w:hint="eastAsia"/>
              </w:rPr>
              <w:t>煎药用水包括两部分，分别为中药</w:t>
            </w:r>
            <w:r>
              <w:rPr>
                <w:rFonts w:hint="eastAsia"/>
                <w:kern w:val="28"/>
              </w:rPr>
              <w:t>煎煮</w:t>
            </w:r>
            <w:r>
              <w:rPr>
                <w:rFonts w:hint="eastAsia"/>
              </w:rPr>
              <w:t>用水和煎药设备清洗用水，用水均使用纯水。根据业主提供资料，</w:t>
            </w:r>
            <w:r>
              <w:rPr>
                <w:rFonts w:hint="eastAsia"/>
                <w:kern w:val="28"/>
              </w:rPr>
              <w:t>每吨中药煎煮用水约10m</w:t>
            </w:r>
            <w:r>
              <w:rPr>
                <w:rFonts w:hint="eastAsia"/>
                <w:kern w:val="28"/>
                <w:vertAlign w:val="superscript"/>
              </w:rPr>
              <w:t>3</w:t>
            </w:r>
            <w:r>
              <w:rPr>
                <w:rFonts w:hint="eastAsia"/>
                <w:kern w:val="28"/>
              </w:rPr>
              <w:t>，医院</w:t>
            </w:r>
            <w:r>
              <w:rPr>
                <w:rFonts w:hint="eastAsia"/>
              </w:rPr>
              <w:t>中药使用量10</w:t>
            </w:r>
            <w:r>
              <w:t>t/a</w:t>
            </w:r>
            <w:r>
              <w:rPr>
                <w:rFonts w:hint="eastAsia"/>
              </w:rPr>
              <w:t>，则中药炮制</w:t>
            </w:r>
            <w:r>
              <w:rPr>
                <w:rFonts w:hint="eastAsia"/>
                <w:kern w:val="28"/>
              </w:rPr>
              <w:t>用水100m</w:t>
            </w:r>
            <w:r>
              <w:rPr>
                <w:rFonts w:hint="eastAsia"/>
                <w:kern w:val="28"/>
                <w:vertAlign w:val="superscript"/>
              </w:rPr>
              <w:t>3</w:t>
            </w:r>
            <w:r>
              <w:rPr>
                <w:rFonts w:hint="eastAsia"/>
                <w:kern w:val="28"/>
              </w:rPr>
              <w:t>/a（折合0.27m</w:t>
            </w:r>
            <w:r>
              <w:rPr>
                <w:rFonts w:hint="eastAsia"/>
                <w:kern w:val="28"/>
                <w:vertAlign w:val="superscript"/>
              </w:rPr>
              <w:t>3</w:t>
            </w:r>
            <w:r>
              <w:rPr>
                <w:rFonts w:hint="eastAsia"/>
                <w:kern w:val="28"/>
              </w:rPr>
              <w:t>/d）；每批次中药煎制完成后均清洗设备，</w:t>
            </w:r>
            <w:r>
              <w:rPr>
                <w:rFonts w:hint="eastAsia"/>
              </w:rPr>
              <w:t>煎药设备</w:t>
            </w:r>
            <w:r>
              <w:rPr>
                <w:rFonts w:hint="eastAsia"/>
                <w:kern w:val="28"/>
              </w:rPr>
              <w:t>清洗用水量约0.5</w:t>
            </w:r>
            <w:bookmarkStart w:id="7" w:name="OLE_LINK8"/>
            <w:bookmarkStart w:id="8" w:name="OLE_LINK9"/>
            <w:r>
              <w:rPr>
                <w:rFonts w:hint="eastAsia"/>
                <w:kern w:val="28"/>
              </w:rPr>
              <w:t>m</w:t>
            </w:r>
            <w:r>
              <w:rPr>
                <w:rFonts w:hint="eastAsia"/>
                <w:kern w:val="28"/>
                <w:vertAlign w:val="superscript"/>
              </w:rPr>
              <w:t>3</w:t>
            </w:r>
            <w:r>
              <w:rPr>
                <w:rFonts w:hint="eastAsia"/>
                <w:kern w:val="28"/>
              </w:rPr>
              <w:t>/d</w:t>
            </w:r>
            <w:bookmarkEnd w:id="7"/>
            <w:bookmarkEnd w:id="8"/>
            <w:r>
              <w:rPr>
                <w:rFonts w:hint="eastAsia"/>
                <w:kern w:val="28"/>
              </w:rPr>
              <w:t>，总用水量为0.77m</w:t>
            </w:r>
            <w:r>
              <w:rPr>
                <w:rFonts w:hint="eastAsia"/>
                <w:kern w:val="28"/>
                <w:vertAlign w:val="superscript"/>
              </w:rPr>
              <w:t>3</w:t>
            </w:r>
            <w:r>
              <w:rPr>
                <w:rFonts w:hint="eastAsia"/>
                <w:kern w:val="28"/>
              </w:rPr>
              <w:t>/d。</w:t>
            </w:r>
          </w:p>
          <w:p>
            <w:pPr>
              <w:ind w:left="24" w:leftChars="10" w:right="72" w:rightChars="30" w:firstLine="480"/>
              <w:jc w:val="left"/>
            </w:pPr>
            <w:r>
              <w:rPr>
                <w:rFonts w:hint="eastAsia"/>
              </w:rPr>
              <w:t>中药炮制过程</w:t>
            </w:r>
            <w:r>
              <w:t>用水全部损耗或进入药品中；</w:t>
            </w:r>
            <w:r>
              <w:rPr>
                <w:rFonts w:hint="eastAsia"/>
              </w:rPr>
              <w:t>煎药设备</w:t>
            </w:r>
            <w:r>
              <w:rPr>
                <w:rFonts w:hint="eastAsia"/>
                <w:kern w:val="28"/>
              </w:rPr>
              <w:t>清洗</w:t>
            </w:r>
            <w:r>
              <w:rPr>
                <w:kern w:val="28"/>
              </w:rPr>
              <w:t>过程排水系数</w:t>
            </w:r>
            <w:r>
              <w:t>按用水量的</w:t>
            </w:r>
            <w:r>
              <w:rPr>
                <w:rFonts w:hint="eastAsia"/>
              </w:rPr>
              <w:t>90</w:t>
            </w:r>
            <w:r>
              <w:t>%计，</w:t>
            </w:r>
            <w:r>
              <w:rPr>
                <w:rFonts w:hint="eastAsia"/>
              </w:rPr>
              <w:t>则煎药设备</w:t>
            </w:r>
            <w:r>
              <w:rPr>
                <w:rFonts w:hint="eastAsia"/>
                <w:kern w:val="28"/>
              </w:rPr>
              <w:t>清洗废水量为0.45m</w:t>
            </w:r>
            <w:r>
              <w:rPr>
                <w:rFonts w:hint="eastAsia"/>
                <w:kern w:val="28"/>
                <w:vertAlign w:val="superscript"/>
              </w:rPr>
              <w:t>3</w:t>
            </w:r>
            <w:r>
              <w:rPr>
                <w:rFonts w:hint="eastAsia"/>
                <w:kern w:val="28"/>
              </w:rPr>
              <w:t>/d，污水</w:t>
            </w:r>
            <w:r>
              <w:rPr>
                <w:rFonts w:hint="eastAsia"/>
              </w:rPr>
              <w:t>排入化粪池及污水处理设备处理</w:t>
            </w:r>
            <w:r>
              <w:t>达标后</w:t>
            </w:r>
            <w:r>
              <w:rPr>
                <w:rFonts w:hint="eastAsia"/>
              </w:rPr>
              <w:t>，经市政管网排入石家庄高新区污水处理厂进一步处理。</w:t>
            </w:r>
          </w:p>
          <w:p>
            <w:pPr>
              <w:ind w:left="24" w:leftChars="10" w:right="72" w:rightChars="30" w:firstLine="480"/>
              <w:jc w:val="left"/>
            </w:pPr>
            <w:r>
              <w:rPr>
                <w:rFonts w:hint="eastAsia"/>
              </w:rPr>
              <w:t>（6）空调冷却系统补水</w:t>
            </w:r>
          </w:p>
          <w:p>
            <w:pPr>
              <w:ind w:left="24" w:leftChars="10" w:right="72" w:rightChars="30" w:firstLine="480"/>
              <w:jc w:val="left"/>
            </w:pPr>
            <w:r>
              <w:rPr>
                <w:rFonts w:hint="eastAsia"/>
              </w:rPr>
              <w:t>医院冬季供暖由市政供热系统及中央空调系统提供，制冷由中央空调系统提供，根据业主提供资料，</w:t>
            </w:r>
            <w:r>
              <w:rPr>
                <w:rFonts w:hint="eastAsia"/>
                <w:bCs/>
              </w:rPr>
              <w:t>冷却塔补水水量为2m</w:t>
            </w:r>
            <w:r>
              <w:rPr>
                <w:rFonts w:hint="eastAsia"/>
                <w:bCs/>
                <w:vertAlign w:val="superscript"/>
              </w:rPr>
              <w:t>3</w:t>
            </w:r>
            <w:r>
              <w:rPr>
                <w:rFonts w:hint="eastAsia"/>
                <w:bCs/>
              </w:rPr>
              <w:t>/d，循环水量1340m</w:t>
            </w:r>
            <w:r>
              <w:rPr>
                <w:rFonts w:hint="eastAsia"/>
                <w:bCs/>
                <w:vertAlign w:val="superscript"/>
              </w:rPr>
              <w:t>3</w:t>
            </w:r>
            <w:r>
              <w:rPr>
                <w:rFonts w:hint="eastAsia"/>
                <w:bCs/>
              </w:rPr>
              <w:t>/d</w:t>
            </w:r>
            <w:r>
              <w:rPr>
                <w:rFonts w:hint="eastAsia"/>
              </w:rPr>
              <w:t>，全部为新鲜水。</w:t>
            </w:r>
          </w:p>
          <w:p>
            <w:pPr>
              <w:ind w:left="24" w:leftChars="10" w:right="72" w:rightChars="30" w:firstLine="480"/>
              <w:jc w:val="left"/>
            </w:pPr>
            <w:r>
              <w:rPr>
                <w:rFonts w:hint="eastAsia"/>
              </w:rPr>
              <w:t>空调系统定期排放部分内部循环水，排水量为0.5</w:t>
            </w:r>
            <w:bookmarkStart w:id="9" w:name="OLE_LINK33"/>
            <w:r>
              <w:rPr>
                <w:rFonts w:hint="eastAsia"/>
                <w:bCs/>
              </w:rPr>
              <w:t>m</w:t>
            </w:r>
            <w:r>
              <w:rPr>
                <w:rFonts w:hint="eastAsia"/>
                <w:bCs/>
                <w:vertAlign w:val="superscript"/>
              </w:rPr>
              <w:t>3</w:t>
            </w:r>
            <w:r>
              <w:rPr>
                <w:rFonts w:hint="eastAsia"/>
                <w:bCs/>
              </w:rPr>
              <w:t>/d，</w:t>
            </w:r>
            <w:bookmarkEnd w:id="9"/>
            <w:r>
              <w:rPr>
                <w:rFonts w:hint="eastAsia"/>
              </w:rPr>
              <w:t>排水水质简单与医院其他经污水处理设备处理后的废水共同由市政管网排入石家庄高新区污水处理厂进一步处理。</w:t>
            </w:r>
          </w:p>
          <w:p>
            <w:pPr>
              <w:ind w:left="24" w:leftChars="10" w:right="72" w:rightChars="30" w:firstLine="480"/>
              <w:jc w:val="left"/>
            </w:pPr>
            <w:r>
              <w:rPr>
                <w:rFonts w:hint="eastAsia"/>
              </w:rPr>
              <w:t>（7）软水制备系统</w:t>
            </w:r>
          </w:p>
          <w:p>
            <w:pPr>
              <w:ind w:left="24" w:leftChars="10" w:right="72" w:rightChars="30" w:firstLine="480"/>
              <w:jc w:val="left"/>
              <w:rPr>
                <w:rFonts w:hAnsi="宋体"/>
                <w:bCs/>
              </w:rPr>
            </w:pPr>
            <w:r>
              <w:rPr>
                <w:rFonts w:hint="eastAsia"/>
              </w:rPr>
              <w:t>项目设有1套软水制备系统，采用离子交换法制备软化水，制水率为82%，项目软水用水量</w:t>
            </w:r>
            <w:r>
              <w:rPr>
                <w:rFonts w:hint="eastAsia" w:hAnsi="宋体"/>
                <w:bCs/>
              </w:rPr>
              <w:t>0.87m</w:t>
            </w:r>
            <w:r>
              <w:rPr>
                <w:rFonts w:hint="eastAsia" w:hAnsi="宋体"/>
                <w:bCs/>
                <w:vertAlign w:val="superscript"/>
              </w:rPr>
              <w:t>3</w:t>
            </w:r>
            <w:r>
              <w:rPr>
                <w:rFonts w:hint="eastAsia" w:hAnsi="宋体"/>
                <w:bCs/>
              </w:rPr>
              <w:t>/d，则软水制备用新鲜水量1.06m</w:t>
            </w:r>
            <w:r>
              <w:rPr>
                <w:rFonts w:hint="eastAsia" w:hAnsi="宋体"/>
                <w:bCs/>
                <w:vertAlign w:val="superscript"/>
              </w:rPr>
              <w:t>3</w:t>
            </w:r>
            <w:r>
              <w:rPr>
                <w:rFonts w:hint="eastAsia" w:hAnsi="宋体"/>
                <w:bCs/>
              </w:rPr>
              <w:t>/d。</w:t>
            </w:r>
          </w:p>
          <w:p>
            <w:pPr>
              <w:ind w:left="24" w:leftChars="10" w:right="72" w:rightChars="30" w:firstLine="480"/>
              <w:jc w:val="left"/>
              <w:rPr>
                <w:rFonts w:hAnsi="宋体"/>
                <w:bCs/>
              </w:rPr>
            </w:pPr>
            <w:r>
              <w:rPr>
                <w:rFonts w:hint="eastAsia"/>
              </w:rPr>
              <w:t>软水制备排水包括软水制备系统反冲洗排水和软水制备浓水，总废水排放量为0.19</w:t>
            </w:r>
            <w:r>
              <w:rPr>
                <w:rFonts w:hint="eastAsia" w:hAnsi="宋体"/>
                <w:bCs/>
              </w:rPr>
              <w:t>m</w:t>
            </w:r>
            <w:r>
              <w:rPr>
                <w:rFonts w:hint="eastAsia" w:hAnsi="宋体"/>
                <w:bCs/>
                <w:vertAlign w:val="superscript"/>
              </w:rPr>
              <w:t>3</w:t>
            </w:r>
            <w:r>
              <w:rPr>
                <w:rFonts w:hint="eastAsia" w:hAnsi="宋体"/>
                <w:bCs/>
              </w:rPr>
              <w:t>/d，</w:t>
            </w:r>
            <w:r>
              <w:rPr>
                <w:rFonts w:hint="eastAsia"/>
              </w:rPr>
              <w:t>排水水质简单与医院其他经污水处理设备处理后的废水共同由市政管网排入石家庄高新区污水处理厂进一步处理。</w:t>
            </w:r>
          </w:p>
          <w:p>
            <w:pPr>
              <w:pStyle w:val="14"/>
              <w:rPr>
                <w:sz w:val="21"/>
              </w:rPr>
            </w:pPr>
            <w:r>
              <w:rPr>
                <w:rFonts w:hint="eastAsia"/>
              </w:rPr>
              <w:t xml:space="preserve">表10   医院用排水平衡表   </w:t>
            </w:r>
            <w:r>
              <w:rPr>
                <w:rFonts w:hint="eastAsia"/>
                <w:sz w:val="21"/>
              </w:rPr>
              <w:t>单位：</w:t>
            </w:r>
            <w:r>
              <w:rPr>
                <w:sz w:val="21"/>
              </w:rPr>
              <w:t>m</w:t>
            </w:r>
            <w:r>
              <w:rPr>
                <w:sz w:val="21"/>
                <w:vertAlign w:val="superscript"/>
              </w:rPr>
              <w:t>3</w:t>
            </w:r>
            <w:r>
              <w:rPr>
                <w:sz w:val="21"/>
              </w:rPr>
              <w:t>/</w:t>
            </w:r>
            <w:r>
              <w:rPr>
                <w:rFonts w:hint="eastAsia"/>
                <w:sz w:val="21"/>
              </w:rPr>
              <w:t>d</w:t>
            </w:r>
          </w:p>
          <w:tbl>
            <w:tblPr>
              <w:tblStyle w:val="17"/>
              <w:tblW w:w="494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1978"/>
              <w:gridCol w:w="986"/>
              <w:gridCol w:w="1042"/>
              <w:gridCol w:w="1042"/>
              <w:gridCol w:w="1000"/>
              <w:gridCol w:w="900"/>
              <w:gridCol w:w="865"/>
              <w:gridCol w:w="9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125" w:type="pct"/>
                  <w:vAlign w:val="center"/>
                </w:tcPr>
                <w:p>
                  <w:pPr>
                    <w:spacing w:line="240" w:lineRule="auto"/>
                    <w:ind w:right="24" w:rightChars="10" w:firstLine="0" w:firstLineChars="0"/>
                    <w:jc w:val="center"/>
                    <w:rPr>
                      <w:sz w:val="21"/>
                      <w:szCs w:val="21"/>
                    </w:rPr>
                  </w:pPr>
                  <w:r>
                    <w:rPr>
                      <w:rFonts w:hint="eastAsia"/>
                      <w:sz w:val="21"/>
                      <w:szCs w:val="21"/>
                    </w:rPr>
                    <w:t>用水类别</w:t>
                  </w:r>
                </w:p>
              </w:tc>
              <w:tc>
                <w:tcPr>
                  <w:tcW w:w="561" w:type="pct"/>
                  <w:vAlign w:val="center"/>
                </w:tcPr>
                <w:p>
                  <w:pPr>
                    <w:spacing w:line="240" w:lineRule="auto"/>
                    <w:ind w:right="24" w:rightChars="10" w:firstLine="0" w:firstLineChars="0"/>
                    <w:jc w:val="center"/>
                    <w:rPr>
                      <w:sz w:val="21"/>
                      <w:szCs w:val="21"/>
                    </w:rPr>
                  </w:pPr>
                  <w:r>
                    <w:rPr>
                      <w:rFonts w:hint="eastAsia"/>
                      <w:sz w:val="21"/>
                      <w:szCs w:val="21"/>
                    </w:rPr>
                    <w:t>总用水量</w:t>
                  </w:r>
                </w:p>
              </w:tc>
              <w:tc>
                <w:tcPr>
                  <w:tcW w:w="593" w:type="pct"/>
                  <w:vAlign w:val="center"/>
                </w:tcPr>
                <w:p>
                  <w:pPr>
                    <w:spacing w:line="240" w:lineRule="auto"/>
                    <w:ind w:right="24" w:rightChars="10" w:firstLine="0" w:firstLineChars="0"/>
                    <w:jc w:val="center"/>
                    <w:rPr>
                      <w:sz w:val="21"/>
                      <w:szCs w:val="21"/>
                    </w:rPr>
                  </w:pPr>
                  <w:r>
                    <w:rPr>
                      <w:rFonts w:hint="eastAsia"/>
                      <w:sz w:val="21"/>
                      <w:szCs w:val="21"/>
                    </w:rPr>
                    <w:t>自来水量</w:t>
                  </w:r>
                </w:p>
              </w:tc>
              <w:tc>
                <w:tcPr>
                  <w:tcW w:w="593" w:type="pct"/>
                  <w:vAlign w:val="center"/>
                </w:tcPr>
                <w:p>
                  <w:pPr>
                    <w:spacing w:line="240" w:lineRule="auto"/>
                    <w:ind w:right="24" w:rightChars="10" w:firstLine="0" w:firstLineChars="0"/>
                    <w:jc w:val="center"/>
                    <w:rPr>
                      <w:sz w:val="21"/>
                      <w:szCs w:val="21"/>
                    </w:rPr>
                  </w:pPr>
                  <w:r>
                    <w:rPr>
                      <w:rFonts w:hint="eastAsia"/>
                      <w:sz w:val="21"/>
                      <w:szCs w:val="21"/>
                    </w:rPr>
                    <w:t>纯水量</w:t>
                  </w:r>
                </w:p>
              </w:tc>
              <w:tc>
                <w:tcPr>
                  <w:tcW w:w="569" w:type="pct"/>
                  <w:vAlign w:val="center"/>
                </w:tcPr>
                <w:p>
                  <w:pPr>
                    <w:spacing w:line="240" w:lineRule="auto"/>
                    <w:ind w:right="24" w:rightChars="10" w:firstLine="0" w:firstLineChars="0"/>
                    <w:jc w:val="center"/>
                    <w:rPr>
                      <w:sz w:val="21"/>
                      <w:szCs w:val="21"/>
                    </w:rPr>
                  </w:pPr>
                  <w:r>
                    <w:rPr>
                      <w:rFonts w:hint="eastAsia"/>
                      <w:sz w:val="21"/>
                      <w:szCs w:val="21"/>
                    </w:rPr>
                    <w:t>循环水量</w:t>
                  </w:r>
                </w:p>
              </w:tc>
              <w:tc>
                <w:tcPr>
                  <w:tcW w:w="512" w:type="pct"/>
                  <w:vAlign w:val="center"/>
                </w:tcPr>
                <w:p>
                  <w:pPr>
                    <w:spacing w:line="240" w:lineRule="auto"/>
                    <w:ind w:right="24" w:rightChars="10" w:firstLine="0" w:firstLineChars="0"/>
                    <w:jc w:val="center"/>
                    <w:rPr>
                      <w:sz w:val="21"/>
                      <w:szCs w:val="21"/>
                    </w:rPr>
                  </w:pPr>
                  <w:r>
                    <w:rPr>
                      <w:rFonts w:hint="eastAsia"/>
                      <w:sz w:val="21"/>
                      <w:szCs w:val="21"/>
                    </w:rPr>
                    <w:t>用于其他工序</w:t>
                  </w:r>
                </w:p>
              </w:tc>
              <w:tc>
                <w:tcPr>
                  <w:tcW w:w="492" w:type="pct"/>
                  <w:vAlign w:val="center"/>
                </w:tcPr>
                <w:p>
                  <w:pPr>
                    <w:spacing w:line="240" w:lineRule="auto"/>
                    <w:ind w:right="24" w:rightChars="10" w:firstLine="0" w:firstLineChars="0"/>
                    <w:jc w:val="center"/>
                    <w:rPr>
                      <w:sz w:val="21"/>
                      <w:szCs w:val="21"/>
                    </w:rPr>
                  </w:pPr>
                  <w:r>
                    <w:rPr>
                      <w:rFonts w:hint="eastAsia"/>
                      <w:sz w:val="21"/>
                      <w:szCs w:val="21"/>
                    </w:rPr>
                    <w:t>损耗水量</w:t>
                  </w:r>
                </w:p>
              </w:tc>
              <w:tc>
                <w:tcPr>
                  <w:tcW w:w="555" w:type="pct"/>
                  <w:vAlign w:val="center"/>
                </w:tcPr>
                <w:p>
                  <w:pPr>
                    <w:spacing w:line="240" w:lineRule="auto"/>
                    <w:ind w:right="24" w:rightChars="10" w:firstLine="0" w:firstLineChars="0"/>
                    <w:jc w:val="center"/>
                    <w:rPr>
                      <w:sz w:val="21"/>
                      <w:szCs w:val="21"/>
                    </w:rPr>
                  </w:pPr>
                  <w:r>
                    <w:rPr>
                      <w:rFonts w:hint="eastAsia"/>
                      <w:sz w:val="21"/>
                      <w:szCs w:val="21"/>
                    </w:rPr>
                    <w:t>排水量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125" w:type="pct"/>
                  <w:vAlign w:val="center"/>
                </w:tcPr>
                <w:p>
                  <w:pPr>
                    <w:spacing w:line="240" w:lineRule="auto"/>
                    <w:ind w:right="24" w:rightChars="10" w:firstLine="0" w:firstLineChars="0"/>
                    <w:jc w:val="center"/>
                    <w:rPr>
                      <w:sz w:val="21"/>
                      <w:szCs w:val="21"/>
                    </w:rPr>
                  </w:pPr>
                  <w:r>
                    <w:rPr>
                      <w:rFonts w:hint="eastAsia"/>
                      <w:sz w:val="21"/>
                      <w:szCs w:val="21"/>
                    </w:rPr>
                    <w:t>病房用水</w:t>
                  </w:r>
                </w:p>
              </w:tc>
              <w:tc>
                <w:tcPr>
                  <w:tcW w:w="561" w:type="pct"/>
                  <w:vAlign w:val="center"/>
                </w:tcPr>
                <w:p>
                  <w:pPr>
                    <w:spacing w:line="240" w:lineRule="auto"/>
                    <w:ind w:firstLine="0" w:firstLineChars="0"/>
                    <w:jc w:val="center"/>
                    <w:rPr>
                      <w:sz w:val="21"/>
                      <w:szCs w:val="21"/>
                    </w:rPr>
                  </w:pPr>
                  <w:r>
                    <w:rPr>
                      <w:rFonts w:hint="eastAsia"/>
                      <w:sz w:val="21"/>
                      <w:szCs w:val="21"/>
                    </w:rPr>
                    <w:t>10.5</w:t>
                  </w:r>
                </w:p>
              </w:tc>
              <w:tc>
                <w:tcPr>
                  <w:tcW w:w="593" w:type="pct"/>
                  <w:vAlign w:val="center"/>
                </w:tcPr>
                <w:p>
                  <w:pPr>
                    <w:spacing w:line="240" w:lineRule="auto"/>
                    <w:ind w:firstLine="0" w:firstLineChars="0"/>
                    <w:jc w:val="center"/>
                    <w:rPr>
                      <w:sz w:val="21"/>
                      <w:szCs w:val="21"/>
                    </w:rPr>
                  </w:pPr>
                  <w:r>
                    <w:rPr>
                      <w:rFonts w:hint="eastAsia"/>
                      <w:sz w:val="21"/>
                      <w:szCs w:val="21"/>
                    </w:rPr>
                    <w:t>10.5</w:t>
                  </w:r>
                </w:p>
              </w:tc>
              <w:tc>
                <w:tcPr>
                  <w:tcW w:w="593" w:type="pct"/>
                  <w:vAlign w:val="center"/>
                </w:tcPr>
                <w:p>
                  <w:pPr>
                    <w:spacing w:line="240" w:lineRule="auto"/>
                    <w:ind w:firstLine="0" w:firstLineChars="0"/>
                    <w:jc w:val="center"/>
                    <w:rPr>
                      <w:sz w:val="21"/>
                      <w:szCs w:val="21"/>
                    </w:rPr>
                  </w:pPr>
                  <w:r>
                    <w:rPr>
                      <w:rFonts w:hint="eastAsia"/>
                      <w:sz w:val="21"/>
                      <w:szCs w:val="21"/>
                    </w:rPr>
                    <w:t>0</w:t>
                  </w:r>
                </w:p>
              </w:tc>
              <w:tc>
                <w:tcPr>
                  <w:tcW w:w="569" w:type="pct"/>
                  <w:vAlign w:val="center"/>
                </w:tcPr>
                <w:p>
                  <w:pPr>
                    <w:spacing w:line="240" w:lineRule="auto"/>
                    <w:ind w:firstLine="0" w:firstLineChars="0"/>
                    <w:jc w:val="center"/>
                    <w:rPr>
                      <w:sz w:val="21"/>
                      <w:szCs w:val="21"/>
                    </w:rPr>
                  </w:pPr>
                  <w:r>
                    <w:rPr>
                      <w:rFonts w:hint="eastAsia"/>
                      <w:sz w:val="21"/>
                      <w:szCs w:val="21"/>
                    </w:rPr>
                    <w:t>0</w:t>
                  </w:r>
                </w:p>
              </w:tc>
              <w:tc>
                <w:tcPr>
                  <w:tcW w:w="512" w:type="pct"/>
                  <w:vAlign w:val="center"/>
                </w:tcPr>
                <w:p>
                  <w:pPr>
                    <w:spacing w:line="240" w:lineRule="auto"/>
                    <w:ind w:firstLine="0" w:firstLineChars="0"/>
                    <w:jc w:val="center"/>
                    <w:rPr>
                      <w:sz w:val="21"/>
                      <w:szCs w:val="21"/>
                    </w:rPr>
                  </w:pPr>
                  <w:r>
                    <w:rPr>
                      <w:rFonts w:hint="eastAsia"/>
                      <w:sz w:val="21"/>
                      <w:szCs w:val="21"/>
                    </w:rPr>
                    <w:t>0</w:t>
                  </w:r>
                </w:p>
              </w:tc>
              <w:tc>
                <w:tcPr>
                  <w:tcW w:w="492" w:type="pct"/>
                  <w:vAlign w:val="center"/>
                </w:tcPr>
                <w:p>
                  <w:pPr>
                    <w:spacing w:line="240" w:lineRule="auto"/>
                    <w:ind w:firstLine="0" w:firstLineChars="0"/>
                    <w:jc w:val="center"/>
                    <w:rPr>
                      <w:sz w:val="21"/>
                      <w:szCs w:val="21"/>
                    </w:rPr>
                  </w:pPr>
                  <w:r>
                    <w:rPr>
                      <w:rFonts w:hint="eastAsia"/>
                      <w:sz w:val="21"/>
                      <w:szCs w:val="21"/>
                    </w:rPr>
                    <w:t>2.1</w:t>
                  </w:r>
                </w:p>
              </w:tc>
              <w:tc>
                <w:tcPr>
                  <w:tcW w:w="555" w:type="pct"/>
                  <w:vAlign w:val="center"/>
                </w:tcPr>
                <w:p>
                  <w:pPr>
                    <w:spacing w:line="240" w:lineRule="auto"/>
                    <w:ind w:firstLine="0" w:firstLineChars="0"/>
                    <w:jc w:val="center"/>
                    <w:rPr>
                      <w:sz w:val="21"/>
                      <w:szCs w:val="21"/>
                    </w:rPr>
                  </w:pPr>
                  <w:r>
                    <w:rPr>
                      <w:rFonts w:hint="eastAsia"/>
                      <w:sz w:val="21"/>
                      <w:szCs w:val="21"/>
                    </w:rPr>
                    <w:t>8.4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125" w:type="pct"/>
                  <w:vAlign w:val="center"/>
                </w:tcPr>
                <w:p>
                  <w:pPr>
                    <w:spacing w:line="240" w:lineRule="auto"/>
                    <w:ind w:right="24" w:rightChars="10" w:firstLine="0" w:firstLineChars="0"/>
                    <w:jc w:val="center"/>
                    <w:rPr>
                      <w:sz w:val="21"/>
                      <w:szCs w:val="21"/>
                    </w:rPr>
                  </w:pPr>
                  <w:r>
                    <w:rPr>
                      <w:rFonts w:hint="eastAsia"/>
                      <w:sz w:val="21"/>
                      <w:szCs w:val="21"/>
                    </w:rPr>
                    <w:t>门诊用水</w:t>
                  </w:r>
                </w:p>
              </w:tc>
              <w:tc>
                <w:tcPr>
                  <w:tcW w:w="561" w:type="pct"/>
                  <w:vAlign w:val="center"/>
                </w:tcPr>
                <w:p>
                  <w:pPr>
                    <w:spacing w:line="240" w:lineRule="auto"/>
                    <w:ind w:firstLine="0" w:firstLineChars="0"/>
                    <w:jc w:val="center"/>
                    <w:rPr>
                      <w:sz w:val="21"/>
                      <w:szCs w:val="21"/>
                    </w:rPr>
                  </w:pPr>
                  <w:r>
                    <w:rPr>
                      <w:rFonts w:hint="eastAsia"/>
                      <w:sz w:val="21"/>
                      <w:szCs w:val="21"/>
                    </w:rPr>
                    <w:t>1</w:t>
                  </w:r>
                </w:p>
              </w:tc>
              <w:tc>
                <w:tcPr>
                  <w:tcW w:w="593" w:type="pct"/>
                  <w:vAlign w:val="center"/>
                </w:tcPr>
                <w:p>
                  <w:pPr>
                    <w:spacing w:line="240" w:lineRule="auto"/>
                    <w:ind w:firstLine="0" w:firstLineChars="0"/>
                    <w:jc w:val="center"/>
                    <w:rPr>
                      <w:sz w:val="21"/>
                      <w:szCs w:val="21"/>
                    </w:rPr>
                  </w:pPr>
                  <w:r>
                    <w:rPr>
                      <w:rFonts w:hint="eastAsia"/>
                      <w:sz w:val="21"/>
                      <w:szCs w:val="21"/>
                    </w:rPr>
                    <w:t>1</w:t>
                  </w:r>
                </w:p>
              </w:tc>
              <w:tc>
                <w:tcPr>
                  <w:tcW w:w="593" w:type="pct"/>
                  <w:vAlign w:val="center"/>
                </w:tcPr>
                <w:p>
                  <w:pPr>
                    <w:spacing w:line="240" w:lineRule="auto"/>
                    <w:ind w:firstLine="0" w:firstLineChars="0"/>
                    <w:jc w:val="center"/>
                    <w:rPr>
                      <w:sz w:val="21"/>
                      <w:szCs w:val="21"/>
                    </w:rPr>
                  </w:pPr>
                  <w:r>
                    <w:rPr>
                      <w:rFonts w:hint="eastAsia"/>
                      <w:sz w:val="21"/>
                      <w:szCs w:val="21"/>
                    </w:rPr>
                    <w:t>0</w:t>
                  </w:r>
                </w:p>
              </w:tc>
              <w:tc>
                <w:tcPr>
                  <w:tcW w:w="569" w:type="pct"/>
                  <w:vAlign w:val="center"/>
                </w:tcPr>
                <w:p>
                  <w:pPr>
                    <w:spacing w:line="240" w:lineRule="auto"/>
                    <w:ind w:firstLine="0" w:firstLineChars="0"/>
                    <w:jc w:val="center"/>
                    <w:rPr>
                      <w:sz w:val="21"/>
                      <w:szCs w:val="21"/>
                    </w:rPr>
                  </w:pPr>
                  <w:r>
                    <w:rPr>
                      <w:rFonts w:hint="eastAsia"/>
                      <w:sz w:val="21"/>
                      <w:szCs w:val="21"/>
                    </w:rPr>
                    <w:t>0</w:t>
                  </w:r>
                </w:p>
              </w:tc>
              <w:tc>
                <w:tcPr>
                  <w:tcW w:w="512" w:type="pct"/>
                  <w:vAlign w:val="center"/>
                </w:tcPr>
                <w:p>
                  <w:pPr>
                    <w:spacing w:line="240" w:lineRule="auto"/>
                    <w:ind w:firstLine="0" w:firstLineChars="0"/>
                    <w:jc w:val="center"/>
                    <w:rPr>
                      <w:sz w:val="21"/>
                      <w:szCs w:val="21"/>
                    </w:rPr>
                  </w:pPr>
                  <w:r>
                    <w:rPr>
                      <w:rFonts w:hint="eastAsia"/>
                      <w:sz w:val="21"/>
                      <w:szCs w:val="21"/>
                    </w:rPr>
                    <w:t>0</w:t>
                  </w:r>
                </w:p>
              </w:tc>
              <w:tc>
                <w:tcPr>
                  <w:tcW w:w="492" w:type="pct"/>
                  <w:vAlign w:val="center"/>
                </w:tcPr>
                <w:p>
                  <w:pPr>
                    <w:spacing w:line="240" w:lineRule="auto"/>
                    <w:ind w:firstLine="0" w:firstLineChars="0"/>
                    <w:jc w:val="center"/>
                    <w:rPr>
                      <w:sz w:val="21"/>
                      <w:szCs w:val="21"/>
                    </w:rPr>
                  </w:pPr>
                  <w:r>
                    <w:rPr>
                      <w:rFonts w:hint="eastAsia"/>
                      <w:sz w:val="21"/>
                      <w:szCs w:val="21"/>
                    </w:rPr>
                    <w:t>0.2</w:t>
                  </w:r>
                </w:p>
              </w:tc>
              <w:tc>
                <w:tcPr>
                  <w:tcW w:w="555" w:type="pct"/>
                  <w:vAlign w:val="center"/>
                </w:tcPr>
                <w:p>
                  <w:pPr>
                    <w:spacing w:line="240" w:lineRule="auto"/>
                    <w:ind w:firstLine="0" w:firstLineChars="0"/>
                    <w:jc w:val="center"/>
                    <w:rPr>
                      <w:sz w:val="21"/>
                      <w:szCs w:val="21"/>
                    </w:rPr>
                  </w:pPr>
                  <w:r>
                    <w:rPr>
                      <w:rFonts w:hint="eastAsia"/>
                      <w:sz w:val="21"/>
                      <w:szCs w:val="21"/>
                    </w:rPr>
                    <w:t>0.8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125" w:type="pct"/>
                  <w:vAlign w:val="center"/>
                </w:tcPr>
                <w:p>
                  <w:pPr>
                    <w:spacing w:line="240" w:lineRule="auto"/>
                    <w:ind w:right="24" w:rightChars="10" w:firstLine="0" w:firstLineChars="0"/>
                    <w:jc w:val="center"/>
                    <w:rPr>
                      <w:sz w:val="21"/>
                      <w:szCs w:val="21"/>
                    </w:rPr>
                  </w:pPr>
                  <w:r>
                    <w:rPr>
                      <w:rFonts w:hint="eastAsia"/>
                      <w:sz w:val="21"/>
                      <w:szCs w:val="21"/>
                    </w:rPr>
                    <w:t>医务人员用水</w:t>
                  </w:r>
                </w:p>
              </w:tc>
              <w:tc>
                <w:tcPr>
                  <w:tcW w:w="561" w:type="pct"/>
                  <w:vAlign w:val="center"/>
                </w:tcPr>
                <w:p>
                  <w:pPr>
                    <w:spacing w:line="240" w:lineRule="auto"/>
                    <w:ind w:firstLine="0" w:firstLineChars="0"/>
                    <w:jc w:val="center"/>
                    <w:rPr>
                      <w:sz w:val="21"/>
                      <w:szCs w:val="21"/>
                    </w:rPr>
                  </w:pPr>
                  <w:r>
                    <w:rPr>
                      <w:rFonts w:hint="eastAsia"/>
                      <w:sz w:val="21"/>
                      <w:szCs w:val="21"/>
                    </w:rPr>
                    <w:t>1.42</w:t>
                  </w:r>
                </w:p>
              </w:tc>
              <w:tc>
                <w:tcPr>
                  <w:tcW w:w="593" w:type="pct"/>
                  <w:vAlign w:val="center"/>
                </w:tcPr>
                <w:p>
                  <w:pPr>
                    <w:spacing w:line="240" w:lineRule="auto"/>
                    <w:ind w:firstLine="0" w:firstLineChars="0"/>
                    <w:jc w:val="center"/>
                    <w:rPr>
                      <w:sz w:val="21"/>
                      <w:szCs w:val="21"/>
                    </w:rPr>
                  </w:pPr>
                  <w:r>
                    <w:rPr>
                      <w:rFonts w:hint="eastAsia"/>
                      <w:sz w:val="21"/>
                      <w:szCs w:val="21"/>
                    </w:rPr>
                    <w:t>1.42</w:t>
                  </w:r>
                </w:p>
              </w:tc>
              <w:tc>
                <w:tcPr>
                  <w:tcW w:w="593" w:type="pct"/>
                  <w:vAlign w:val="center"/>
                </w:tcPr>
                <w:p>
                  <w:pPr>
                    <w:spacing w:line="240" w:lineRule="auto"/>
                    <w:ind w:firstLine="0" w:firstLineChars="0"/>
                    <w:jc w:val="center"/>
                    <w:rPr>
                      <w:sz w:val="21"/>
                      <w:szCs w:val="21"/>
                    </w:rPr>
                  </w:pPr>
                  <w:r>
                    <w:rPr>
                      <w:rFonts w:hint="eastAsia"/>
                      <w:sz w:val="21"/>
                      <w:szCs w:val="21"/>
                    </w:rPr>
                    <w:t>0</w:t>
                  </w:r>
                </w:p>
              </w:tc>
              <w:tc>
                <w:tcPr>
                  <w:tcW w:w="569" w:type="pct"/>
                  <w:vAlign w:val="center"/>
                </w:tcPr>
                <w:p>
                  <w:pPr>
                    <w:spacing w:line="240" w:lineRule="auto"/>
                    <w:ind w:firstLine="0" w:firstLineChars="0"/>
                    <w:jc w:val="center"/>
                    <w:rPr>
                      <w:sz w:val="21"/>
                      <w:szCs w:val="21"/>
                    </w:rPr>
                  </w:pPr>
                  <w:r>
                    <w:rPr>
                      <w:rFonts w:hint="eastAsia"/>
                      <w:sz w:val="21"/>
                      <w:szCs w:val="21"/>
                    </w:rPr>
                    <w:t>0</w:t>
                  </w:r>
                </w:p>
              </w:tc>
              <w:tc>
                <w:tcPr>
                  <w:tcW w:w="512" w:type="pct"/>
                  <w:vAlign w:val="center"/>
                </w:tcPr>
                <w:p>
                  <w:pPr>
                    <w:spacing w:line="240" w:lineRule="auto"/>
                    <w:ind w:firstLine="0" w:firstLineChars="0"/>
                    <w:jc w:val="center"/>
                    <w:rPr>
                      <w:sz w:val="21"/>
                      <w:szCs w:val="21"/>
                    </w:rPr>
                  </w:pPr>
                  <w:r>
                    <w:rPr>
                      <w:rFonts w:hint="eastAsia"/>
                      <w:sz w:val="21"/>
                      <w:szCs w:val="21"/>
                    </w:rPr>
                    <w:t>0</w:t>
                  </w:r>
                </w:p>
              </w:tc>
              <w:tc>
                <w:tcPr>
                  <w:tcW w:w="492" w:type="pct"/>
                  <w:vAlign w:val="center"/>
                </w:tcPr>
                <w:p>
                  <w:pPr>
                    <w:spacing w:line="240" w:lineRule="auto"/>
                    <w:ind w:firstLine="0" w:firstLineChars="0"/>
                    <w:jc w:val="center"/>
                    <w:rPr>
                      <w:sz w:val="21"/>
                      <w:szCs w:val="21"/>
                    </w:rPr>
                  </w:pPr>
                  <w:r>
                    <w:rPr>
                      <w:rFonts w:hint="eastAsia"/>
                      <w:sz w:val="21"/>
                      <w:szCs w:val="21"/>
                    </w:rPr>
                    <w:t>0.28</w:t>
                  </w:r>
                </w:p>
              </w:tc>
              <w:tc>
                <w:tcPr>
                  <w:tcW w:w="555" w:type="pct"/>
                  <w:vAlign w:val="center"/>
                </w:tcPr>
                <w:p>
                  <w:pPr>
                    <w:spacing w:line="240" w:lineRule="auto"/>
                    <w:ind w:firstLine="0" w:firstLineChars="0"/>
                    <w:jc w:val="center"/>
                    <w:rPr>
                      <w:sz w:val="21"/>
                      <w:szCs w:val="21"/>
                    </w:rPr>
                  </w:pPr>
                  <w:r>
                    <w:rPr>
                      <w:rFonts w:hint="eastAsia"/>
                      <w:sz w:val="21"/>
                      <w:szCs w:val="21"/>
                    </w:rPr>
                    <w:t>1.14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125" w:type="pct"/>
                  <w:vAlign w:val="center"/>
                </w:tcPr>
                <w:p>
                  <w:pPr>
                    <w:spacing w:line="240" w:lineRule="auto"/>
                    <w:ind w:right="24" w:rightChars="10" w:firstLine="0" w:firstLineChars="0"/>
                    <w:jc w:val="center"/>
                    <w:rPr>
                      <w:sz w:val="21"/>
                      <w:szCs w:val="21"/>
                    </w:rPr>
                  </w:pPr>
                  <w:r>
                    <w:rPr>
                      <w:rFonts w:hint="eastAsia"/>
                      <w:sz w:val="21"/>
                      <w:szCs w:val="21"/>
                    </w:rPr>
                    <w:t>检验用水</w:t>
                  </w:r>
                </w:p>
              </w:tc>
              <w:tc>
                <w:tcPr>
                  <w:tcW w:w="561" w:type="pct"/>
                  <w:vAlign w:val="center"/>
                </w:tcPr>
                <w:p>
                  <w:pPr>
                    <w:spacing w:line="240" w:lineRule="auto"/>
                    <w:ind w:firstLine="0" w:firstLineChars="0"/>
                    <w:jc w:val="center"/>
                    <w:rPr>
                      <w:sz w:val="21"/>
                      <w:szCs w:val="21"/>
                    </w:rPr>
                  </w:pPr>
                  <w:r>
                    <w:rPr>
                      <w:rFonts w:hint="eastAsia"/>
                      <w:sz w:val="21"/>
                      <w:szCs w:val="21"/>
                    </w:rPr>
                    <w:t>0.3</w:t>
                  </w:r>
                </w:p>
              </w:tc>
              <w:tc>
                <w:tcPr>
                  <w:tcW w:w="593" w:type="pct"/>
                  <w:vAlign w:val="center"/>
                </w:tcPr>
                <w:p>
                  <w:pPr>
                    <w:spacing w:line="240" w:lineRule="auto"/>
                    <w:ind w:firstLine="0" w:firstLineChars="0"/>
                    <w:jc w:val="center"/>
                    <w:rPr>
                      <w:sz w:val="21"/>
                      <w:szCs w:val="21"/>
                    </w:rPr>
                  </w:pPr>
                  <w:r>
                    <w:rPr>
                      <w:rFonts w:hint="eastAsia"/>
                      <w:sz w:val="21"/>
                      <w:szCs w:val="21"/>
                    </w:rPr>
                    <w:t>0.2</w:t>
                  </w:r>
                </w:p>
              </w:tc>
              <w:tc>
                <w:tcPr>
                  <w:tcW w:w="593" w:type="pct"/>
                  <w:vAlign w:val="center"/>
                </w:tcPr>
                <w:p>
                  <w:pPr>
                    <w:spacing w:line="240" w:lineRule="auto"/>
                    <w:ind w:firstLine="0" w:firstLineChars="0"/>
                    <w:jc w:val="center"/>
                    <w:rPr>
                      <w:sz w:val="21"/>
                      <w:szCs w:val="21"/>
                    </w:rPr>
                  </w:pPr>
                  <w:r>
                    <w:rPr>
                      <w:rFonts w:hint="eastAsia"/>
                      <w:sz w:val="21"/>
                      <w:szCs w:val="21"/>
                    </w:rPr>
                    <w:t>0.1</w:t>
                  </w:r>
                </w:p>
              </w:tc>
              <w:tc>
                <w:tcPr>
                  <w:tcW w:w="569" w:type="pct"/>
                  <w:vAlign w:val="center"/>
                </w:tcPr>
                <w:p>
                  <w:pPr>
                    <w:spacing w:line="240" w:lineRule="auto"/>
                    <w:ind w:firstLine="0" w:firstLineChars="0"/>
                    <w:jc w:val="center"/>
                    <w:rPr>
                      <w:sz w:val="21"/>
                      <w:szCs w:val="21"/>
                    </w:rPr>
                  </w:pPr>
                  <w:r>
                    <w:rPr>
                      <w:rFonts w:hint="eastAsia"/>
                      <w:sz w:val="21"/>
                      <w:szCs w:val="21"/>
                    </w:rPr>
                    <w:t>0</w:t>
                  </w:r>
                </w:p>
              </w:tc>
              <w:tc>
                <w:tcPr>
                  <w:tcW w:w="512" w:type="pct"/>
                  <w:vAlign w:val="center"/>
                </w:tcPr>
                <w:p>
                  <w:pPr>
                    <w:spacing w:line="240" w:lineRule="auto"/>
                    <w:ind w:firstLine="0" w:firstLineChars="0"/>
                    <w:jc w:val="center"/>
                    <w:rPr>
                      <w:sz w:val="21"/>
                      <w:szCs w:val="21"/>
                    </w:rPr>
                  </w:pPr>
                  <w:r>
                    <w:rPr>
                      <w:rFonts w:hint="eastAsia"/>
                      <w:sz w:val="21"/>
                      <w:szCs w:val="21"/>
                    </w:rPr>
                    <w:t>0</w:t>
                  </w:r>
                </w:p>
              </w:tc>
              <w:tc>
                <w:tcPr>
                  <w:tcW w:w="492" w:type="pct"/>
                  <w:vAlign w:val="center"/>
                </w:tcPr>
                <w:p>
                  <w:pPr>
                    <w:spacing w:line="240" w:lineRule="auto"/>
                    <w:ind w:firstLine="0" w:firstLineChars="0"/>
                    <w:jc w:val="center"/>
                    <w:rPr>
                      <w:sz w:val="21"/>
                      <w:szCs w:val="21"/>
                    </w:rPr>
                  </w:pPr>
                  <w:r>
                    <w:rPr>
                      <w:rFonts w:hint="eastAsia"/>
                      <w:sz w:val="21"/>
                      <w:szCs w:val="21"/>
                    </w:rPr>
                    <w:t>0.03</w:t>
                  </w:r>
                </w:p>
              </w:tc>
              <w:tc>
                <w:tcPr>
                  <w:tcW w:w="555" w:type="pct"/>
                  <w:vAlign w:val="center"/>
                </w:tcPr>
                <w:p>
                  <w:pPr>
                    <w:spacing w:line="240" w:lineRule="auto"/>
                    <w:ind w:firstLine="0" w:firstLineChars="0"/>
                    <w:jc w:val="center"/>
                    <w:rPr>
                      <w:sz w:val="21"/>
                      <w:szCs w:val="21"/>
                    </w:rPr>
                  </w:pPr>
                  <w:r>
                    <w:rPr>
                      <w:rFonts w:hint="eastAsia"/>
                      <w:sz w:val="21"/>
                      <w:szCs w:val="21"/>
                    </w:rPr>
                    <w:t>0.27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125" w:type="pct"/>
                  <w:vAlign w:val="center"/>
                </w:tcPr>
                <w:p>
                  <w:pPr>
                    <w:spacing w:line="240" w:lineRule="auto"/>
                    <w:ind w:right="24" w:rightChars="10" w:firstLine="0" w:firstLineChars="0"/>
                    <w:jc w:val="center"/>
                    <w:rPr>
                      <w:sz w:val="21"/>
                      <w:szCs w:val="21"/>
                    </w:rPr>
                  </w:pPr>
                  <w:r>
                    <w:rPr>
                      <w:rFonts w:hint="eastAsia"/>
                      <w:sz w:val="21"/>
                      <w:szCs w:val="21"/>
                    </w:rPr>
                    <w:t>煎药用水</w:t>
                  </w:r>
                </w:p>
              </w:tc>
              <w:tc>
                <w:tcPr>
                  <w:tcW w:w="561" w:type="pct"/>
                  <w:vAlign w:val="center"/>
                </w:tcPr>
                <w:p>
                  <w:pPr>
                    <w:spacing w:line="240" w:lineRule="auto"/>
                    <w:ind w:firstLine="0" w:firstLineChars="0"/>
                    <w:jc w:val="center"/>
                    <w:rPr>
                      <w:sz w:val="21"/>
                      <w:szCs w:val="21"/>
                    </w:rPr>
                  </w:pPr>
                  <w:r>
                    <w:rPr>
                      <w:rFonts w:hint="eastAsia"/>
                      <w:sz w:val="21"/>
                      <w:szCs w:val="21"/>
                    </w:rPr>
                    <w:t>0.77</w:t>
                  </w:r>
                </w:p>
              </w:tc>
              <w:tc>
                <w:tcPr>
                  <w:tcW w:w="593" w:type="pct"/>
                  <w:vAlign w:val="center"/>
                </w:tcPr>
                <w:p>
                  <w:pPr>
                    <w:spacing w:line="240" w:lineRule="auto"/>
                    <w:ind w:firstLine="0" w:firstLineChars="0"/>
                    <w:jc w:val="center"/>
                    <w:rPr>
                      <w:sz w:val="21"/>
                      <w:szCs w:val="21"/>
                    </w:rPr>
                  </w:pPr>
                  <w:r>
                    <w:rPr>
                      <w:rFonts w:hint="eastAsia"/>
                      <w:sz w:val="21"/>
                      <w:szCs w:val="21"/>
                    </w:rPr>
                    <w:t>0</w:t>
                  </w:r>
                </w:p>
              </w:tc>
              <w:tc>
                <w:tcPr>
                  <w:tcW w:w="593" w:type="pct"/>
                  <w:vAlign w:val="center"/>
                </w:tcPr>
                <w:p>
                  <w:pPr>
                    <w:spacing w:line="240" w:lineRule="auto"/>
                    <w:ind w:firstLine="0" w:firstLineChars="0"/>
                    <w:jc w:val="center"/>
                    <w:rPr>
                      <w:sz w:val="21"/>
                      <w:szCs w:val="21"/>
                    </w:rPr>
                  </w:pPr>
                  <w:r>
                    <w:rPr>
                      <w:rFonts w:hint="eastAsia"/>
                      <w:sz w:val="21"/>
                      <w:szCs w:val="21"/>
                    </w:rPr>
                    <w:t>0.77</w:t>
                  </w:r>
                </w:p>
              </w:tc>
              <w:tc>
                <w:tcPr>
                  <w:tcW w:w="569" w:type="pct"/>
                  <w:vAlign w:val="center"/>
                </w:tcPr>
                <w:p>
                  <w:pPr>
                    <w:spacing w:line="240" w:lineRule="auto"/>
                    <w:ind w:firstLine="0" w:firstLineChars="0"/>
                    <w:jc w:val="center"/>
                    <w:rPr>
                      <w:sz w:val="21"/>
                      <w:szCs w:val="21"/>
                    </w:rPr>
                  </w:pPr>
                  <w:r>
                    <w:rPr>
                      <w:rFonts w:hint="eastAsia"/>
                      <w:sz w:val="21"/>
                      <w:szCs w:val="21"/>
                    </w:rPr>
                    <w:t>0</w:t>
                  </w:r>
                </w:p>
              </w:tc>
              <w:tc>
                <w:tcPr>
                  <w:tcW w:w="512" w:type="pct"/>
                  <w:vAlign w:val="center"/>
                </w:tcPr>
                <w:p>
                  <w:pPr>
                    <w:spacing w:line="240" w:lineRule="auto"/>
                    <w:ind w:firstLine="0" w:firstLineChars="0"/>
                    <w:jc w:val="center"/>
                    <w:rPr>
                      <w:sz w:val="21"/>
                      <w:szCs w:val="21"/>
                    </w:rPr>
                  </w:pPr>
                  <w:r>
                    <w:rPr>
                      <w:rFonts w:hint="eastAsia"/>
                      <w:sz w:val="21"/>
                      <w:szCs w:val="21"/>
                    </w:rPr>
                    <w:t>0</w:t>
                  </w:r>
                </w:p>
              </w:tc>
              <w:tc>
                <w:tcPr>
                  <w:tcW w:w="492" w:type="pct"/>
                  <w:vAlign w:val="center"/>
                </w:tcPr>
                <w:p>
                  <w:pPr>
                    <w:spacing w:line="240" w:lineRule="auto"/>
                    <w:ind w:firstLine="0" w:firstLineChars="0"/>
                    <w:jc w:val="center"/>
                    <w:rPr>
                      <w:sz w:val="21"/>
                      <w:szCs w:val="21"/>
                    </w:rPr>
                  </w:pPr>
                  <w:r>
                    <w:rPr>
                      <w:rFonts w:hint="eastAsia"/>
                      <w:sz w:val="21"/>
                      <w:szCs w:val="21"/>
                    </w:rPr>
                    <w:t>0.32</w:t>
                  </w:r>
                </w:p>
              </w:tc>
              <w:tc>
                <w:tcPr>
                  <w:tcW w:w="555" w:type="pct"/>
                  <w:vAlign w:val="center"/>
                </w:tcPr>
                <w:p>
                  <w:pPr>
                    <w:spacing w:line="240" w:lineRule="auto"/>
                    <w:ind w:firstLine="0" w:firstLineChars="0"/>
                    <w:jc w:val="center"/>
                    <w:rPr>
                      <w:sz w:val="21"/>
                      <w:szCs w:val="21"/>
                    </w:rPr>
                  </w:pPr>
                  <w:r>
                    <w:rPr>
                      <w:rFonts w:hint="eastAsia"/>
                      <w:sz w:val="21"/>
                      <w:szCs w:val="21"/>
                    </w:rPr>
                    <w:t>0.45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125" w:type="pct"/>
                  <w:vAlign w:val="center"/>
                </w:tcPr>
                <w:p>
                  <w:pPr>
                    <w:spacing w:line="240" w:lineRule="auto"/>
                    <w:ind w:right="24" w:rightChars="10" w:firstLine="0" w:firstLineChars="0"/>
                    <w:jc w:val="center"/>
                    <w:rPr>
                      <w:sz w:val="21"/>
                      <w:szCs w:val="21"/>
                    </w:rPr>
                  </w:pPr>
                  <w:r>
                    <w:rPr>
                      <w:rFonts w:hint="eastAsia"/>
                      <w:sz w:val="21"/>
                      <w:szCs w:val="21"/>
                    </w:rPr>
                    <w:t>空调冷却系统用水</w:t>
                  </w:r>
                </w:p>
              </w:tc>
              <w:tc>
                <w:tcPr>
                  <w:tcW w:w="561" w:type="pct"/>
                  <w:vAlign w:val="center"/>
                </w:tcPr>
                <w:p>
                  <w:pPr>
                    <w:spacing w:line="240" w:lineRule="auto"/>
                    <w:ind w:firstLine="0" w:firstLineChars="0"/>
                    <w:jc w:val="center"/>
                    <w:rPr>
                      <w:sz w:val="21"/>
                      <w:szCs w:val="21"/>
                    </w:rPr>
                  </w:pPr>
                  <w:r>
                    <w:rPr>
                      <w:rFonts w:hint="eastAsia"/>
                      <w:sz w:val="21"/>
                      <w:szCs w:val="21"/>
                    </w:rPr>
                    <w:t>1342</w:t>
                  </w:r>
                </w:p>
              </w:tc>
              <w:tc>
                <w:tcPr>
                  <w:tcW w:w="593" w:type="pct"/>
                  <w:vAlign w:val="center"/>
                </w:tcPr>
                <w:p>
                  <w:pPr>
                    <w:spacing w:line="240" w:lineRule="auto"/>
                    <w:ind w:firstLine="0" w:firstLineChars="0"/>
                    <w:jc w:val="center"/>
                    <w:rPr>
                      <w:sz w:val="21"/>
                      <w:szCs w:val="21"/>
                    </w:rPr>
                  </w:pPr>
                  <w:r>
                    <w:rPr>
                      <w:rFonts w:hint="eastAsia"/>
                      <w:sz w:val="21"/>
                      <w:szCs w:val="21"/>
                    </w:rPr>
                    <w:t>2</w:t>
                  </w:r>
                </w:p>
              </w:tc>
              <w:tc>
                <w:tcPr>
                  <w:tcW w:w="593" w:type="pct"/>
                  <w:vAlign w:val="center"/>
                </w:tcPr>
                <w:p>
                  <w:pPr>
                    <w:spacing w:line="240" w:lineRule="auto"/>
                    <w:ind w:firstLine="0" w:firstLineChars="0"/>
                    <w:jc w:val="center"/>
                    <w:rPr>
                      <w:sz w:val="21"/>
                      <w:szCs w:val="21"/>
                    </w:rPr>
                  </w:pPr>
                  <w:r>
                    <w:rPr>
                      <w:rFonts w:hint="eastAsia"/>
                      <w:sz w:val="21"/>
                      <w:szCs w:val="21"/>
                    </w:rPr>
                    <w:t>0</w:t>
                  </w:r>
                </w:p>
              </w:tc>
              <w:tc>
                <w:tcPr>
                  <w:tcW w:w="569" w:type="pct"/>
                  <w:vAlign w:val="center"/>
                </w:tcPr>
                <w:p>
                  <w:pPr>
                    <w:spacing w:line="240" w:lineRule="auto"/>
                    <w:ind w:firstLine="0" w:firstLineChars="0"/>
                    <w:jc w:val="center"/>
                    <w:rPr>
                      <w:sz w:val="21"/>
                      <w:szCs w:val="21"/>
                    </w:rPr>
                  </w:pPr>
                  <w:r>
                    <w:rPr>
                      <w:rFonts w:hint="eastAsia"/>
                      <w:sz w:val="21"/>
                      <w:szCs w:val="21"/>
                    </w:rPr>
                    <w:t>1340</w:t>
                  </w:r>
                </w:p>
              </w:tc>
              <w:tc>
                <w:tcPr>
                  <w:tcW w:w="512" w:type="pct"/>
                  <w:vAlign w:val="center"/>
                </w:tcPr>
                <w:p>
                  <w:pPr>
                    <w:spacing w:line="240" w:lineRule="auto"/>
                    <w:ind w:firstLine="0" w:firstLineChars="0"/>
                    <w:jc w:val="center"/>
                    <w:rPr>
                      <w:sz w:val="21"/>
                      <w:szCs w:val="21"/>
                    </w:rPr>
                  </w:pPr>
                  <w:r>
                    <w:rPr>
                      <w:rFonts w:hint="eastAsia"/>
                      <w:sz w:val="21"/>
                      <w:szCs w:val="21"/>
                    </w:rPr>
                    <w:t>0</w:t>
                  </w:r>
                </w:p>
              </w:tc>
              <w:tc>
                <w:tcPr>
                  <w:tcW w:w="492" w:type="pct"/>
                  <w:vAlign w:val="center"/>
                </w:tcPr>
                <w:p>
                  <w:pPr>
                    <w:spacing w:line="240" w:lineRule="auto"/>
                    <w:ind w:firstLine="0" w:firstLineChars="0"/>
                    <w:jc w:val="center"/>
                    <w:rPr>
                      <w:sz w:val="21"/>
                      <w:szCs w:val="21"/>
                    </w:rPr>
                  </w:pPr>
                  <w:r>
                    <w:rPr>
                      <w:rFonts w:hint="eastAsia"/>
                      <w:sz w:val="21"/>
                      <w:szCs w:val="21"/>
                    </w:rPr>
                    <w:t>1.5</w:t>
                  </w:r>
                </w:p>
              </w:tc>
              <w:tc>
                <w:tcPr>
                  <w:tcW w:w="555" w:type="pct"/>
                  <w:vAlign w:val="center"/>
                </w:tcPr>
                <w:p>
                  <w:pPr>
                    <w:spacing w:line="240" w:lineRule="auto"/>
                    <w:ind w:firstLine="0" w:firstLineChars="0"/>
                    <w:jc w:val="center"/>
                    <w:rPr>
                      <w:sz w:val="21"/>
                      <w:szCs w:val="21"/>
                    </w:rPr>
                  </w:pPr>
                  <w:r>
                    <w:rPr>
                      <w:rFonts w:hint="eastAsia"/>
                      <w:sz w:val="21"/>
                      <w:szCs w:val="21"/>
                    </w:rPr>
                    <w:t>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125" w:type="pct"/>
                  <w:vAlign w:val="center"/>
                </w:tcPr>
                <w:p>
                  <w:pPr>
                    <w:spacing w:line="240" w:lineRule="auto"/>
                    <w:ind w:right="24" w:rightChars="10" w:firstLine="0" w:firstLineChars="0"/>
                    <w:jc w:val="center"/>
                    <w:rPr>
                      <w:sz w:val="21"/>
                      <w:szCs w:val="21"/>
                    </w:rPr>
                  </w:pPr>
                  <w:r>
                    <w:rPr>
                      <w:rFonts w:hint="eastAsia"/>
                      <w:sz w:val="21"/>
                      <w:szCs w:val="21"/>
                    </w:rPr>
                    <w:t>纯水制备系统</w:t>
                  </w:r>
                </w:p>
              </w:tc>
              <w:tc>
                <w:tcPr>
                  <w:tcW w:w="561" w:type="pct"/>
                  <w:vAlign w:val="center"/>
                </w:tcPr>
                <w:p>
                  <w:pPr>
                    <w:spacing w:line="240" w:lineRule="auto"/>
                    <w:ind w:firstLine="0" w:firstLineChars="0"/>
                    <w:jc w:val="center"/>
                    <w:rPr>
                      <w:sz w:val="21"/>
                      <w:szCs w:val="21"/>
                    </w:rPr>
                  </w:pPr>
                  <w:r>
                    <w:rPr>
                      <w:rFonts w:hint="eastAsia"/>
                      <w:sz w:val="21"/>
                      <w:szCs w:val="21"/>
                    </w:rPr>
                    <w:t>1.06</w:t>
                  </w:r>
                </w:p>
              </w:tc>
              <w:tc>
                <w:tcPr>
                  <w:tcW w:w="593" w:type="pct"/>
                  <w:vAlign w:val="center"/>
                </w:tcPr>
                <w:p>
                  <w:pPr>
                    <w:spacing w:line="240" w:lineRule="auto"/>
                    <w:ind w:firstLine="0" w:firstLineChars="0"/>
                    <w:jc w:val="center"/>
                    <w:rPr>
                      <w:sz w:val="21"/>
                      <w:szCs w:val="21"/>
                    </w:rPr>
                  </w:pPr>
                  <w:r>
                    <w:rPr>
                      <w:rFonts w:hint="eastAsia"/>
                      <w:sz w:val="21"/>
                      <w:szCs w:val="21"/>
                    </w:rPr>
                    <w:t>1.06</w:t>
                  </w:r>
                </w:p>
              </w:tc>
              <w:tc>
                <w:tcPr>
                  <w:tcW w:w="593" w:type="pct"/>
                  <w:vAlign w:val="center"/>
                </w:tcPr>
                <w:p>
                  <w:pPr>
                    <w:spacing w:line="240" w:lineRule="auto"/>
                    <w:ind w:firstLine="0" w:firstLineChars="0"/>
                    <w:jc w:val="center"/>
                    <w:rPr>
                      <w:sz w:val="21"/>
                      <w:szCs w:val="21"/>
                    </w:rPr>
                  </w:pPr>
                  <w:r>
                    <w:rPr>
                      <w:rFonts w:hint="eastAsia"/>
                      <w:sz w:val="21"/>
                      <w:szCs w:val="21"/>
                    </w:rPr>
                    <w:t>0</w:t>
                  </w:r>
                </w:p>
              </w:tc>
              <w:tc>
                <w:tcPr>
                  <w:tcW w:w="569" w:type="pct"/>
                  <w:vAlign w:val="center"/>
                </w:tcPr>
                <w:p>
                  <w:pPr>
                    <w:spacing w:line="240" w:lineRule="auto"/>
                    <w:ind w:firstLine="0" w:firstLineChars="0"/>
                    <w:jc w:val="center"/>
                    <w:rPr>
                      <w:sz w:val="21"/>
                      <w:szCs w:val="21"/>
                    </w:rPr>
                  </w:pPr>
                  <w:r>
                    <w:rPr>
                      <w:rFonts w:hint="eastAsia"/>
                      <w:sz w:val="21"/>
                      <w:szCs w:val="21"/>
                    </w:rPr>
                    <w:t>0</w:t>
                  </w:r>
                </w:p>
              </w:tc>
              <w:tc>
                <w:tcPr>
                  <w:tcW w:w="512" w:type="pct"/>
                  <w:vAlign w:val="center"/>
                </w:tcPr>
                <w:p>
                  <w:pPr>
                    <w:spacing w:line="240" w:lineRule="auto"/>
                    <w:ind w:firstLine="0" w:firstLineChars="0"/>
                    <w:jc w:val="center"/>
                    <w:rPr>
                      <w:sz w:val="21"/>
                      <w:szCs w:val="21"/>
                    </w:rPr>
                  </w:pPr>
                  <w:r>
                    <w:rPr>
                      <w:rFonts w:hint="eastAsia"/>
                      <w:sz w:val="21"/>
                      <w:szCs w:val="21"/>
                    </w:rPr>
                    <w:t>0.87</w:t>
                  </w:r>
                </w:p>
              </w:tc>
              <w:tc>
                <w:tcPr>
                  <w:tcW w:w="492" w:type="pct"/>
                  <w:vAlign w:val="center"/>
                </w:tcPr>
                <w:p>
                  <w:pPr>
                    <w:spacing w:line="240" w:lineRule="auto"/>
                    <w:ind w:firstLine="0" w:firstLineChars="0"/>
                    <w:jc w:val="center"/>
                    <w:rPr>
                      <w:sz w:val="21"/>
                      <w:szCs w:val="21"/>
                    </w:rPr>
                  </w:pPr>
                  <w:r>
                    <w:rPr>
                      <w:rFonts w:hint="eastAsia"/>
                      <w:sz w:val="21"/>
                      <w:szCs w:val="21"/>
                    </w:rPr>
                    <w:t>0</w:t>
                  </w:r>
                </w:p>
              </w:tc>
              <w:tc>
                <w:tcPr>
                  <w:tcW w:w="555" w:type="pct"/>
                  <w:vAlign w:val="center"/>
                </w:tcPr>
                <w:p>
                  <w:pPr>
                    <w:spacing w:line="240" w:lineRule="auto"/>
                    <w:ind w:firstLine="0" w:firstLineChars="0"/>
                    <w:jc w:val="center"/>
                    <w:rPr>
                      <w:sz w:val="21"/>
                      <w:szCs w:val="21"/>
                    </w:rPr>
                  </w:pPr>
                  <w:r>
                    <w:rPr>
                      <w:rFonts w:hint="eastAsia"/>
                      <w:sz w:val="21"/>
                      <w:szCs w:val="21"/>
                    </w:rPr>
                    <w:t>0.19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125" w:type="pct"/>
                  <w:vAlign w:val="center"/>
                </w:tcPr>
                <w:p>
                  <w:pPr>
                    <w:spacing w:line="240" w:lineRule="auto"/>
                    <w:ind w:right="24" w:rightChars="10" w:firstLine="0" w:firstLineChars="0"/>
                    <w:jc w:val="center"/>
                    <w:rPr>
                      <w:sz w:val="21"/>
                      <w:szCs w:val="21"/>
                    </w:rPr>
                  </w:pPr>
                  <w:r>
                    <w:rPr>
                      <w:rFonts w:hint="eastAsia"/>
                      <w:sz w:val="21"/>
                      <w:szCs w:val="21"/>
                    </w:rPr>
                    <w:t>合计</w:t>
                  </w:r>
                </w:p>
              </w:tc>
              <w:tc>
                <w:tcPr>
                  <w:tcW w:w="561" w:type="pct"/>
                  <w:vAlign w:val="center"/>
                </w:tcPr>
                <w:p>
                  <w:pPr>
                    <w:spacing w:line="240" w:lineRule="auto"/>
                    <w:ind w:firstLine="0" w:firstLineChars="0"/>
                    <w:jc w:val="center"/>
                    <w:rPr>
                      <w:color w:val="000000"/>
                      <w:sz w:val="21"/>
                      <w:szCs w:val="21"/>
                    </w:rPr>
                  </w:pPr>
                  <w:r>
                    <w:rPr>
                      <w:color w:val="000000"/>
                      <w:sz w:val="21"/>
                      <w:szCs w:val="21"/>
                    </w:rPr>
                    <w:t>1357.05</w:t>
                  </w:r>
                </w:p>
              </w:tc>
              <w:tc>
                <w:tcPr>
                  <w:tcW w:w="593" w:type="pct"/>
                  <w:vAlign w:val="center"/>
                </w:tcPr>
                <w:p>
                  <w:pPr>
                    <w:spacing w:line="240" w:lineRule="auto"/>
                    <w:ind w:firstLine="0" w:firstLineChars="0"/>
                    <w:jc w:val="center"/>
                    <w:rPr>
                      <w:color w:val="000000"/>
                      <w:sz w:val="21"/>
                      <w:szCs w:val="21"/>
                    </w:rPr>
                  </w:pPr>
                  <w:r>
                    <w:rPr>
                      <w:color w:val="000000"/>
                      <w:sz w:val="21"/>
                      <w:szCs w:val="21"/>
                    </w:rPr>
                    <w:t>16.18</w:t>
                  </w:r>
                </w:p>
              </w:tc>
              <w:tc>
                <w:tcPr>
                  <w:tcW w:w="593" w:type="pct"/>
                  <w:vAlign w:val="center"/>
                </w:tcPr>
                <w:p>
                  <w:pPr>
                    <w:spacing w:line="240" w:lineRule="auto"/>
                    <w:ind w:firstLine="0" w:firstLineChars="0"/>
                    <w:jc w:val="center"/>
                    <w:rPr>
                      <w:color w:val="000000"/>
                      <w:sz w:val="21"/>
                      <w:szCs w:val="21"/>
                    </w:rPr>
                  </w:pPr>
                  <w:r>
                    <w:rPr>
                      <w:color w:val="000000"/>
                      <w:sz w:val="21"/>
                      <w:szCs w:val="21"/>
                    </w:rPr>
                    <w:t>0.87</w:t>
                  </w:r>
                </w:p>
              </w:tc>
              <w:tc>
                <w:tcPr>
                  <w:tcW w:w="569" w:type="pct"/>
                  <w:vAlign w:val="center"/>
                </w:tcPr>
                <w:p>
                  <w:pPr>
                    <w:spacing w:line="240" w:lineRule="auto"/>
                    <w:ind w:firstLine="0" w:firstLineChars="0"/>
                    <w:jc w:val="center"/>
                    <w:rPr>
                      <w:sz w:val="21"/>
                      <w:szCs w:val="21"/>
                    </w:rPr>
                  </w:pPr>
                  <w:r>
                    <w:rPr>
                      <w:rFonts w:hint="eastAsia"/>
                      <w:sz w:val="21"/>
                      <w:szCs w:val="21"/>
                    </w:rPr>
                    <w:t>1340</w:t>
                  </w:r>
                </w:p>
              </w:tc>
              <w:tc>
                <w:tcPr>
                  <w:tcW w:w="512" w:type="pct"/>
                  <w:vAlign w:val="center"/>
                </w:tcPr>
                <w:p>
                  <w:pPr>
                    <w:spacing w:line="240" w:lineRule="auto"/>
                    <w:ind w:firstLine="0" w:firstLineChars="0"/>
                    <w:jc w:val="center"/>
                    <w:rPr>
                      <w:sz w:val="21"/>
                      <w:szCs w:val="21"/>
                    </w:rPr>
                  </w:pPr>
                  <w:r>
                    <w:rPr>
                      <w:rFonts w:hint="eastAsia"/>
                      <w:sz w:val="21"/>
                      <w:szCs w:val="21"/>
                    </w:rPr>
                    <w:t>0.87</w:t>
                  </w:r>
                </w:p>
              </w:tc>
              <w:tc>
                <w:tcPr>
                  <w:tcW w:w="492" w:type="pct"/>
                  <w:vAlign w:val="center"/>
                </w:tcPr>
                <w:p>
                  <w:pPr>
                    <w:spacing w:line="240" w:lineRule="auto"/>
                    <w:ind w:firstLine="0" w:firstLineChars="0"/>
                    <w:jc w:val="center"/>
                    <w:rPr>
                      <w:sz w:val="21"/>
                      <w:szCs w:val="21"/>
                    </w:rPr>
                  </w:pPr>
                  <w:r>
                    <w:rPr>
                      <w:rFonts w:hint="eastAsia"/>
                      <w:sz w:val="21"/>
                      <w:szCs w:val="21"/>
                    </w:rPr>
                    <w:t>4.43</w:t>
                  </w:r>
                </w:p>
              </w:tc>
              <w:tc>
                <w:tcPr>
                  <w:tcW w:w="555" w:type="pct"/>
                  <w:vAlign w:val="center"/>
                </w:tcPr>
                <w:p>
                  <w:pPr>
                    <w:spacing w:line="240" w:lineRule="auto"/>
                    <w:ind w:firstLine="0" w:firstLineChars="0"/>
                    <w:jc w:val="center"/>
                    <w:rPr>
                      <w:sz w:val="21"/>
                      <w:szCs w:val="21"/>
                    </w:rPr>
                  </w:pPr>
                  <w:r>
                    <w:rPr>
                      <w:rFonts w:hint="eastAsia"/>
                      <w:sz w:val="21"/>
                      <w:szCs w:val="21"/>
                    </w:rPr>
                    <w:t>11.75</w:t>
                  </w:r>
                </w:p>
              </w:tc>
            </w:tr>
          </w:tbl>
          <w:p>
            <w:pPr>
              <w:ind w:left="24" w:leftChars="10" w:right="72" w:rightChars="30" w:firstLine="480"/>
              <w:jc w:val="left"/>
            </w:pPr>
          </w:p>
          <w:p>
            <w:pPr>
              <w:ind w:left="24" w:leftChars="10" w:right="72" w:rightChars="30" w:firstLine="480"/>
              <w:jc w:val="left"/>
            </w:pPr>
          </w:p>
          <w:p>
            <w:pPr>
              <w:ind w:left="24" w:leftChars="10" w:right="72" w:rightChars="30" w:firstLine="480"/>
              <w:jc w:val="left"/>
            </w:pPr>
          </w:p>
          <w:p>
            <w:pPr>
              <w:ind w:left="24" w:leftChars="10" w:right="72" w:rightChars="30" w:firstLine="480"/>
              <w:jc w:val="left"/>
            </w:pPr>
          </w:p>
          <w:p>
            <w:pPr>
              <w:ind w:left="24" w:leftChars="10" w:right="72" w:rightChars="30" w:firstLine="480"/>
              <w:jc w:val="left"/>
            </w:pPr>
          </w:p>
          <w:p>
            <w:pPr>
              <w:spacing w:line="240" w:lineRule="auto"/>
              <w:ind w:left="24" w:leftChars="10" w:right="24" w:rightChars="10" w:firstLine="0" w:firstLineChars="0"/>
              <w:jc w:val="center"/>
            </w:pPr>
            <w:r>
              <w:object>
                <v:shape id="_x0000_i1025" o:spt="75" type="#_x0000_t75" style="height:289.65pt;width:415.25pt;" o:ole="t" filled="f" o:preferrelative="t" stroked="f" coordsize="21600,21600">
                  <v:path/>
                  <v:fill on="f" focussize="0,0"/>
                  <v:stroke on="f"/>
                  <v:imagedata r:id="rId17" o:title=""/>
                  <o:lock v:ext="edit" aspectratio="t"/>
                  <w10:wrap type="none"/>
                  <w10:anchorlock/>
                </v:shape>
                <o:OLEObject Type="Embed" ProgID="Visio.Drawing.11" ShapeID="_x0000_i1025" DrawAspect="Content" ObjectID="_1468075725" r:id="rId16">
                  <o:LockedField>false</o:LockedField>
                </o:OLEObject>
              </w:object>
            </w:r>
          </w:p>
          <w:p>
            <w:pPr>
              <w:pStyle w:val="14"/>
            </w:pPr>
            <w:r>
              <w:rPr>
                <w:rFonts w:hint="eastAsia"/>
              </w:rPr>
              <w:t xml:space="preserve">图3   项目给排水平衡图   </w:t>
            </w:r>
            <w:r>
              <w:rPr>
                <w:rFonts w:hint="eastAsia"/>
                <w:sz w:val="21"/>
              </w:rPr>
              <w:t>单位：m</w:t>
            </w:r>
            <w:r>
              <w:rPr>
                <w:rFonts w:hint="eastAsia"/>
                <w:sz w:val="21"/>
                <w:vertAlign w:val="superscript"/>
              </w:rPr>
              <w:t>3</w:t>
            </w:r>
            <w:r>
              <w:rPr>
                <w:rFonts w:hint="eastAsia"/>
                <w:sz w:val="21"/>
              </w:rPr>
              <w:t>/d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310" w:type="pct"/>
            <w:vAlign w:val="center"/>
          </w:tcPr>
          <w:p>
            <w:pPr>
              <w:spacing w:line="400" w:lineRule="exact"/>
              <w:ind w:right="46" w:rightChars="19" w:firstLine="0" w:firstLineChars="0"/>
              <w:jc w:val="center"/>
            </w:pPr>
            <w:r>
              <w:rPr>
                <w:rFonts w:hint="eastAsia"/>
              </w:rPr>
              <w:t>工艺流程和产排污环节</w:t>
            </w:r>
          </w:p>
        </w:tc>
        <w:tc>
          <w:tcPr>
            <w:tcW w:w="4690" w:type="pct"/>
            <w:vAlign w:val="center"/>
          </w:tcPr>
          <w:p>
            <w:pPr>
              <w:ind w:left="24" w:leftChars="10" w:firstLine="0" w:firstLineChars="0"/>
              <w:jc w:val="left"/>
              <w:rPr>
                <w:b/>
              </w:rPr>
            </w:pPr>
            <w:r>
              <w:rPr>
                <w:rFonts w:hint="eastAsia"/>
                <w:b/>
              </w:rPr>
              <w:t>1、施工期工艺流程</w:t>
            </w:r>
          </w:p>
          <w:p>
            <w:pPr>
              <w:ind w:left="24" w:leftChars="10" w:right="24" w:rightChars="10" w:firstLine="480"/>
              <w:jc w:val="left"/>
            </w:pPr>
            <w:r>
              <w:rPr>
                <w:rFonts w:hint="eastAsia"/>
              </w:rPr>
              <w:t>本项目租赁现有房屋建设医院，施工期仅涉及装修和设备安装，无土建施工，因此不再对施工期进行分析。</w:t>
            </w:r>
          </w:p>
          <w:p>
            <w:pPr>
              <w:ind w:left="24" w:leftChars="10" w:right="24" w:rightChars="10" w:firstLine="0" w:firstLineChars="0"/>
              <w:jc w:val="left"/>
              <w:rPr>
                <w:b/>
              </w:rPr>
            </w:pPr>
            <w:r>
              <w:rPr>
                <w:rFonts w:hint="eastAsia"/>
                <w:b/>
              </w:rPr>
              <w:t>2、运营期工艺流程</w:t>
            </w:r>
          </w:p>
          <w:p>
            <w:pPr>
              <w:ind w:left="48" w:leftChars="20" w:right="48" w:rightChars="20" w:firstLine="480"/>
              <w:jc w:val="left"/>
            </w:pPr>
            <w:r>
              <w:rPr>
                <w:rFonts w:hint="eastAsia"/>
              </w:rPr>
              <w:t>本项目为服务行业，无生产过程，主要流程为：</w:t>
            </w:r>
          </w:p>
          <w:p>
            <w:pPr>
              <w:ind w:left="48" w:leftChars="20" w:right="48" w:rightChars="20" w:firstLine="480"/>
              <w:jc w:val="left"/>
            </w:pPr>
            <w:r>
              <w:rPr>
                <w:rFonts w:hint="eastAsia"/>
              </w:rPr>
              <w:t>（1）就诊流程</w:t>
            </w:r>
          </w:p>
          <w:p>
            <w:pPr>
              <w:ind w:left="48" w:leftChars="20" w:right="48" w:rightChars="20" w:firstLine="480"/>
              <w:jc w:val="left"/>
            </w:pPr>
            <w:r>
              <w:rPr>
                <w:rFonts w:hint="eastAsia"/>
              </w:rPr>
              <w:t>患者进入医院后，首先进行门诊预检分诊。</w:t>
            </w:r>
          </w:p>
          <w:p>
            <w:pPr>
              <w:ind w:left="48" w:leftChars="20" w:right="48" w:rightChars="20" w:firstLine="480"/>
              <w:jc w:val="left"/>
            </w:pPr>
            <w:r>
              <w:rPr>
                <w:rFonts w:hint="eastAsia"/>
              </w:rPr>
              <w:t>病人门诊挂号后，按所挂科室进入门诊进行诊疗。医务人员根据病人病情，确定需要检查的项目，例如血常规、尿常规、便常规、心电图、超声、DR等以及其他功能性检查、化验。</w:t>
            </w:r>
          </w:p>
          <w:p>
            <w:pPr>
              <w:ind w:left="48" w:leftChars="20" w:right="48" w:rightChars="20" w:firstLine="480"/>
              <w:jc w:val="left"/>
            </w:pPr>
            <w:r>
              <w:rPr>
                <w:rFonts w:hint="eastAsia"/>
              </w:rPr>
              <w:t>病人完成相应检查后，由医务人员确定是否需要住院，如不需要住院，则购买治疗药物后离开医院。如需住院，则转入住院部继续进行治疗，根据住院病人病情的变化，进行相应的检查、化验等，直至康复出院。</w:t>
            </w:r>
          </w:p>
          <w:p>
            <w:pPr>
              <w:ind w:left="48" w:leftChars="20" w:right="48" w:rightChars="20" w:firstLine="482"/>
              <w:jc w:val="left"/>
            </w:pPr>
            <w:r>
              <w:rPr>
                <w:rFonts w:hint="eastAsia"/>
                <w:b/>
              </w:rPr>
              <w:t>此过程产生：</w:t>
            </w:r>
            <w:r>
              <w:rPr>
                <w:rFonts w:hint="eastAsia"/>
              </w:rPr>
              <w:t>门诊废水（W1），住院患者生活污水（W2），医院职工生活污水（W3），各生活污水均排入本项目化粪池+污水处理系统处理；患者和医院职工产生的生活垃圾（S1），诊疗过程产生医疗废物（S2）。</w:t>
            </w:r>
          </w:p>
          <w:p>
            <w:pPr>
              <w:ind w:left="48" w:leftChars="20" w:right="48" w:rightChars="20" w:firstLine="480"/>
              <w:jc w:val="left"/>
            </w:pPr>
            <w:r>
              <w:rPr>
                <w:rFonts w:hint="eastAsia"/>
              </w:rPr>
              <w:t>（2）检验科</w:t>
            </w:r>
          </w:p>
          <w:p>
            <w:pPr>
              <w:ind w:left="48" w:leftChars="20" w:right="48" w:rightChars="20" w:firstLine="480"/>
              <w:jc w:val="left"/>
            </w:pPr>
            <w:r>
              <w:rPr>
                <w:rFonts w:hint="eastAsia"/>
              </w:rPr>
              <w:t>标本接收后，根据化验、检验项目，送至相应仪器进行分析化验，医院使用全自动生化分析仪、血常规检测仪等设备进行检验，化验过程中使用外购的成品试剂盒，直接将试剂盒放入仪器检验，不配置试验药剂，不使用挥发性有机溶剂，检验完毕后检验废液连同试剂盒一起作为医疗废物处理。试剂盒中的药剂不会进入废水，因此，实验检验废水中不含重金属、氰化物等。</w:t>
            </w:r>
          </w:p>
          <w:p>
            <w:pPr>
              <w:ind w:left="48" w:leftChars="20" w:right="48" w:rightChars="20" w:firstLine="482"/>
              <w:jc w:val="left"/>
            </w:pPr>
            <w:r>
              <w:rPr>
                <w:rFonts w:hint="eastAsia"/>
                <w:b/>
              </w:rPr>
              <w:t>此过程产生：</w:t>
            </w:r>
            <w:r>
              <w:rPr>
                <w:rFonts w:hint="eastAsia"/>
              </w:rPr>
              <w:t>检验/化验/实验设备清洗废水（W4），医疗废物（S3）。</w:t>
            </w:r>
          </w:p>
          <w:p>
            <w:pPr>
              <w:ind w:left="48" w:leftChars="20" w:right="48" w:rightChars="20" w:firstLine="480"/>
              <w:jc w:val="left"/>
            </w:pPr>
            <w:r>
              <w:rPr>
                <w:rFonts w:hint="eastAsia"/>
              </w:rPr>
              <w:t>（3）放射科</w:t>
            </w:r>
          </w:p>
          <w:p>
            <w:pPr>
              <w:ind w:left="48" w:leftChars="20" w:right="48" w:rightChars="20" w:firstLine="480"/>
              <w:jc w:val="left"/>
            </w:pPr>
            <w:r>
              <w:rPr>
                <w:rFonts w:hint="eastAsia"/>
              </w:rPr>
              <w:t>放射科胶片采用干片成像，无需定影液及显影液，因此不产生洗印废水。放射科内治疗和诊断使用同位素，会产生放射性污水。由于本次不针对放射性部分进行评价，因此不再对废水中放射性因子进行评价。</w:t>
            </w:r>
          </w:p>
          <w:p>
            <w:pPr>
              <w:ind w:left="48" w:leftChars="20" w:right="48" w:rightChars="20" w:firstLine="480"/>
              <w:jc w:val="left"/>
            </w:pPr>
            <w:r>
              <w:rPr>
                <w:rFonts w:hint="eastAsia"/>
              </w:rPr>
              <w:t>（4）煎药室</w:t>
            </w:r>
          </w:p>
          <w:p>
            <w:pPr>
              <w:ind w:left="48" w:leftChars="20" w:right="48" w:rightChars="20" w:firstLine="480"/>
              <w:jc w:val="left"/>
            </w:pPr>
            <w:r>
              <w:rPr>
                <w:rFonts w:hint="eastAsia"/>
              </w:rPr>
              <w:t>煎药室根据患者药方抓药进行煎煮。</w:t>
            </w:r>
          </w:p>
          <w:p>
            <w:pPr>
              <w:ind w:left="48" w:leftChars="20" w:right="48" w:rightChars="20" w:firstLine="482"/>
              <w:jc w:val="left"/>
            </w:pPr>
            <w:r>
              <w:rPr>
                <w:rFonts w:hint="eastAsia"/>
                <w:b/>
              </w:rPr>
              <w:t>此过程产生：</w:t>
            </w:r>
            <w:r>
              <w:rPr>
                <w:rFonts w:hint="eastAsia"/>
              </w:rPr>
              <w:t>煎药废气（G1），煎药设备清洗废水（W5），煎药后产生的中药残渣（S4）。</w:t>
            </w:r>
          </w:p>
          <w:p>
            <w:pPr>
              <w:ind w:left="48" w:leftChars="20" w:right="48" w:rightChars="20" w:firstLine="480"/>
              <w:jc w:val="left"/>
            </w:pPr>
            <w:r>
              <w:rPr>
                <w:rFonts w:hint="eastAsia"/>
              </w:rPr>
              <w:t>（5）其他</w:t>
            </w:r>
          </w:p>
          <w:p>
            <w:pPr>
              <w:ind w:left="48" w:leftChars="20" w:right="48" w:rightChars="20" w:firstLine="480"/>
              <w:jc w:val="left"/>
            </w:pPr>
            <w:r>
              <w:rPr>
                <w:rFonts w:hint="eastAsia"/>
              </w:rPr>
              <w:t>空调系统排水（W6），医疗器材、药品等产生各种废塑料容器、废纸箱等包装物（S5），</w:t>
            </w:r>
            <w:r>
              <w:t>纯水制备装置</w:t>
            </w:r>
            <w:r>
              <w:rPr>
                <w:rFonts w:hint="eastAsia"/>
              </w:rPr>
              <w:t>产生</w:t>
            </w:r>
            <w:r>
              <w:t>定期更换的</w:t>
            </w:r>
            <w:r>
              <w:rPr>
                <w:rFonts w:hint="eastAsia"/>
              </w:rPr>
              <w:t>离子交换树脂（S6），空调冷却塔及泵类产生运行噪声（N1）、污水泵类产生运行噪声（N2）、废气处理系统产生的噪声（N3）。</w:t>
            </w:r>
          </w:p>
          <w:p>
            <w:pPr>
              <w:ind w:left="48" w:leftChars="20" w:right="48" w:rightChars="20" w:firstLine="480"/>
              <w:jc w:val="left"/>
            </w:pPr>
          </w:p>
          <w:p>
            <w:pPr>
              <w:ind w:left="48" w:leftChars="20" w:right="48" w:rightChars="20" w:firstLine="480"/>
              <w:jc w:val="left"/>
            </w:pPr>
          </w:p>
          <w:p>
            <w:pPr>
              <w:ind w:left="48" w:leftChars="20" w:right="48" w:rightChars="20" w:firstLine="480"/>
              <w:jc w:val="left"/>
            </w:pPr>
          </w:p>
          <w:p>
            <w:pPr>
              <w:ind w:left="48" w:leftChars="20" w:right="48" w:rightChars="20" w:firstLine="480"/>
              <w:jc w:val="left"/>
            </w:pPr>
          </w:p>
          <w:p>
            <w:pPr>
              <w:ind w:left="48" w:leftChars="20" w:right="48" w:rightChars="20" w:firstLine="480"/>
              <w:jc w:val="left"/>
            </w:pPr>
          </w:p>
          <w:p>
            <w:pPr>
              <w:spacing w:line="240" w:lineRule="auto"/>
              <w:ind w:left="48" w:leftChars="20" w:right="48" w:rightChars="20" w:firstLine="0" w:firstLineChars="0"/>
              <w:jc w:val="center"/>
            </w:pPr>
            <w:r>
              <w:object>
                <v:shape id="_x0000_i1026" o:spt="75" type="#_x0000_t75" style="height:241.95pt;width:432pt;" o:ole="t" filled="f" o:preferrelative="t" stroked="f" coordsize="21600,21600">
                  <v:path/>
                  <v:fill on="f" focussize="0,0"/>
                  <v:stroke on="f"/>
                  <v:imagedata r:id="rId19" o:title=""/>
                  <o:lock v:ext="edit" aspectratio="t"/>
                  <w10:wrap type="none"/>
                  <w10:anchorlock/>
                </v:shape>
                <o:OLEObject Type="Embed" ProgID="Visio.Drawing.11" ShapeID="_x0000_i1026" DrawAspect="Content" ObjectID="_1468075726" r:id="rId18">
                  <o:LockedField>false</o:LockedField>
                </o:OLEObject>
              </w:object>
            </w:r>
          </w:p>
          <w:p>
            <w:pPr>
              <w:pStyle w:val="14"/>
            </w:pPr>
            <w:r>
              <w:rPr>
                <w:rFonts w:hint="eastAsia"/>
              </w:rPr>
              <w:t>图4   医院诊疗流程及排污节点图</w:t>
            </w:r>
          </w:p>
          <w:p>
            <w:pPr>
              <w:ind w:left="24" w:leftChars="10" w:firstLine="0" w:firstLineChars="0"/>
              <w:jc w:val="left"/>
              <w:rPr>
                <w:b/>
              </w:rPr>
            </w:pPr>
            <w:r>
              <w:rPr>
                <w:rFonts w:hint="eastAsia"/>
                <w:b/>
              </w:rPr>
              <w:t>3、主要污染工序及污染物</w:t>
            </w:r>
          </w:p>
          <w:p>
            <w:pPr>
              <w:ind w:left="48" w:leftChars="20" w:right="48" w:rightChars="20" w:firstLine="480"/>
              <w:jc w:val="left"/>
            </w:pPr>
            <w:r>
              <w:rPr>
                <w:rFonts w:hint="eastAsia"/>
              </w:rPr>
              <w:t>根据上述工艺分析，本项目产污环节见下表。</w:t>
            </w:r>
          </w:p>
          <w:p>
            <w:pPr>
              <w:pStyle w:val="14"/>
            </w:pPr>
            <w:r>
              <w:t>表1</w:t>
            </w:r>
            <w:r>
              <w:rPr>
                <w:rFonts w:hint="eastAsia"/>
              </w:rPr>
              <w:t>1</w:t>
            </w:r>
            <w:r>
              <w:t xml:space="preserve">   </w:t>
            </w:r>
            <w:r>
              <w:rPr>
                <w:rFonts w:hint="eastAsia"/>
              </w:rPr>
              <w:t>本试验室</w:t>
            </w:r>
            <w:r>
              <w:t>产污环节一览表</w:t>
            </w:r>
          </w:p>
          <w:tbl>
            <w:tblPr>
              <w:tblStyle w:val="16"/>
              <w:tblW w:w="494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571"/>
              <w:gridCol w:w="659"/>
              <w:gridCol w:w="993"/>
              <w:gridCol w:w="1130"/>
              <w:gridCol w:w="2269"/>
              <w:gridCol w:w="568"/>
              <w:gridCol w:w="259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325" w:type="pct"/>
                  <w:shd w:val="clear" w:color="auto" w:fill="auto"/>
                  <w:vAlign w:val="center"/>
                </w:tcPr>
                <w:p>
                  <w:pPr>
                    <w:pStyle w:val="6"/>
                    <w:ind w:firstLine="0" w:firstLineChars="0"/>
                    <w:jc w:val="center"/>
                    <w:rPr>
                      <w:szCs w:val="21"/>
                      <w:lang w:val="en-US" w:eastAsia="zh-CN"/>
                    </w:rPr>
                  </w:pPr>
                  <w:r>
                    <w:rPr>
                      <w:szCs w:val="21"/>
                      <w:lang w:val="en-US" w:eastAsia="zh-CN"/>
                    </w:rPr>
                    <w:t>类</w:t>
                  </w:r>
                  <w:r>
                    <w:rPr>
                      <w:rFonts w:hint="eastAsia"/>
                      <w:szCs w:val="21"/>
                      <w:lang w:val="en-US" w:eastAsia="zh-CN"/>
                    </w:rPr>
                    <w:t>别</w:t>
                  </w:r>
                </w:p>
              </w:tc>
              <w:tc>
                <w:tcPr>
                  <w:tcW w:w="375" w:type="pct"/>
                  <w:shd w:val="clear" w:color="auto" w:fill="auto"/>
                  <w:vAlign w:val="center"/>
                </w:tcPr>
                <w:p>
                  <w:pPr>
                    <w:pStyle w:val="6"/>
                    <w:ind w:firstLine="0" w:firstLineChars="0"/>
                    <w:jc w:val="center"/>
                    <w:rPr>
                      <w:szCs w:val="21"/>
                      <w:lang w:val="en-US" w:eastAsia="zh-CN"/>
                    </w:rPr>
                  </w:pPr>
                  <w:r>
                    <w:rPr>
                      <w:szCs w:val="21"/>
                      <w:lang w:val="en-US" w:eastAsia="zh-CN"/>
                    </w:rPr>
                    <w:t>节点</w:t>
                  </w:r>
                </w:p>
              </w:tc>
              <w:tc>
                <w:tcPr>
                  <w:tcW w:w="1208" w:type="pct"/>
                  <w:gridSpan w:val="2"/>
                  <w:shd w:val="clear" w:color="auto" w:fill="auto"/>
                  <w:vAlign w:val="center"/>
                </w:tcPr>
                <w:p>
                  <w:pPr>
                    <w:pStyle w:val="6"/>
                    <w:ind w:firstLine="0" w:firstLineChars="0"/>
                    <w:jc w:val="center"/>
                    <w:rPr>
                      <w:szCs w:val="21"/>
                      <w:lang w:val="en-US" w:eastAsia="zh-CN"/>
                    </w:rPr>
                  </w:pPr>
                  <w:r>
                    <w:rPr>
                      <w:szCs w:val="21"/>
                      <w:lang w:val="en-US" w:eastAsia="zh-CN"/>
                    </w:rPr>
                    <w:t>排污</w:t>
                  </w:r>
                  <w:r>
                    <w:rPr>
                      <w:rFonts w:hint="eastAsia"/>
                      <w:szCs w:val="21"/>
                      <w:lang w:val="en-US" w:eastAsia="zh-CN"/>
                    </w:rPr>
                    <w:t>环节</w:t>
                  </w:r>
                </w:p>
              </w:tc>
              <w:tc>
                <w:tcPr>
                  <w:tcW w:w="1291" w:type="pct"/>
                  <w:shd w:val="clear" w:color="auto" w:fill="auto"/>
                  <w:vAlign w:val="center"/>
                </w:tcPr>
                <w:p>
                  <w:pPr>
                    <w:pStyle w:val="6"/>
                    <w:ind w:firstLine="0" w:firstLineChars="0"/>
                    <w:jc w:val="center"/>
                    <w:rPr>
                      <w:szCs w:val="21"/>
                      <w:lang w:val="en-US" w:eastAsia="zh-CN"/>
                    </w:rPr>
                  </w:pPr>
                  <w:r>
                    <w:rPr>
                      <w:rFonts w:hint="eastAsia"/>
                      <w:szCs w:val="21"/>
                      <w:lang w:val="en-US" w:eastAsia="zh-CN"/>
                    </w:rPr>
                    <w:t>主要</w:t>
                  </w:r>
                  <w:r>
                    <w:rPr>
                      <w:szCs w:val="21"/>
                      <w:lang w:val="en-US" w:eastAsia="zh-CN"/>
                    </w:rPr>
                    <w:t>污染物</w:t>
                  </w:r>
                </w:p>
              </w:tc>
              <w:tc>
                <w:tcPr>
                  <w:tcW w:w="323" w:type="pct"/>
                  <w:shd w:val="clear" w:color="auto" w:fill="auto"/>
                  <w:vAlign w:val="center"/>
                </w:tcPr>
                <w:p>
                  <w:pPr>
                    <w:pStyle w:val="6"/>
                    <w:ind w:firstLine="0" w:firstLineChars="0"/>
                    <w:jc w:val="center"/>
                    <w:rPr>
                      <w:szCs w:val="21"/>
                      <w:lang w:val="en-US" w:eastAsia="zh-CN"/>
                    </w:rPr>
                  </w:pPr>
                  <w:r>
                    <w:rPr>
                      <w:szCs w:val="21"/>
                      <w:lang w:val="en-US" w:eastAsia="zh-CN"/>
                    </w:rPr>
                    <w:t>排放规律</w:t>
                  </w:r>
                </w:p>
              </w:tc>
              <w:tc>
                <w:tcPr>
                  <w:tcW w:w="1478" w:type="pct"/>
                  <w:shd w:val="clear" w:color="auto" w:fill="auto"/>
                  <w:vAlign w:val="center"/>
                </w:tcPr>
                <w:p>
                  <w:pPr>
                    <w:pStyle w:val="6"/>
                    <w:ind w:firstLine="0" w:firstLineChars="0"/>
                    <w:jc w:val="center"/>
                    <w:rPr>
                      <w:szCs w:val="21"/>
                      <w:lang w:val="en-US" w:eastAsia="zh-CN"/>
                    </w:rPr>
                  </w:pPr>
                  <w:r>
                    <w:rPr>
                      <w:szCs w:val="21"/>
                      <w:lang w:val="en-US" w:eastAsia="zh-CN"/>
                    </w:rPr>
                    <w:t>处理</w:t>
                  </w:r>
                  <w:r>
                    <w:rPr>
                      <w:rFonts w:hint="eastAsia"/>
                      <w:szCs w:val="21"/>
                      <w:lang w:val="en-US" w:eastAsia="zh-CN"/>
                    </w:rPr>
                    <w:t>措施</w:t>
                  </w:r>
                  <w:r>
                    <w:rPr>
                      <w:szCs w:val="21"/>
                      <w:lang w:val="en-US" w:eastAsia="zh-CN"/>
                    </w:rPr>
                    <w:t>及去向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325" w:type="pct"/>
                  <w:vMerge w:val="restart"/>
                  <w:shd w:val="clear" w:color="auto" w:fill="auto"/>
                  <w:vAlign w:val="center"/>
                </w:tcPr>
                <w:p>
                  <w:pPr>
                    <w:pStyle w:val="6"/>
                    <w:ind w:firstLine="0" w:firstLineChars="0"/>
                    <w:jc w:val="center"/>
                    <w:rPr>
                      <w:szCs w:val="21"/>
                      <w:lang w:val="en-US" w:eastAsia="zh-CN"/>
                    </w:rPr>
                  </w:pPr>
                  <w:r>
                    <w:rPr>
                      <w:szCs w:val="21"/>
                      <w:lang w:val="en-US" w:eastAsia="zh-CN"/>
                    </w:rPr>
                    <w:t>废气</w:t>
                  </w:r>
                </w:p>
              </w:tc>
              <w:tc>
                <w:tcPr>
                  <w:tcW w:w="375" w:type="pct"/>
                  <w:shd w:val="clear" w:color="auto" w:fill="auto"/>
                  <w:vAlign w:val="center"/>
                </w:tcPr>
                <w:p>
                  <w:pPr>
                    <w:pStyle w:val="6"/>
                    <w:ind w:firstLine="0" w:firstLineChars="0"/>
                    <w:jc w:val="center"/>
                    <w:rPr>
                      <w:szCs w:val="21"/>
                      <w:lang w:val="en-US" w:eastAsia="zh-CN"/>
                    </w:rPr>
                  </w:pPr>
                  <w:r>
                    <w:rPr>
                      <w:rFonts w:hint="eastAsia"/>
                      <w:szCs w:val="21"/>
                      <w:lang w:val="en-US" w:eastAsia="zh-CN"/>
                    </w:rPr>
                    <w:t>G1</w:t>
                  </w:r>
                </w:p>
              </w:tc>
              <w:tc>
                <w:tcPr>
                  <w:tcW w:w="565" w:type="pct"/>
                  <w:shd w:val="clear" w:color="auto" w:fill="auto"/>
                  <w:vAlign w:val="center"/>
                </w:tcPr>
                <w:p>
                  <w:pPr>
                    <w:pStyle w:val="6"/>
                    <w:ind w:firstLine="0" w:firstLineChars="0"/>
                    <w:jc w:val="center"/>
                    <w:rPr>
                      <w:szCs w:val="21"/>
                      <w:lang w:eastAsia="zh-CN"/>
                    </w:rPr>
                  </w:pPr>
                  <w:r>
                    <w:rPr>
                      <w:rFonts w:hint="eastAsia"/>
                      <w:szCs w:val="21"/>
                      <w:lang w:eastAsia="zh-CN"/>
                    </w:rPr>
                    <w:t>煎药室</w:t>
                  </w:r>
                </w:p>
              </w:tc>
              <w:tc>
                <w:tcPr>
                  <w:tcW w:w="643" w:type="pct"/>
                  <w:shd w:val="clear" w:color="auto" w:fill="auto"/>
                  <w:vAlign w:val="center"/>
                </w:tcPr>
                <w:p>
                  <w:pPr>
                    <w:pStyle w:val="6"/>
                    <w:ind w:firstLine="0" w:firstLineChars="0"/>
                    <w:jc w:val="center"/>
                    <w:rPr>
                      <w:szCs w:val="21"/>
                      <w:lang w:eastAsia="zh-CN"/>
                    </w:rPr>
                  </w:pPr>
                  <w:r>
                    <w:rPr>
                      <w:rFonts w:hint="eastAsia"/>
                      <w:szCs w:val="21"/>
                      <w:lang w:eastAsia="zh-CN"/>
                    </w:rPr>
                    <w:t>煎药废气</w:t>
                  </w:r>
                </w:p>
              </w:tc>
              <w:tc>
                <w:tcPr>
                  <w:tcW w:w="1291" w:type="pct"/>
                  <w:shd w:val="clear" w:color="auto" w:fill="auto"/>
                  <w:vAlign w:val="center"/>
                </w:tcPr>
                <w:p>
                  <w:pPr>
                    <w:pStyle w:val="6"/>
                    <w:ind w:firstLine="0" w:firstLineChars="0"/>
                    <w:jc w:val="center"/>
                    <w:rPr>
                      <w:szCs w:val="21"/>
                      <w:lang w:val="en-US" w:eastAsia="zh-CN"/>
                    </w:rPr>
                  </w:pPr>
                  <w:r>
                    <w:rPr>
                      <w:rFonts w:hint="eastAsia"/>
                      <w:szCs w:val="21"/>
                      <w:lang w:val="en-US" w:eastAsia="zh-CN"/>
                    </w:rPr>
                    <w:t>臭气浓度</w:t>
                  </w:r>
                </w:p>
              </w:tc>
              <w:tc>
                <w:tcPr>
                  <w:tcW w:w="323" w:type="pct"/>
                  <w:shd w:val="clear" w:color="auto" w:fill="auto"/>
                  <w:vAlign w:val="center"/>
                </w:tcPr>
                <w:p>
                  <w:pPr>
                    <w:pStyle w:val="6"/>
                    <w:ind w:firstLine="0" w:firstLineChars="0"/>
                    <w:jc w:val="center"/>
                    <w:rPr>
                      <w:szCs w:val="21"/>
                      <w:lang w:val="en-US" w:eastAsia="zh-CN"/>
                    </w:rPr>
                  </w:pPr>
                  <w:r>
                    <w:rPr>
                      <w:rFonts w:hint="eastAsia"/>
                      <w:szCs w:val="21"/>
                      <w:lang w:val="en-US" w:eastAsia="zh-CN"/>
                    </w:rPr>
                    <w:t>连续</w:t>
                  </w:r>
                </w:p>
              </w:tc>
              <w:tc>
                <w:tcPr>
                  <w:tcW w:w="1478" w:type="pct"/>
                  <w:shd w:val="clear" w:color="auto" w:fill="auto"/>
                  <w:vAlign w:val="center"/>
                </w:tcPr>
                <w:p>
                  <w:pPr>
                    <w:pStyle w:val="6"/>
                    <w:ind w:firstLine="0" w:firstLineChars="0"/>
                    <w:jc w:val="left"/>
                    <w:rPr>
                      <w:szCs w:val="21"/>
                      <w:lang w:val="en-US" w:eastAsia="zh-CN"/>
                    </w:rPr>
                  </w:pPr>
                  <w:r>
                    <w:rPr>
                      <w:snapToGrid w:val="0"/>
                      <w:szCs w:val="21"/>
                    </w:rPr>
                    <w:t>废气</w:t>
                  </w:r>
                  <w:r>
                    <w:rPr>
                      <w:rFonts w:hint="eastAsia"/>
                      <w:snapToGrid w:val="0"/>
                      <w:szCs w:val="21"/>
                    </w:rPr>
                    <w:t>由</w:t>
                  </w:r>
                  <w:r>
                    <w:rPr>
                      <w:rFonts w:hint="eastAsia"/>
                      <w:snapToGrid w:val="0"/>
                      <w:szCs w:val="21"/>
                      <w:lang w:eastAsia="zh-CN"/>
                    </w:rPr>
                    <w:t>集气罩收集后</w:t>
                  </w:r>
                  <w:r>
                    <w:rPr>
                      <w:snapToGrid w:val="0"/>
                      <w:szCs w:val="21"/>
                    </w:rPr>
                    <w:t>经管道引至</w:t>
                  </w:r>
                  <w:r>
                    <w:rPr>
                      <w:rFonts w:hint="eastAsia"/>
                      <w:snapToGrid w:val="0"/>
                      <w:szCs w:val="21"/>
                      <w:lang w:eastAsia="zh-CN"/>
                    </w:rPr>
                    <w:t>1</w:t>
                  </w:r>
                  <w:r>
                    <w:rPr>
                      <w:rFonts w:hint="eastAsia"/>
                      <w:snapToGrid w:val="0"/>
                      <w:szCs w:val="21"/>
                    </w:rPr>
                    <w:t>套</w:t>
                  </w:r>
                  <w:r>
                    <w:rPr>
                      <w:snapToGrid w:val="0"/>
                      <w:szCs w:val="21"/>
                    </w:rPr>
                    <w:t>两级活性炭吸附装置</w:t>
                  </w:r>
                  <w:r>
                    <w:rPr>
                      <w:rFonts w:hint="eastAsia"/>
                      <w:snapToGrid w:val="0"/>
                      <w:szCs w:val="21"/>
                      <w:lang w:eastAsia="zh-CN"/>
                    </w:rPr>
                    <w:t>+ 15m</w:t>
                  </w:r>
                  <w:r>
                    <w:rPr>
                      <w:snapToGrid w:val="0"/>
                      <w:szCs w:val="21"/>
                    </w:rPr>
                    <w:t>排气筒</w:t>
                  </w:r>
                  <w:r>
                    <w:rPr>
                      <w:rFonts w:hint="eastAsia"/>
                      <w:snapToGrid w:val="0"/>
                      <w:szCs w:val="21"/>
                      <w:lang w:eastAsia="zh-CN"/>
                    </w:rPr>
                    <w:t>处理</w:t>
                  </w:r>
                  <w:r>
                    <w:rPr>
                      <w:rFonts w:hint="eastAsia"/>
                      <w:snapToGrid w:val="0"/>
                      <w:szCs w:val="21"/>
                    </w:rPr>
                    <w:t>排放</w:t>
                  </w:r>
                  <w:r>
                    <w:rPr>
                      <w:rFonts w:hint="eastAsia"/>
                      <w:snapToGrid w:val="0"/>
                      <w:szCs w:val="21"/>
                      <w:lang w:eastAsia="zh-CN"/>
                    </w:rPr>
                    <w:t>（DA001）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325" w:type="pct"/>
                  <w:vMerge w:val="continue"/>
                  <w:shd w:val="clear" w:color="auto" w:fill="auto"/>
                  <w:vAlign w:val="center"/>
                </w:tcPr>
                <w:p>
                  <w:pPr>
                    <w:pStyle w:val="6"/>
                    <w:ind w:firstLine="0" w:firstLineChars="0"/>
                    <w:jc w:val="center"/>
                    <w:rPr>
                      <w:szCs w:val="21"/>
                      <w:lang w:val="en-US" w:eastAsia="zh-CN"/>
                    </w:rPr>
                  </w:pPr>
                </w:p>
              </w:tc>
              <w:tc>
                <w:tcPr>
                  <w:tcW w:w="375" w:type="pct"/>
                  <w:shd w:val="clear" w:color="auto" w:fill="auto"/>
                  <w:vAlign w:val="center"/>
                </w:tcPr>
                <w:p>
                  <w:pPr>
                    <w:pStyle w:val="6"/>
                    <w:ind w:firstLine="0" w:firstLineChars="0"/>
                    <w:jc w:val="center"/>
                    <w:rPr>
                      <w:szCs w:val="21"/>
                      <w:lang w:val="en-US" w:eastAsia="zh-CN"/>
                    </w:rPr>
                  </w:pPr>
                  <w:r>
                    <w:rPr>
                      <w:rFonts w:hint="eastAsia"/>
                      <w:szCs w:val="21"/>
                      <w:lang w:val="en-US" w:eastAsia="zh-CN"/>
                    </w:rPr>
                    <w:t>G2</w:t>
                  </w:r>
                </w:p>
              </w:tc>
              <w:tc>
                <w:tcPr>
                  <w:tcW w:w="565" w:type="pct"/>
                  <w:shd w:val="clear" w:color="auto" w:fill="auto"/>
                  <w:vAlign w:val="center"/>
                </w:tcPr>
                <w:p>
                  <w:pPr>
                    <w:pStyle w:val="6"/>
                    <w:ind w:firstLine="0" w:firstLineChars="0"/>
                    <w:jc w:val="center"/>
                    <w:rPr>
                      <w:szCs w:val="21"/>
                      <w:lang w:eastAsia="zh-CN"/>
                    </w:rPr>
                  </w:pPr>
                  <w:r>
                    <w:rPr>
                      <w:rFonts w:hint="eastAsia"/>
                      <w:szCs w:val="21"/>
                      <w:lang w:eastAsia="zh-CN"/>
                    </w:rPr>
                    <w:t>污水处理间</w:t>
                  </w:r>
                </w:p>
              </w:tc>
              <w:tc>
                <w:tcPr>
                  <w:tcW w:w="643" w:type="pct"/>
                  <w:shd w:val="clear" w:color="auto" w:fill="auto"/>
                  <w:vAlign w:val="center"/>
                </w:tcPr>
                <w:p>
                  <w:pPr>
                    <w:pStyle w:val="6"/>
                    <w:ind w:firstLine="0" w:firstLineChars="0"/>
                    <w:jc w:val="center"/>
                    <w:rPr>
                      <w:szCs w:val="21"/>
                      <w:lang w:eastAsia="zh-CN"/>
                    </w:rPr>
                  </w:pPr>
                  <w:r>
                    <w:rPr>
                      <w:rFonts w:hint="eastAsia"/>
                      <w:szCs w:val="21"/>
                      <w:lang w:eastAsia="zh-CN"/>
                    </w:rPr>
                    <w:t>污水处理</w:t>
                  </w:r>
                </w:p>
              </w:tc>
              <w:tc>
                <w:tcPr>
                  <w:tcW w:w="1291" w:type="pct"/>
                  <w:shd w:val="clear" w:color="auto" w:fill="auto"/>
                  <w:vAlign w:val="center"/>
                </w:tcPr>
                <w:p>
                  <w:pPr>
                    <w:pStyle w:val="6"/>
                    <w:ind w:firstLine="0" w:firstLineChars="0"/>
                    <w:jc w:val="center"/>
                    <w:rPr>
                      <w:szCs w:val="21"/>
                      <w:lang w:eastAsia="zh-CN"/>
                    </w:rPr>
                  </w:pPr>
                  <w:r>
                    <w:rPr>
                      <w:rFonts w:hint="eastAsia"/>
                      <w:szCs w:val="21"/>
                      <w:lang w:eastAsia="zh-CN"/>
                    </w:rPr>
                    <w:t>氨、硫化氢、</w:t>
                  </w:r>
                  <w:r>
                    <w:rPr>
                      <w:rFonts w:hint="eastAsia"/>
                      <w:szCs w:val="21"/>
                      <w:lang w:val="en-US" w:eastAsia="zh-CN"/>
                    </w:rPr>
                    <w:t>臭气浓度</w:t>
                  </w:r>
                </w:p>
              </w:tc>
              <w:tc>
                <w:tcPr>
                  <w:tcW w:w="323" w:type="pct"/>
                  <w:shd w:val="clear" w:color="auto" w:fill="auto"/>
                  <w:vAlign w:val="center"/>
                </w:tcPr>
                <w:p>
                  <w:pPr>
                    <w:pStyle w:val="6"/>
                    <w:ind w:firstLine="0" w:firstLineChars="0"/>
                    <w:jc w:val="center"/>
                    <w:rPr>
                      <w:szCs w:val="21"/>
                      <w:lang w:val="en-US" w:eastAsia="zh-CN"/>
                    </w:rPr>
                  </w:pPr>
                  <w:r>
                    <w:rPr>
                      <w:rFonts w:hint="eastAsia"/>
                      <w:szCs w:val="21"/>
                      <w:lang w:val="en-US" w:eastAsia="zh-CN"/>
                    </w:rPr>
                    <w:t>间歇</w:t>
                  </w:r>
                </w:p>
              </w:tc>
              <w:tc>
                <w:tcPr>
                  <w:tcW w:w="1478" w:type="pct"/>
                  <w:shd w:val="clear" w:color="auto" w:fill="auto"/>
                  <w:vAlign w:val="center"/>
                </w:tcPr>
                <w:p>
                  <w:pPr>
                    <w:pStyle w:val="6"/>
                    <w:ind w:firstLine="0" w:firstLineChars="0"/>
                    <w:jc w:val="left"/>
                    <w:rPr>
                      <w:snapToGrid w:val="0"/>
                      <w:szCs w:val="21"/>
                      <w:lang w:eastAsia="zh-CN"/>
                    </w:rPr>
                  </w:pPr>
                  <w:r>
                    <w:rPr>
                      <w:rFonts w:hint="eastAsia"/>
                      <w:snapToGrid w:val="0"/>
                      <w:szCs w:val="21"/>
                      <w:lang w:eastAsia="zh-CN"/>
                    </w:rPr>
                    <w:t>设施密闭，废气引至医院外无组织排放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325" w:type="pct"/>
                  <w:vMerge w:val="restart"/>
                  <w:shd w:val="clear" w:color="auto" w:fill="auto"/>
                  <w:vAlign w:val="center"/>
                </w:tcPr>
                <w:p>
                  <w:pPr>
                    <w:pStyle w:val="6"/>
                    <w:ind w:firstLine="0" w:firstLineChars="0"/>
                    <w:jc w:val="center"/>
                    <w:rPr>
                      <w:szCs w:val="21"/>
                      <w:lang w:val="en-US" w:eastAsia="zh-CN"/>
                    </w:rPr>
                  </w:pPr>
                  <w:r>
                    <w:rPr>
                      <w:rFonts w:hint="eastAsia"/>
                      <w:szCs w:val="21"/>
                      <w:lang w:val="en-US" w:eastAsia="zh-CN"/>
                    </w:rPr>
                    <w:t>废水</w:t>
                  </w:r>
                </w:p>
              </w:tc>
              <w:tc>
                <w:tcPr>
                  <w:tcW w:w="375" w:type="pct"/>
                  <w:shd w:val="clear" w:color="auto" w:fill="auto"/>
                  <w:vAlign w:val="center"/>
                </w:tcPr>
                <w:p>
                  <w:pPr>
                    <w:pStyle w:val="6"/>
                    <w:ind w:firstLine="0" w:firstLineChars="0"/>
                    <w:jc w:val="center"/>
                    <w:rPr>
                      <w:szCs w:val="21"/>
                      <w:lang w:val="en-US" w:eastAsia="zh-CN"/>
                    </w:rPr>
                  </w:pPr>
                  <w:r>
                    <w:rPr>
                      <w:rFonts w:hint="eastAsia"/>
                      <w:szCs w:val="21"/>
                      <w:lang w:val="en-US" w:eastAsia="zh-CN"/>
                    </w:rPr>
                    <w:t>W1</w:t>
                  </w:r>
                </w:p>
              </w:tc>
              <w:tc>
                <w:tcPr>
                  <w:tcW w:w="565" w:type="pct"/>
                  <w:shd w:val="clear" w:color="auto" w:fill="auto"/>
                  <w:vAlign w:val="center"/>
                </w:tcPr>
                <w:p>
                  <w:pPr>
                    <w:pStyle w:val="6"/>
                    <w:ind w:firstLine="0" w:firstLineChars="0"/>
                    <w:jc w:val="center"/>
                    <w:rPr>
                      <w:szCs w:val="21"/>
                      <w:lang w:eastAsia="zh-CN"/>
                    </w:rPr>
                  </w:pPr>
                  <w:r>
                    <w:rPr>
                      <w:rFonts w:hint="eastAsia"/>
                      <w:szCs w:val="21"/>
                      <w:lang w:eastAsia="zh-CN"/>
                    </w:rPr>
                    <w:t>门诊</w:t>
                  </w:r>
                </w:p>
              </w:tc>
              <w:tc>
                <w:tcPr>
                  <w:tcW w:w="643" w:type="pct"/>
                  <w:shd w:val="clear" w:color="auto" w:fill="auto"/>
                  <w:vAlign w:val="center"/>
                </w:tcPr>
                <w:p>
                  <w:pPr>
                    <w:pStyle w:val="6"/>
                    <w:ind w:firstLine="0" w:firstLineChars="0"/>
                    <w:jc w:val="center"/>
                    <w:rPr>
                      <w:szCs w:val="21"/>
                      <w:lang w:eastAsia="zh-CN"/>
                    </w:rPr>
                  </w:pPr>
                  <w:r>
                    <w:rPr>
                      <w:rFonts w:hint="eastAsia"/>
                      <w:szCs w:val="21"/>
                      <w:lang w:eastAsia="zh-CN"/>
                    </w:rPr>
                    <w:t>门诊废水</w:t>
                  </w:r>
                </w:p>
              </w:tc>
              <w:tc>
                <w:tcPr>
                  <w:tcW w:w="1291" w:type="pct"/>
                  <w:vMerge w:val="restart"/>
                  <w:shd w:val="clear" w:color="auto" w:fill="auto"/>
                  <w:vAlign w:val="center"/>
                </w:tcPr>
                <w:p>
                  <w:pPr>
                    <w:pStyle w:val="6"/>
                    <w:ind w:firstLine="0" w:firstLineChars="0"/>
                    <w:jc w:val="left"/>
                    <w:rPr>
                      <w:szCs w:val="21"/>
                      <w:lang w:eastAsia="zh-CN"/>
                    </w:rPr>
                  </w:pPr>
                  <w:r>
                    <w:rPr>
                      <w:szCs w:val="21"/>
                    </w:rPr>
                    <w:t>pH、COD、BOD</w:t>
                  </w:r>
                  <w:r>
                    <w:rPr>
                      <w:szCs w:val="21"/>
                      <w:vertAlign w:val="subscript"/>
                    </w:rPr>
                    <w:t>5</w:t>
                  </w:r>
                  <w:r>
                    <w:rPr>
                      <w:szCs w:val="21"/>
                    </w:rPr>
                    <w:t>、氨氮、SS、TN、TP、粪大肠菌群数、</w:t>
                  </w:r>
                  <w:r>
                    <w:rPr>
                      <w:rFonts w:hint="eastAsia"/>
                      <w:szCs w:val="21"/>
                      <w:lang w:eastAsia="zh-CN"/>
                    </w:rPr>
                    <w:t>LAS</w:t>
                  </w:r>
                </w:p>
              </w:tc>
              <w:tc>
                <w:tcPr>
                  <w:tcW w:w="323" w:type="pct"/>
                  <w:shd w:val="clear" w:color="auto" w:fill="auto"/>
                  <w:vAlign w:val="center"/>
                </w:tcPr>
                <w:p>
                  <w:pPr>
                    <w:pStyle w:val="6"/>
                    <w:ind w:firstLine="0" w:firstLineChars="0"/>
                    <w:jc w:val="center"/>
                    <w:rPr>
                      <w:szCs w:val="21"/>
                      <w:lang w:val="en-US" w:eastAsia="zh-CN"/>
                    </w:rPr>
                  </w:pPr>
                  <w:r>
                    <w:rPr>
                      <w:rFonts w:hint="eastAsia"/>
                      <w:szCs w:val="21"/>
                      <w:lang w:val="en-US" w:eastAsia="zh-CN"/>
                    </w:rPr>
                    <w:t>间歇</w:t>
                  </w:r>
                </w:p>
              </w:tc>
              <w:tc>
                <w:tcPr>
                  <w:tcW w:w="1478" w:type="pct"/>
                  <w:vMerge w:val="restart"/>
                  <w:shd w:val="clear" w:color="auto" w:fill="auto"/>
                  <w:vAlign w:val="center"/>
                </w:tcPr>
                <w:p>
                  <w:pPr>
                    <w:pStyle w:val="6"/>
                    <w:ind w:firstLine="0" w:firstLineChars="0"/>
                    <w:jc w:val="left"/>
                    <w:rPr>
                      <w:snapToGrid w:val="0"/>
                      <w:szCs w:val="21"/>
                      <w:lang w:eastAsia="zh-CN"/>
                    </w:rPr>
                  </w:pPr>
                  <w:r>
                    <w:rPr>
                      <w:rFonts w:hint="eastAsia"/>
                      <w:snapToGrid w:val="0"/>
                      <w:szCs w:val="21"/>
                      <w:lang w:eastAsia="zh-CN"/>
                    </w:rPr>
                    <w:t>检验废水经酸碱中和预处理后与其他废水一同排入化粪池+污水处理系统处理后排入市政管网再排入石家庄高新技术产业开发区供水排水公司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325" w:type="pct"/>
                  <w:vMerge w:val="continue"/>
                  <w:shd w:val="clear" w:color="auto" w:fill="auto"/>
                  <w:vAlign w:val="center"/>
                </w:tcPr>
                <w:p>
                  <w:pPr>
                    <w:pStyle w:val="6"/>
                    <w:ind w:firstLine="0" w:firstLineChars="0"/>
                    <w:jc w:val="center"/>
                    <w:rPr>
                      <w:szCs w:val="21"/>
                      <w:lang w:val="en-US" w:eastAsia="zh-CN"/>
                    </w:rPr>
                  </w:pPr>
                </w:p>
              </w:tc>
              <w:tc>
                <w:tcPr>
                  <w:tcW w:w="375" w:type="pct"/>
                  <w:shd w:val="clear" w:color="auto" w:fill="auto"/>
                  <w:vAlign w:val="center"/>
                </w:tcPr>
                <w:p>
                  <w:pPr>
                    <w:pStyle w:val="6"/>
                    <w:ind w:firstLine="0" w:firstLineChars="0"/>
                    <w:jc w:val="center"/>
                    <w:rPr>
                      <w:szCs w:val="21"/>
                      <w:lang w:val="en-US" w:eastAsia="zh-CN"/>
                    </w:rPr>
                  </w:pPr>
                  <w:r>
                    <w:rPr>
                      <w:rFonts w:hint="eastAsia"/>
                      <w:szCs w:val="21"/>
                      <w:lang w:val="en-US" w:eastAsia="zh-CN"/>
                    </w:rPr>
                    <w:t>W2</w:t>
                  </w:r>
                </w:p>
              </w:tc>
              <w:tc>
                <w:tcPr>
                  <w:tcW w:w="565" w:type="pct"/>
                  <w:shd w:val="clear" w:color="auto" w:fill="auto"/>
                  <w:vAlign w:val="center"/>
                </w:tcPr>
                <w:p>
                  <w:pPr>
                    <w:pStyle w:val="6"/>
                    <w:ind w:firstLine="0" w:firstLineChars="0"/>
                    <w:jc w:val="center"/>
                    <w:rPr>
                      <w:szCs w:val="21"/>
                      <w:lang w:eastAsia="zh-CN"/>
                    </w:rPr>
                  </w:pPr>
                  <w:r>
                    <w:rPr>
                      <w:rFonts w:hint="eastAsia"/>
                      <w:szCs w:val="21"/>
                      <w:lang w:eastAsia="zh-CN"/>
                    </w:rPr>
                    <w:t>病房</w:t>
                  </w:r>
                </w:p>
              </w:tc>
              <w:tc>
                <w:tcPr>
                  <w:tcW w:w="643" w:type="pct"/>
                  <w:shd w:val="clear" w:color="auto" w:fill="auto"/>
                  <w:vAlign w:val="center"/>
                </w:tcPr>
                <w:p>
                  <w:pPr>
                    <w:pStyle w:val="6"/>
                    <w:ind w:firstLine="0" w:firstLineChars="0"/>
                    <w:jc w:val="center"/>
                    <w:rPr>
                      <w:szCs w:val="21"/>
                      <w:lang w:eastAsia="zh-CN"/>
                    </w:rPr>
                  </w:pPr>
                  <w:r>
                    <w:rPr>
                      <w:rFonts w:hint="eastAsia"/>
                      <w:szCs w:val="21"/>
                      <w:lang w:eastAsia="zh-CN"/>
                    </w:rPr>
                    <w:t>病房废水</w:t>
                  </w:r>
                </w:p>
              </w:tc>
              <w:tc>
                <w:tcPr>
                  <w:tcW w:w="1291" w:type="pct"/>
                  <w:vMerge w:val="continue"/>
                  <w:shd w:val="clear" w:color="auto" w:fill="auto"/>
                  <w:vAlign w:val="center"/>
                </w:tcPr>
                <w:p>
                  <w:pPr>
                    <w:pStyle w:val="6"/>
                    <w:ind w:firstLine="0" w:firstLineChars="0"/>
                    <w:jc w:val="center"/>
                    <w:rPr>
                      <w:szCs w:val="21"/>
                      <w:lang w:eastAsia="zh-CN"/>
                    </w:rPr>
                  </w:pPr>
                </w:p>
              </w:tc>
              <w:tc>
                <w:tcPr>
                  <w:tcW w:w="323" w:type="pct"/>
                  <w:shd w:val="clear" w:color="auto" w:fill="auto"/>
                  <w:vAlign w:val="center"/>
                </w:tcPr>
                <w:p>
                  <w:pPr>
                    <w:pStyle w:val="6"/>
                    <w:ind w:firstLine="0" w:firstLineChars="0"/>
                    <w:jc w:val="center"/>
                    <w:rPr>
                      <w:szCs w:val="21"/>
                      <w:lang w:val="en-US" w:eastAsia="zh-CN"/>
                    </w:rPr>
                  </w:pPr>
                  <w:r>
                    <w:rPr>
                      <w:rFonts w:hint="eastAsia"/>
                      <w:szCs w:val="21"/>
                      <w:lang w:val="en-US" w:eastAsia="zh-CN"/>
                    </w:rPr>
                    <w:t>间歇</w:t>
                  </w:r>
                </w:p>
              </w:tc>
              <w:tc>
                <w:tcPr>
                  <w:tcW w:w="1478" w:type="pct"/>
                  <w:vMerge w:val="continue"/>
                  <w:shd w:val="clear" w:color="auto" w:fill="auto"/>
                  <w:vAlign w:val="center"/>
                </w:tcPr>
                <w:p>
                  <w:pPr>
                    <w:pStyle w:val="6"/>
                    <w:ind w:firstLine="0" w:firstLineChars="0"/>
                    <w:jc w:val="left"/>
                    <w:rPr>
                      <w:snapToGrid w:val="0"/>
                      <w:szCs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325" w:type="pct"/>
                  <w:vMerge w:val="continue"/>
                  <w:shd w:val="clear" w:color="auto" w:fill="auto"/>
                  <w:vAlign w:val="center"/>
                </w:tcPr>
                <w:p>
                  <w:pPr>
                    <w:pStyle w:val="6"/>
                    <w:ind w:firstLine="0" w:firstLineChars="0"/>
                    <w:jc w:val="center"/>
                    <w:rPr>
                      <w:szCs w:val="21"/>
                      <w:lang w:val="en-US" w:eastAsia="zh-CN"/>
                    </w:rPr>
                  </w:pPr>
                </w:p>
              </w:tc>
              <w:tc>
                <w:tcPr>
                  <w:tcW w:w="375" w:type="pct"/>
                  <w:shd w:val="clear" w:color="auto" w:fill="auto"/>
                  <w:vAlign w:val="center"/>
                </w:tcPr>
                <w:p>
                  <w:pPr>
                    <w:pStyle w:val="6"/>
                    <w:ind w:firstLine="0" w:firstLineChars="0"/>
                    <w:jc w:val="center"/>
                    <w:rPr>
                      <w:szCs w:val="21"/>
                      <w:lang w:val="en-US" w:eastAsia="zh-CN"/>
                    </w:rPr>
                  </w:pPr>
                  <w:r>
                    <w:rPr>
                      <w:rFonts w:hint="eastAsia"/>
                      <w:szCs w:val="21"/>
                      <w:lang w:val="en-US" w:eastAsia="zh-CN"/>
                    </w:rPr>
                    <w:t>W3</w:t>
                  </w:r>
                </w:p>
              </w:tc>
              <w:tc>
                <w:tcPr>
                  <w:tcW w:w="565" w:type="pct"/>
                  <w:shd w:val="clear" w:color="auto" w:fill="auto"/>
                  <w:vAlign w:val="center"/>
                </w:tcPr>
                <w:p>
                  <w:pPr>
                    <w:pStyle w:val="6"/>
                    <w:ind w:firstLine="0" w:firstLineChars="0"/>
                    <w:jc w:val="center"/>
                    <w:rPr>
                      <w:szCs w:val="21"/>
                      <w:lang w:eastAsia="zh-CN"/>
                    </w:rPr>
                  </w:pPr>
                  <w:r>
                    <w:rPr>
                      <w:rFonts w:hint="eastAsia"/>
                      <w:szCs w:val="21"/>
                      <w:lang w:eastAsia="zh-CN"/>
                    </w:rPr>
                    <w:t>职工</w:t>
                  </w:r>
                </w:p>
              </w:tc>
              <w:tc>
                <w:tcPr>
                  <w:tcW w:w="643" w:type="pct"/>
                  <w:shd w:val="clear" w:color="auto" w:fill="auto"/>
                  <w:vAlign w:val="center"/>
                </w:tcPr>
                <w:p>
                  <w:pPr>
                    <w:pStyle w:val="6"/>
                    <w:ind w:firstLine="0" w:firstLineChars="0"/>
                    <w:jc w:val="center"/>
                    <w:rPr>
                      <w:szCs w:val="21"/>
                      <w:lang w:eastAsia="zh-CN"/>
                    </w:rPr>
                  </w:pPr>
                  <w:r>
                    <w:rPr>
                      <w:rFonts w:hint="eastAsia"/>
                      <w:szCs w:val="21"/>
                      <w:lang w:eastAsia="zh-CN"/>
                    </w:rPr>
                    <w:t>生活污水</w:t>
                  </w:r>
                </w:p>
              </w:tc>
              <w:tc>
                <w:tcPr>
                  <w:tcW w:w="1291" w:type="pct"/>
                  <w:vMerge w:val="continue"/>
                  <w:shd w:val="clear" w:color="auto" w:fill="auto"/>
                  <w:vAlign w:val="center"/>
                </w:tcPr>
                <w:p>
                  <w:pPr>
                    <w:pStyle w:val="6"/>
                    <w:ind w:firstLine="0" w:firstLineChars="0"/>
                    <w:jc w:val="center"/>
                    <w:rPr>
                      <w:szCs w:val="21"/>
                      <w:lang w:eastAsia="zh-CN"/>
                    </w:rPr>
                  </w:pPr>
                </w:p>
              </w:tc>
              <w:tc>
                <w:tcPr>
                  <w:tcW w:w="323" w:type="pct"/>
                  <w:shd w:val="clear" w:color="auto" w:fill="auto"/>
                  <w:vAlign w:val="center"/>
                </w:tcPr>
                <w:p>
                  <w:pPr>
                    <w:pStyle w:val="6"/>
                    <w:ind w:firstLine="0" w:firstLineChars="0"/>
                    <w:jc w:val="center"/>
                    <w:rPr>
                      <w:szCs w:val="21"/>
                      <w:lang w:val="en-US" w:eastAsia="zh-CN"/>
                    </w:rPr>
                  </w:pPr>
                  <w:r>
                    <w:rPr>
                      <w:rFonts w:hint="eastAsia"/>
                      <w:szCs w:val="21"/>
                      <w:lang w:val="en-US" w:eastAsia="zh-CN"/>
                    </w:rPr>
                    <w:t>间歇</w:t>
                  </w:r>
                </w:p>
              </w:tc>
              <w:tc>
                <w:tcPr>
                  <w:tcW w:w="1478" w:type="pct"/>
                  <w:vMerge w:val="continue"/>
                  <w:shd w:val="clear" w:color="auto" w:fill="auto"/>
                  <w:vAlign w:val="center"/>
                </w:tcPr>
                <w:p>
                  <w:pPr>
                    <w:pStyle w:val="6"/>
                    <w:ind w:firstLine="0" w:firstLineChars="0"/>
                    <w:jc w:val="left"/>
                    <w:rPr>
                      <w:snapToGrid w:val="0"/>
                      <w:szCs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325" w:type="pct"/>
                  <w:vMerge w:val="continue"/>
                  <w:shd w:val="clear" w:color="auto" w:fill="auto"/>
                  <w:vAlign w:val="center"/>
                </w:tcPr>
                <w:p>
                  <w:pPr>
                    <w:pStyle w:val="6"/>
                    <w:ind w:firstLine="0" w:firstLineChars="0"/>
                    <w:jc w:val="center"/>
                    <w:rPr>
                      <w:szCs w:val="21"/>
                      <w:lang w:val="en-US" w:eastAsia="zh-CN"/>
                    </w:rPr>
                  </w:pPr>
                </w:p>
              </w:tc>
              <w:tc>
                <w:tcPr>
                  <w:tcW w:w="375" w:type="pct"/>
                  <w:shd w:val="clear" w:color="auto" w:fill="auto"/>
                  <w:vAlign w:val="center"/>
                </w:tcPr>
                <w:p>
                  <w:pPr>
                    <w:pStyle w:val="6"/>
                    <w:ind w:firstLine="0" w:firstLineChars="0"/>
                    <w:jc w:val="center"/>
                    <w:rPr>
                      <w:szCs w:val="21"/>
                      <w:lang w:val="en-US" w:eastAsia="zh-CN"/>
                    </w:rPr>
                  </w:pPr>
                  <w:r>
                    <w:rPr>
                      <w:rFonts w:hint="eastAsia"/>
                      <w:szCs w:val="21"/>
                      <w:lang w:val="en-US" w:eastAsia="zh-CN"/>
                    </w:rPr>
                    <w:t>W4</w:t>
                  </w:r>
                </w:p>
              </w:tc>
              <w:tc>
                <w:tcPr>
                  <w:tcW w:w="565" w:type="pct"/>
                  <w:shd w:val="clear" w:color="auto" w:fill="auto"/>
                  <w:vAlign w:val="center"/>
                </w:tcPr>
                <w:p>
                  <w:pPr>
                    <w:pStyle w:val="6"/>
                    <w:ind w:firstLine="0" w:firstLineChars="0"/>
                    <w:jc w:val="center"/>
                    <w:rPr>
                      <w:szCs w:val="21"/>
                      <w:lang w:eastAsia="zh-CN"/>
                    </w:rPr>
                  </w:pPr>
                  <w:r>
                    <w:rPr>
                      <w:rFonts w:hint="eastAsia"/>
                      <w:szCs w:val="21"/>
                      <w:lang w:eastAsia="zh-CN"/>
                    </w:rPr>
                    <w:t>检验科</w:t>
                  </w:r>
                </w:p>
              </w:tc>
              <w:tc>
                <w:tcPr>
                  <w:tcW w:w="643" w:type="pct"/>
                  <w:shd w:val="clear" w:color="auto" w:fill="auto"/>
                  <w:vAlign w:val="center"/>
                </w:tcPr>
                <w:p>
                  <w:pPr>
                    <w:pStyle w:val="6"/>
                    <w:ind w:firstLine="0" w:firstLineChars="0"/>
                    <w:jc w:val="center"/>
                    <w:rPr>
                      <w:szCs w:val="21"/>
                      <w:lang w:eastAsia="zh-CN"/>
                    </w:rPr>
                  </w:pPr>
                  <w:r>
                    <w:rPr>
                      <w:rFonts w:hint="eastAsia"/>
                      <w:szCs w:val="21"/>
                      <w:lang w:eastAsia="zh-CN"/>
                    </w:rPr>
                    <w:t>检验废水</w:t>
                  </w:r>
                </w:p>
              </w:tc>
              <w:tc>
                <w:tcPr>
                  <w:tcW w:w="1291" w:type="pct"/>
                  <w:shd w:val="clear" w:color="auto" w:fill="auto"/>
                  <w:vAlign w:val="center"/>
                </w:tcPr>
                <w:p>
                  <w:pPr>
                    <w:pStyle w:val="6"/>
                    <w:ind w:firstLine="0" w:firstLineChars="0"/>
                    <w:jc w:val="left"/>
                    <w:rPr>
                      <w:szCs w:val="21"/>
                      <w:lang w:eastAsia="zh-CN"/>
                    </w:rPr>
                  </w:pPr>
                  <w:r>
                    <w:rPr>
                      <w:szCs w:val="21"/>
                    </w:rPr>
                    <w:t>pH、COD、BOD</w:t>
                  </w:r>
                  <w:r>
                    <w:rPr>
                      <w:szCs w:val="21"/>
                      <w:vertAlign w:val="subscript"/>
                    </w:rPr>
                    <w:t>5</w:t>
                  </w:r>
                  <w:r>
                    <w:rPr>
                      <w:szCs w:val="21"/>
                    </w:rPr>
                    <w:t>、氨氮、SS、TN、TP、粪大肠菌群数、</w:t>
                  </w:r>
                  <w:r>
                    <w:rPr>
                      <w:rFonts w:hint="eastAsia"/>
                      <w:szCs w:val="21"/>
                      <w:lang w:eastAsia="zh-CN"/>
                    </w:rPr>
                    <w:t>LAS、挥发酚</w:t>
                  </w:r>
                </w:p>
              </w:tc>
              <w:tc>
                <w:tcPr>
                  <w:tcW w:w="323" w:type="pct"/>
                  <w:shd w:val="clear" w:color="auto" w:fill="auto"/>
                  <w:vAlign w:val="center"/>
                </w:tcPr>
                <w:p>
                  <w:pPr>
                    <w:pStyle w:val="6"/>
                    <w:ind w:firstLine="0" w:firstLineChars="0"/>
                    <w:jc w:val="center"/>
                    <w:rPr>
                      <w:szCs w:val="21"/>
                      <w:lang w:val="en-US" w:eastAsia="zh-CN"/>
                    </w:rPr>
                  </w:pPr>
                  <w:r>
                    <w:rPr>
                      <w:rFonts w:hint="eastAsia"/>
                      <w:szCs w:val="21"/>
                      <w:lang w:val="en-US" w:eastAsia="zh-CN"/>
                    </w:rPr>
                    <w:t>间歇</w:t>
                  </w:r>
                </w:p>
              </w:tc>
              <w:tc>
                <w:tcPr>
                  <w:tcW w:w="1478" w:type="pct"/>
                  <w:vMerge w:val="continue"/>
                  <w:shd w:val="clear" w:color="auto" w:fill="auto"/>
                  <w:vAlign w:val="center"/>
                </w:tcPr>
                <w:p>
                  <w:pPr>
                    <w:pStyle w:val="6"/>
                    <w:ind w:firstLine="0" w:firstLineChars="0"/>
                    <w:jc w:val="left"/>
                    <w:rPr>
                      <w:snapToGrid w:val="0"/>
                      <w:szCs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325" w:type="pct"/>
                  <w:vMerge w:val="continue"/>
                  <w:shd w:val="clear" w:color="auto" w:fill="auto"/>
                  <w:vAlign w:val="center"/>
                </w:tcPr>
                <w:p>
                  <w:pPr>
                    <w:pStyle w:val="6"/>
                    <w:ind w:firstLine="0" w:firstLineChars="0"/>
                    <w:jc w:val="center"/>
                    <w:rPr>
                      <w:szCs w:val="21"/>
                      <w:lang w:val="en-US" w:eastAsia="zh-CN"/>
                    </w:rPr>
                  </w:pPr>
                </w:p>
              </w:tc>
              <w:tc>
                <w:tcPr>
                  <w:tcW w:w="375" w:type="pct"/>
                  <w:shd w:val="clear" w:color="auto" w:fill="auto"/>
                  <w:vAlign w:val="center"/>
                </w:tcPr>
                <w:p>
                  <w:pPr>
                    <w:pStyle w:val="6"/>
                    <w:ind w:firstLine="0" w:firstLineChars="0"/>
                    <w:jc w:val="center"/>
                    <w:rPr>
                      <w:szCs w:val="21"/>
                      <w:lang w:val="en-US" w:eastAsia="zh-CN"/>
                    </w:rPr>
                  </w:pPr>
                  <w:r>
                    <w:rPr>
                      <w:rFonts w:hint="eastAsia"/>
                      <w:szCs w:val="21"/>
                      <w:lang w:val="en-US" w:eastAsia="zh-CN"/>
                    </w:rPr>
                    <w:t>W5</w:t>
                  </w:r>
                </w:p>
              </w:tc>
              <w:tc>
                <w:tcPr>
                  <w:tcW w:w="565" w:type="pct"/>
                  <w:shd w:val="clear" w:color="auto" w:fill="auto"/>
                  <w:vAlign w:val="center"/>
                </w:tcPr>
                <w:p>
                  <w:pPr>
                    <w:pStyle w:val="6"/>
                    <w:ind w:firstLine="0" w:firstLineChars="0"/>
                    <w:jc w:val="center"/>
                    <w:rPr>
                      <w:szCs w:val="21"/>
                      <w:lang w:eastAsia="zh-CN"/>
                    </w:rPr>
                  </w:pPr>
                  <w:r>
                    <w:rPr>
                      <w:rFonts w:hint="eastAsia"/>
                      <w:szCs w:val="21"/>
                      <w:lang w:eastAsia="zh-CN"/>
                    </w:rPr>
                    <w:t>煎药室</w:t>
                  </w:r>
                </w:p>
              </w:tc>
              <w:tc>
                <w:tcPr>
                  <w:tcW w:w="643" w:type="pct"/>
                  <w:shd w:val="clear" w:color="auto" w:fill="auto"/>
                  <w:vAlign w:val="center"/>
                </w:tcPr>
                <w:p>
                  <w:pPr>
                    <w:pStyle w:val="6"/>
                    <w:ind w:firstLine="0" w:firstLineChars="0"/>
                    <w:jc w:val="center"/>
                    <w:rPr>
                      <w:szCs w:val="21"/>
                      <w:lang w:eastAsia="zh-CN"/>
                    </w:rPr>
                  </w:pPr>
                  <w:r>
                    <w:rPr>
                      <w:rFonts w:hint="eastAsia"/>
                      <w:szCs w:val="21"/>
                      <w:lang w:eastAsia="zh-CN"/>
                    </w:rPr>
                    <w:t>设备清洗废水</w:t>
                  </w:r>
                </w:p>
              </w:tc>
              <w:tc>
                <w:tcPr>
                  <w:tcW w:w="1291" w:type="pct"/>
                  <w:shd w:val="clear" w:color="auto" w:fill="auto"/>
                  <w:vAlign w:val="center"/>
                </w:tcPr>
                <w:p>
                  <w:pPr>
                    <w:pStyle w:val="6"/>
                    <w:ind w:firstLine="0" w:firstLineChars="0"/>
                    <w:jc w:val="left"/>
                    <w:rPr>
                      <w:szCs w:val="21"/>
                      <w:lang w:eastAsia="zh-CN"/>
                    </w:rPr>
                  </w:pPr>
                  <w:r>
                    <w:rPr>
                      <w:szCs w:val="21"/>
                    </w:rPr>
                    <w:t>pH、COD、BOD</w:t>
                  </w:r>
                  <w:r>
                    <w:rPr>
                      <w:szCs w:val="21"/>
                      <w:vertAlign w:val="subscript"/>
                    </w:rPr>
                    <w:t>5</w:t>
                  </w:r>
                  <w:r>
                    <w:rPr>
                      <w:szCs w:val="21"/>
                    </w:rPr>
                    <w:t>、氨氮、SS、TN、TP、</w:t>
                  </w:r>
                  <w:r>
                    <w:rPr>
                      <w:rFonts w:hint="eastAsia"/>
                      <w:szCs w:val="21"/>
                      <w:lang w:eastAsia="zh-CN"/>
                    </w:rPr>
                    <w:t>LAS</w:t>
                  </w:r>
                </w:p>
              </w:tc>
              <w:tc>
                <w:tcPr>
                  <w:tcW w:w="323" w:type="pct"/>
                  <w:shd w:val="clear" w:color="auto" w:fill="auto"/>
                  <w:vAlign w:val="center"/>
                </w:tcPr>
                <w:p>
                  <w:pPr>
                    <w:pStyle w:val="6"/>
                    <w:ind w:firstLine="0" w:firstLineChars="0"/>
                    <w:jc w:val="center"/>
                    <w:rPr>
                      <w:szCs w:val="21"/>
                      <w:lang w:val="en-US" w:eastAsia="zh-CN"/>
                    </w:rPr>
                  </w:pPr>
                  <w:r>
                    <w:rPr>
                      <w:rFonts w:hint="eastAsia"/>
                      <w:szCs w:val="21"/>
                      <w:lang w:val="en-US" w:eastAsia="zh-CN"/>
                    </w:rPr>
                    <w:t>间歇</w:t>
                  </w:r>
                </w:p>
              </w:tc>
              <w:tc>
                <w:tcPr>
                  <w:tcW w:w="1478" w:type="pct"/>
                  <w:vMerge w:val="continue"/>
                  <w:shd w:val="clear" w:color="auto" w:fill="auto"/>
                  <w:vAlign w:val="center"/>
                </w:tcPr>
                <w:p>
                  <w:pPr>
                    <w:pStyle w:val="6"/>
                    <w:ind w:firstLine="0" w:firstLineChars="0"/>
                    <w:jc w:val="left"/>
                    <w:rPr>
                      <w:snapToGrid w:val="0"/>
                      <w:szCs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325" w:type="pct"/>
                  <w:vMerge w:val="continue"/>
                  <w:shd w:val="clear" w:color="auto" w:fill="auto"/>
                  <w:vAlign w:val="center"/>
                </w:tcPr>
                <w:p>
                  <w:pPr>
                    <w:pStyle w:val="6"/>
                    <w:ind w:firstLine="0" w:firstLineChars="0"/>
                    <w:jc w:val="center"/>
                    <w:rPr>
                      <w:szCs w:val="21"/>
                      <w:lang w:val="en-US" w:eastAsia="zh-CN"/>
                    </w:rPr>
                  </w:pPr>
                </w:p>
              </w:tc>
              <w:tc>
                <w:tcPr>
                  <w:tcW w:w="375" w:type="pct"/>
                  <w:shd w:val="clear" w:color="auto" w:fill="auto"/>
                  <w:vAlign w:val="center"/>
                </w:tcPr>
                <w:p>
                  <w:pPr>
                    <w:pStyle w:val="6"/>
                    <w:ind w:firstLine="0" w:firstLineChars="0"/>
                    <w:jc w:val="center"/>
                    <w:rPr>
                      <w:szCs w:val="21"/>
                      <w:lang w:val="en-US" w:eastAsia="zh-CN"/>
                    </w:rPr>
                  </w:pPr>
                  <w:r>
                    <w:rPr>
                      <w:rFonts w:hint="eastAsia"/>
                      <w:szCs w:val="21"/>
                      <w:lang w:val="en-US" w:eastAsia="zh-CN"/>
                    </w:rPr>
                    <w:t>—</w:t>
                  </w:r>
                </w:p>
              </w:tc>
              <w:tc>
                <w:tcPr>
                  <w:tcW w:w="565" w:type="pct"/>
                  <w:shd w:val="clear" w:color="auto" w:fill="auto"/>
                  <w:vAlign w:val="center"/>
                </w:tcPr>
                <w:p>
                  <w:pPr>
                    <w:pStyle w:val="6"/>
                    <w:ind w:firstLine="0" w:firstLineChars="0"/>
                    <w:jc w:val="center"/>
                    <w:rPr>
                      <w:szCs w:val="21"/>
                      <w:lang w:eastAsia="zh-CN"/>
                    </w:rPr>
                  </w:pPr>
                  <w:r>
                    <w:rPr>
                      <w:rFonts w:hint="eastAsia"/>
                      <w:szCs w:val="21"/>
                      <w:lang w:eastAsia="zh-CN"/>
                    </w:rPr>
                    <w:t>空调</w:t>
                  </w:r>
                </w:p>
              </w:tc>
              <w:tc>
                <w:tcPr>
                  <w:tcW w:w="643" w:type="pct"/>
                  <w:shd w:val="clear" w:color="auto" w:fill="auto"/>
                  <w:vAlign w:val="center"/>
                </w:tcPr>
                <w:p>
                  <w:pPr>
                    <w:pStyle w:val="6"/>
                    <w:ind w:firstLine="0" w:firstLineChars="0"/>
                    <w:jc w:val="center"/>
                    <w:rPr>
                      <w:szCs w:val="21"/>
                      <w:lang w:eastAsia="zh-CN"/>
                    </w:rPr>
                  </w:pPr>
                  <w:r>
                    <w:rPr>
                      <w:rFonts w:hint="eastAsia"/>
                      <w:szCs w:val="21"/>
                      <w:lang w:eastAsia="zh-CN"/>
                    </w:rPr>
                    <w:t>系统排水</w:t>
                  </w:r>
                </w:p>
              </w:tc>
              <w:tc>
                <w:tcPr>
                  <w:tcW w:w="1291" w:type="pct"/>
                  <w:shd w:val="clear" w:color="auto" w:fill="auto"/>
                  <w:vAlign w:val="center"/>
                </w:tcPr>
                <w:p>
                  <w:pPr>
                    <w:pStyle w:val="6"/>
                    <w:ind w:firstLine="0" w:firstLineChars="0"/>
                    <w:jc w:val="center"/>
                    <w:rPr>
                      <w:szCs w:val="21"/>
                      <w:lang w:eastAsia="zh-CN"/>
                    </w:rPr>
                  </w:pPr>
                  <w:r>
                    <w:rPr>
                      <w:szCs w:val="21"/>
                    </w:rPr>
                    <w:t>COD、SS</w:t>
                  </w:r>
                </w:p>
              </w:tc>
              <w:tc>
                <w:tcPr>
                  <w:tcW w:w="323" w:type="pct"/>
                  <w:shd w:val="clear" w:color="auto" w:fill="auto"/>
                  <w:vAlign w:val="center"/>
                </w:tcPr>
                <w:p>
                  <w:pPr>
                    <w:pStyle w:val="6"/>
                    <w:ind w:firstLine="0" w:firstLineChars="0"/>
                    <w:jc w:val="center"/>
                    <w:rPr>
                      <w:szCs w:val="21"/>
                      <w:lang w:val="en-US" w:eastAsia="zh-CN"/>
                    </w:rPr>
                  </w:pPr>
                  <w:r>
                    <w:rPr>
                      <w:rFonts w:hint="eastAsia"/>
                      <w:szCs w:val="21"/>
                      <w:lang w:val="en-US" w:eastAsia="zh-CN"/>
                    </w:rPr>
                    <w:t>间歇</w:t>
                  </w:r>
                </w:p>
              </w:tc>
              <w:tc>
                <w:tcPr>
                  <w:tcW w:w="1478" w:type="pct"/>
                  <w:vMerge w:val="continue"/>
                  <w:shd w:val="clear" w:color="auto" w:fill="auto"/>
                  <w:vAlign w:val="center"/>
                </w:tcPr>
                <w:p>
                  <w:pPr>
                    <w:pStyle w:val="6"/>
                    <w:ind w:firstLine="0" w:firstLineChars="0"/>
                    <w:jc w:val="left"/>
                    <w:rPr>
                      <w:snapToGrid w:val="0"/>
                      <w:szCs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325" w:type="pct"/>
                  <w:vMerge w:val="continue"/>
                  <w:shd w:val="clear" w:color="auto" w:fill="auto"/>
                  <w:vAlign w:val="center"/>
                </w:tcPr>
                <w:p>
                  <w:pPr>
                    <w:pStyle w:val="6"/>
                    <w:ind w:firstLine="0" w:firstLineChars="0"/>
                    <w:jc w:val="center"/>
                    <w:rPr>
                      <w:szCs w:val="21"/>
                      <w:lang w:val="en-US" w:eastAsia="zh-CN"/>
                    </w:rPr>
                  </w:pPr>
                </w:p>
              </w:tc>
              <w:tc>
                <w:tcPr>
                  <w:tcW w:w="375" w:type="pct"/>
                  <w:shd w:val="clear" w:color="auto" w:fill="auto"/>
                  <w:vAlign w:val="center"/>
                </w:tcPr>
                <w:p>
                  <w:pPr>
                    <w:pStyle w:val="6"/>
                    <w:ind w:firstLine="0" w:firstLineChars="0"/>
                    <w:jc w:val="center"/>
                    <w:rPr>
                      <w:szCs w:val="21"/>
                      <w:lang w:val="en-US" w:eastAsia="zh-CN"/>
                    </w:rPr>
                  </w:pPr>
                  <w:r>
                    <w:rPr>
                      <w:rFonts w:hint="eastAsia"/>
                      <w:szCs w:val="21"/>
                      <w:lang w:val="en-US" w:eastAsia="zh-CN"/>
                    </w:rPr>
                    <w:t>—</w:t>
                  </w:r>
                </w:p>
              </w:tc>
              <w:tc>
                <w:tcPr>
                  <w:tcW w:w="565" w:type="pct"/>
                  <w:shd w:val="clear" w:color="auto" w:fill="auto"/>
                  <w:vAlign w:val="center"/>
                </w:tcPr>
                <w:p>
                  <w:pPr>
                    <w:pStyle w:val="6"/>
                    <w:ind w:firstLine="0" w:firstLineChars="0"/>
                    <w:jc w:val="center"/>
                    <w:rPr>
                      <w:szCs w:val="21"/>
                      <w:lang w:eastAsia="zh-CN"/>
                    </w:rPr>
                  </w:pPr>
                  <w:r>
                    <w:rPr>
                      <w:rFonts w:hint="eastAsia"/>
                      <w:szCs w:val="21"/>
                      <w:lang w:eastAsia="zh-CN"/>
                    </w:rPr>
                    <w:t>软水制备</w:t>
                  </w:r>
                </w:p>
              </w:tc>
              <w:tc>
                <w:tcPr>
                  <w:tcW w:w="643" w:type="pct"/>
                  <w:shd w:val="clear" w:color="auto" w:fill="auto"/>
                  <w:vAlign w:val="center"/>
                </w:tcPr>
                <w:p>
                  <w:pPr>
                    <w:pStyle w:val="6"/>
                    <w:ind w:firstLine="0" w:firstLineChars="0"/>
                    <w:jc w:val="center"/>
                    <w:rPr>
                      <w:szCs w:val="21"/>
                      <w:lang w:eastAsia="zh-CN"/>
                    </w:rPr>
                  </w:pPr>
                  <w:r>
                    <w:rPr>
                      <w:rFonts w:hint="eastAsia"/>
                      <w:szCs w:val="21"/>
                      <w:lang w:eastAsia="zh-CN"/>
                    </w:rPr>
                    <w:t>清净下水</w:t>
                  </w:r>
                </w:p>
              </w:tc>
              <w:tc>
                <w:tcPr>
                  <w:tcW w:w="1291" w:type="pct"/>
                  <w:shd w:val="clear" w:color="auto" w:fill="auto"/>
                  <w:vAlign w:val="center"/>
                </w:tcPr>
                <w:p>
                  <w:pPr>
                    <w:pStyle w:val="6"/>
                    <w:ind w:firstLine="0" w:firstLineChars="0"/>
                    <w:jc w:val="center"/>
                    <w:rPr>
                      <w:szCs w:val="21"/>
                      <w:lang w:eastAsia="zh-CN"/>
                    </w:rPr>
                  </w:pPr>
                  <w:r>
                    <w:rPr>
                      <w:szCs w:val="21"/>
                    </w:rPr>
                    <w:t>COD、BOD</w:t>
                  </w:r>
                  <w:r>
                    <w:rPr>
                      <w:szCs w:val="21"/>
                      <w:vertAlign w:val="subscript"/>
                    </w:rPr>
                    <w:t>5</w:t>
                  </w:r>
                  <w:r>
                    <w:rPr>
                      <w:szCs w:val="21"/>
                    </w:rPr>
                    <w:t>、氨氮、SS</w:t>
                  </w:r>
                </w:p>
              </w:tc>
              <w:tc>
                <w:tcPr>
                  <w:tcW w:w="323" w:type="pct"/>
                  <w:shd w:val="clear" w:color="auto" w:fill="auto"/>
                  <w:vAlign w:val="center"/>
                </w:tcPr>
                <w:p>
                  <w:pPr>
                    <w:pStyle w:val="6"/>
                    <w:ind w:firstLine="0" w:firstLineChars="0"/>
                    <w:jc w:val="center"/>
                    <w:rPr>
                      <w:szCs w:val="21"/>
                      <w:lang w:val="en-US" w:eastAsia="zh-CN"/>
                    </w:rPr>
                  </w:pPr>
                  <w:r>
                    <w:rPr>
                      <w:rFonts w:hint="eastAsia"/>
                      <w:szCs w:val="21"/>
                      <w:lang w:val="en-US" w:eastAsia="zh-CN"/>
                    </w:rPr>
                    <w:t>间歇</w:t>
                  </w:r>
                </w:p>
              </w:tc>
              <w:tc>
                <w:tcPr>
                  <w:tcW w:w="1478" w:type="pct"/>
                  <w:vMerge w:val="continue"/>
                  <w:shd w:val="clear" w:color="auto" w:fill="auto"/>
                  <w:vAlign w:val="center"/>
                </w:tcPr>
                <w:p>
                  <w:pPr>
                    <w:pStyle w:val="6"/>
                    <w:ind w:firstLine="0" w:firstLineChars="0"/>
                    <w:jc w:val="left"/>
                    <w:rPr>
                      <w:snapToGrid w:val="0"/>
                      <w:szCs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325" w:type="pct"/>
                  <w:vMerge w:val="restart"/>
                  <w:shd w:val="clear" w:color="auto" w:fill="auto"/>
                  <w:vAlign w:val="center"/>
                </w:tcPr>
                <w:p>
                  <w:pPr>
                    <w:pStyle w:val="6"/>
                    <w:ind w:firstLine="0" w:firstLineChars="0"/>
                    <w:jc w:val="center"/>
                    <w:rPr>
                      <w:szCs w:val="21"/>
                      <w:lang w:val="en-US" w:eastAsia="zh-CN"/>
                    </w:rPr>
                  </w:pPr>
                  <w:r>
                    <w:rPr>
                      <w:rFonts w:hint="eastAsia"/>
                      <w:szCs w:val="21"/>
                      <w:lang w:val="en-US" w:eastAsia="zh-CN"/>
                    </w:rPr>
                    <w:t>固废</w:t>
                  </w:r>
                </w:p>
              </w:tc>
              <w:tc>
                <w:tcPr>
                  <w:tcW w:w="375" w:type="pct"/>
                  <w:shd w:val="clear" w:color="auto" w:fill="auto"/>
                  <w:vAlign w:val="center"/>
                </w:tcPr>
                <w:p>
                  <w:pPr>
                    <w:pStyle w:val="6"/>
                    <w:ind w:firstLine="0" w:firstLineChars="0"/>
                    <w:jc w:val="center"/>
                    <w:rPr>
                      <w:szCs w:val="21"/>
                      <w:lang w:val="en-US" w:eastAsia="zh-CN"/>
                    </w:rPr>
                  </w:pPr>
                  <w:r>
                    <w:rPr>
                      <w:rFonts w:hint="eastAsia"/>
                      <w:szCs w:val="21"/>
                      <w:lang w:val="en-US" w:eastAsia="zh-CN"/>
                    </w:rPr>
                    <w:t>S1</w:t>
                  </w:r>
                </w:p>
              </w:tc>
              <w:tc>
                <w:tcPr>
                  <w:tcW w:w="1208" w:type="pct"/>
                  <w:gridSpan w:val="2"/>
                  <w:shd w:val="clear" w:color="auto" w:fill="auto"/>
                  <w:vAlign w:val="center"/>
                </w:tcPr>
                <w:p>
                  <w:pPr>
                    <w:pStyle w:val="6"/>
                    <w:ind w:firstLine="0" w:firstLineChars="0"/>
                    <w:jc w:val="center"/>
                    <w:rPr>
                      <w:szCs w:val="21"/>
                      <w:lang w:eastAsia="zh-CN"/>
                    </w:rPr>
                  </w:pPr>
                  <w:r>
                    <w:rPr>
                      <w:rFonts w:hint="eastAsia"/>
                      <w:szCs w:val="21"/>
                      <w:lang w:eastAsia="zh-CN"/>
                    </w:rPr>
                    <w:t>患者和职工</w:t>
                  </w:r>
                </w:p>
              </w:tc>
              <w:tc>
                <w:tcPr>
                  <w:tcW w:w="1291" w:type="pct"/>
                  <w:shd w:val="clear" w:color="auto" w:fill="auto"/>
                  <w:vAlign w:val="center"/>
                </w:tcPr>
                <w:p>
                  <w:pPr>
                    <w:pStyle w:val="6"/>
                    <w:ind w:firstLine="0" w:firstLineChars="0"/>
                    <w:jc w:val="center"/>
                    <w:rPr>
                      <w:szCs w:val="21"/>
                      <w:lang w:eastAsia="zh-CN"/>
                    </w:rPr>
                  </w:pPr>
                  <w:r>
                    <w:rPr>
                      <w:rFonts w:hint="eastAsia"/>
                      <w:szCs w:val="21"/>
                      <w:lang w:eastAsia="zh-CN"/>
                    </w:rPr>
                    <w:t>生活垃圾</w:t>
                  </w:r>
                </w:p>
              </w:tc>
              <w:tc>
                <w:tcPr>
                  <w:tcW w:w="323" w:type="pct"/>
                  <w:shd w:val="clear" w:color="auto" w:fill="auto"/>
                  <w:vAlign w:val="center"/>
                </w:tcPr>
                <w:p>
                  <w:pPr>
                    <w:pStyle w:val="6"/>
                    <w:ind w:firstLine="0" w:firstLineChars="0"/>
                    <w:jc w:val="center"/>
                    <w:rPr>
                      <w:szCs w:val="21"/>
                      <w:lang w:val="en-US" w:eastAsia="zh-CN"/>
                    </w:rPr>
                  </w:pPr>
                  <w:r>
                    <w:rPr>
                      <w:rFonts w:hint="eastAsia"/>
                      <w:szCs w:val="21"/>
                      <w:lang w:val="en-US" w:eastAsia="zh-CN"/>
                    </w:rPr>
                    <w:t>间歇</w:t>
                  </w:r>
                </w:p>
              </w:tc>
              <w:tc>
                <w:tcPr>
                  <w:tcW w:w="1478" w:type="pct"/>
                  <w:shd w:val="clear" w:color="auto" w:fill="auto"/>
                  <w:vAlign w:val="center"/>
                </w:tcPr>
                <w:p>
                  <w:pPr>
                    <w:pStyle w:val="6"/>
                    <w:ind w:firstLine="0" w:firstLineChars="0"/>
                    <w:jc w:val="center"/>
                    <w:rPr>
                      <w:snapToGrid w:val="0"/>
                      <w:szCs w:val="21"/>
                      <w:lang w:eastAsia="zh-CN"/>
                    </w:rPr>
                  </w:pPr>
                  <w:r>
                    <w:rPr>
                      <w:rFonts w:hint="eastAsia"/>
                      <w:snapToGrid w:val="0"/>
                      <w:szCs w:val="21"/>
                      <w:lang w:eastAsia="zh-CN"/>
                    </w:rPr>
                    <w:t>环卫部门统一清运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325" w:type="pct"/>
                  <w:vMerge w:val="continue"/>
                  <w:shd w:val="clear" w:color="auto" w:fill="auto"/>
                  <w:vAlign w:val="center"/>
                </w:tcPr>
                <w:p>
                  <w:pPr>
                    <w:pStyle w:val="6"/>
                    <w:ind w:firstLine="0" w:firstLineChars="0"/>
                    <w:jc w:val="center"/>
                    <w:rPr>
                      <w:szCs w:val="21"/>
                      <w:lang w:val="en-US" w:eastAsia="zh-CN"/>
                    </w:rPr>
                  </w:pPr>
                </w:p>
              </w:tc>
              <w:tc>
                <w:tcPr>
                  <w:tcW w:w="375" w:type="pct"/>
                  <w:shd w:val="clear" w:color="auto" w:fill="auto"/>
                  <w:vAlign w:val="center"/>
                </w:tcPr>
                <w:p>
                  <w:pPr>
                    <w:pStyle w:val="6"/>
                    <w:ind w:firstLine="0" w:firstLineChars="0"/>
                    <w:jc w:val="center"/>
                    <w:rPr>
                      <w:szCs w:val="21"/>
                      <w:lang w:val="en-US" w:eastAsia="zh-CN"/>
                    </w:rPr>
                  </w:pPr>
                  <w:r>
                    <w:rPr>
                      <w:rFonts w:hint="eastAsia"/>
                      <w:szCs w:val="21"/>
                      <w:lang w:val="en-US" w:eastAsia="zh-CN"/>
                    </w:rPr>
                    <w:t>S2</w:t>
                  </w:r>
                </w:p>
              </w:tc>
              <w:tc>
                <w:tcPr>
                  <w:tcW w:w="1208" w:type="pct"/>
                  <w:gridSpan w:val="2"/>
                  <w:shd w:val="clear" w:color="auto" w:fill="auto"/>
                  <w:vAlign w:val="center"/>
                </w:tcPr>
                <w:p>
                  <w:pPr>
                    <w:pStyle w:val="6"/>
                    <w:ind w:firstLine="0" w:firstLineChars="0"/>
                    <w:jc w:val="center"/>
                    <w:rPr>
                      <w:szCs w:val="21"/>
                      <w:lang w:eastAsia="zh-CN"/>
                    </w:rPr>
                  </w:pPr>
                  <w:r>
                    <w:rPr>
                      <w:rFonts w:hint="eastAsia"/>
                      <w:szCs w:val="21"/>
                      <w:lang w:eastAsia="zh-CN"/>
                    </w:rPr>
                    <w:t>诊疗</w:t>
                  </w:r>
                </w:p>
              </w:tc>
              <w:tc>
                <w:tcPr>
                  <w:tcW w:w="1291" w:type="pct"/>
                  <w:shd w:val="clear" w:color="auto" w:fill="auto"/>
                  <w:vAlign w:val="center"/>
                </w:tcPr>
                <w:p>
                  <w:pPr>
                    <w:pStyle w:val="6"/>
                    <w:ind w:firstLine="0" w:firstLineChars="0"/>
                    <w:jc w:val="center"/>
                    <w:rPr>
                      <w:szCs w:val="21"/>
                      <w:lang w:eastAsia="zh-CN"/>
                    </w:rPr>
                  </w:pPr>
                  <w:r>
                    <w:rPr>
                      <w:rFonts w:hint="eastAsia"/>
                      <w:szCs w:val="21"/>
                      <w:lang w:eastAsia="zh-CN"/>
                    </w:rPr>
                    <w:t>医疗废物</w:t>
                  </w:r>
                </w:p>
              </w:tc>
              <w:tc>
                <w:tcPr>
                  <w:tcW w:w="323" w:type="pct"/>
                  <w:shd w:val="clear" w:color="auto" w:fill="auto"/>
                  <w:vAlign w:val="center"/>
                </w:tcPr>
                <w:p>
                  <w:pPr>
                    <w:pStyle w:val="6"/>
                    <w:ind w:firstLine="0" w:firstLineChars="0"/>
                    <w:jc w:val="center"/>
                    <w:rPr>
                      <w:szCs w:val="21"/>
                      <w:lang w:val="en-US" w:eastAsia="zh-CN"/>
                    </w:rPr>
                  </w:pPr>
                  <w:r>
                    <w:rPr>
                      <w:rFonts w:hint="eastAsia"/>
                      <w:szCs w:val="21"/>
                      <w:lang w:val="en-US" w:eastAsia="zh-CN"/>
                    </w:rPr>
                    <w:t>间歇</w:t>
                  </w:r>
                </w:p>
              </w:tc>
              <w:tc>
                <w:tcPr>
                  <w:tcW w:w="1478" w:type="pct"/>
                  <w:vMerge w:val="restart"/>
                  <w:shd w:val="clear" w:color="auto" w:fill="auto"/>
                  <w:vAlign w:val="center"/>
                </w:tcPr>
                <w:p>
                  <w:pPr>
                    <w:pStyle w:val="6"/>
                    <w:ind w:firstLine="0" w:firstLineChars="0"/>
                    <w:jc w:val="left"/>
                    <w:rPr>
                      <w:snapToGrid w:val="0"/>
                      <w:szCs w:val="21"/>
                      <w:lang w:eastAsia="zh-CN"/>
                    </w:rPr>
                  </w:pPr>
                  <w:r>
                    <w:rPr>
                      <w:rFonts w:hint="eastAsia"/>
                      <w:snapToGrid w:val="0"/>
                      <w:szCs w:val="21"/>
                      <w:lang w:eastAsia="zh-CN"/>
                    </w:rPr>
                    <w:t>暂存于医废间，委托有资质单位外运处置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325" w:type="pct"/>
                  <w:vMerge w:val="continue"/>
                  <w:shd w:val="clear" w:color="auto" w:fill="auto"/>
                  <w:vAlign w:val="center"/>
                </w:tcPr>
                <w:p>
                  <w:pPr>
                    <w:pStyle w:val="6"/>
                    <w:ind w:firstLine="0" w:firstLineChars="0"/>
                    <w:jc w:val="center"/>
                    <w:rPr>
                      <w:szCs w:val="21"/>
                      <w:lang w:val="en-US" w:eastAsia="zh-CN"/>
                    </w:rPr>
                  </w:pPr>
                </w:p>
              </w:tc>
              <w:tc>
                <w:tcPr>
                  <w:tcW w:w="375" w:type="pct"/>
                  <w:shd w:val="clear" w:color="auto" w:fill="auto"/>
                  <w:vAlign w:val="center"/>
                </w:tcPr>
                <w:p>
                  <w:pPr>
                    <w:pStyle w:val="6"/>
                    <w:ind w:firstLine="0" w:firstLineChars="0"/>
                    <w:jc w:val="center"/>
                    <w:rPr>
                      <w:szCs w:val="21"/>
                      <w:lang w:val="en-US" w:eastAsia="zh-CN"/>
                    </w:rPr>
                  </w:pPr>
                  <w:r>
                    <w:rPr>
                      <w:rFonts w:hint="eastAsia"/>
                      <w:szCs w:val="21"/>
                      <w:lang w:val="en-US" w:eastAsia="zh-CN"/>
                    </w:rPr>
                    <w:t>S3</w:t>
                  </w:r>
                </w:p>
              </w:tc>
              <w:tc>
                <w:tcPr>
                  <w:tcW w:w="1208" w:type="pct"/>
                  <w:gridSpan w:val="2"/>
                  <w:shd w:val="clear" w:color="auto" w:fill="auto"/>
                  <w:vAlign w:val="center"/>
                </w:tcPr>
                <w:p>
                  <w:pPr>
                    <w:pStyle w:val="6"/>
                    <w:ind w:firstLine="0" w:firstLineChars="0"/>
                    <w:jc w:val="center"/>
                    <w:rPr>
                      <w:szCs w:val="21"/>
                      <w:lang w:eastAsia="zh-CN"/>
                    </w:rPr>
                  </w:pPr>
                  <w:r>
                    <w:rPr>
                      <w:rFonts w:hint="eastAsia"/>
                      <w:szCs w:val="21"/>
                      <w:lang w:eastAsia="zh-CN"/>
                    </w:rPr>
                    <w:t>检验科</w:t>
                  </w:r>
                </w:p>
              </w:tc>
              <w:tc>
                <w:tcPr>
                  <w:tcW w:w="1291" w:type="pct"/>
                  <w:shd w:val="clear" w:color="auto" w:fill="auto"/>
                  <w:vAlign w:val="center"/>
                </w:tcPr>
                <w:p>
                  <w:pPr>
                    <w:pStyle w:val="6"/>
                    <w:ind w:firstLine="0" w:firstLineChars="0"/>
                    <w:jc w:val="center"/>
                    <w:rPr>
                      <w:szCs w:val="21"/>
                      <w:lang w:eastAsia="zh-CN"/>
                    </w:rPr>
                  </w:pPr>
                  <w:r>
                    <w:rPr>
                      <w:rFonts w:hint="eastAsia"/>
                      <w:szCs w:val="21"/>
                      <w:lang w:eastAsia="zh-CN"/>
                    </w:rPr>
                    <w:t>医疗废物</w:t>
                  </w:r>
                </w:p>
              </w:tc>
              <w:tc>
                <w:tcPr>
                  <w:tcW w:w="323" w:type="pct"/>
                  <w:shd w:val="clear" w:color="auto" w:fill="auto"/>
                  <w:vAlign w:val="center"/>
                </w:tcPr>
                <w:p>
                  <w:pPr>
                    <w:pStyle w:val="6"/>
                    <w:ind w:firstLine="0" w:firstLineChars="0"/>
                    <w:jc w:val="center"/>
                    <w:rPr>
                      <w:szCs w:val="21"/>
                      <w:lang w:val="en-US" w:eastAsia="zh-CN"/>
                    </w:rPr>
                  </w:pPr>
                  <w:r>
                    <w:rPr>
                      <w:rFonts w:hint="eastAsia"/>
                      <w:szCs w:val="21"/>
                      <w:lang w:val="en-US" w:eastAsia="zh-CN"/>
                    </w:rPr>
                    <w:t>间歇</w:t>
                  </w:r>
                </w:p>
              </w:tc>
              <w:tc>
                <w:tcPr>
                  <w:tcW w:w="1478" w:type="pct"/>
                  <w:vMerge w:val="continue"/>
                  <w:shd w:val="clear" w:color="auto" w:fill="auto"/>
                  <w:vAlign w:val="center"/>
                </w:tcPr>
                <w:p>
                  <w:pPr>
                    <w:pStyle w:val="6"/>
                    <w:ind w:firstLine="0" w:firstLineChars="0"/>
                    <w:jc w:val="left"/>
                    <w:rPr>
                      <w:snapToGrid w:val="0"/>
                      <w:szCs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325" w:type="pct"/>
                  <w:vMerge w:val="continue"/>
                  <w:shd w:val="clear" w:color="auto" w:fill="auto"/>
                  <w:vAlign w:val="center"/>
                </w:tcPr>
                <w:p>
                  <w:pPr>
                    <w:pStyle w:val="6"/>
                    <w:ind w:firstLine="0" w:firstLineChars="0"/>
                    <w:jc w:val="center"/>
                    <w:rPr>
                      <w:szCs w:val="21"/>
                      <w:lang w:val="en-US" w:eastAsia="zh-CN"/>
                    </w:rPr>
                  </w:pPr>
                </w:p>
              </w:tc>
              <w:tc>
                <w:tcPr>
                  <w:tcW w:w="375" w:type="pct"/>
                  <w:shd w:val="clear" w:color="auto" w:fill="auto"/>
                  <w:vAlign w:val="center"/>
                </w:tcPr>
                <w:p>
                  <w:pPr>
                    <w:pStyle w:val="6"/>
                    <w:ind w:firstLine="0" w:firstLineChars="0"/>
                    <w:jc w:val="center"/>
                    <w:rPr>
                      <w:szCs w:val="21"/>
                      <w:lang w:val="en-US" w:eastAsia="zh-CN"/>
                    </w:rPr>
                  </w:pPr>
                  <w:r>
                    <w:rPr>
                      <w:rFonts w:hint="eastAsia"/>
                      <w:szCs w:val="21"/>
                      <w:lang w:val="en-US" w:eastAsia="zh-CN"/>
                    </w:rPr>
                    <w:t>S4</w:t>
                  </w:r>
                </w:p>
              </w:tc>
              <w:tc>
                <w:tcPr>
                  <w:tcW w:w="1208" w:type="pct"/>
                  <w:gridSpan w:val="2"/>
                  <w:shd w:val="clear" w:color="auto" w:fill="auto"/>
                  <w:vAlign w:val="center"/>
                </w:tcPr>
                <w:p>
                  <w:pPr>
                    <w:pStyle w:val="6"/>
                    <w:ind w:firstLine="0" w:firstLineChars="0"/>
                    <w:jc w:val="center"/>
                    <w:rPr>
                      <w:szCs w:val="21"/>
                      <w:lang w:eastAsia="zh-CN"/>
                    </w:rPr>
                  </w:pPr>
                  <w:r>
                    <w:rPr>
                      <w:rFonts w:hint="eastAsia"/>
                      <w:szCs w:val="21"/>
                      <w:lang w:eastAsia="zh-CN"/>
                    </w:rPr>
                    <w:t>煎药室</w:t>
                  </w:r>
                </w:p>
              </w:tc>
              <w:tc>
                <w:tcPr>
                  <w:tcW w:w="1291" w:type="pct"/>
                  <w:shd w:val="clear" w:color="auto" w:fill="auto"/>
                  <w:vAlign w:val="center"/>
                </w:tcPr>
                <w:p>
                  <w:pPr>
                    <w:pStyle w:val="6"/>
                    <w:ind w:firstLine="0" w:firstLineChars="0"/>
                    <w:jc w:val="center"/>
                    <w:rPr>
                      <w:szCs w:val="21"/>
                      <w:lang w:eastAsia="zh-CN"/>
                    </w:rPr>
                  </w:pPr>
                  <w:r>
                    <w:rPr>
                      <w:rFonts w:hint="eastAsia"/>
                      <w:szCs w:val="21"/>
                      <w:lang w:eastAsia="zh-CN"/>
                    </w:rPr>
                    <w:t>中药残渣</w:t>
                  </w:r>
                </w:p>
              </w:tc>
              <w:tc>
                <w:tcPr>
                  <w:tcW w:w="323" w:type="pct"/>
                  <w:shd w:val="clear" w:color="auto" w:fill="auto"/>
                  <w:vAlign w:val="center"/>
                </w:tcPr>
                <w:p>
                  <w:pPr>
                    <w:pStyle w:val="6"/>
                    <w:ind w:firstLine="0" w:firstLineChars="0"/>
                    <w:jc w:val="center"/>
                    <w:rPr>
                      <w:szCs w:val="21"/>
                      <w:lang w:val="en-US" w:eastAsia="zh-CN"/>
                    </w:rPr>
                  </w:pPr>
                  <w:r>
                    <w:rPr>
                      <w:rFonts w:hint="eastAsia"/>
                      <w:szCs w:val="21"/>
                      <w:lang w:val="en-US" w:eastAsia="zh-CN"/>
                    </w:rPr>
                    <w:t>间歇</w:t>
                  </w:r>
                </w:p>
              </w:tc>
              <w:tc>
                <w:tcPr>
                  <w:tcW w:w="1478" w:type="pct"/>
                  <w:shd w:val="clear" w:color="auto" w:fill="auto"/>
                  <w:vAlign w:val="center"/>
                </w:tcPr>
                <w:p>
                  <w:pPr>
                    <w:pStyle w:val="6"/>
                    <w:ind w:firstLine="0" w:firstLineChars="0"/>
                    <w:jc w:val="center"/>
                    <w:rPr>
                      <w:snapToGrid w:val="0"/>
                      <w:szCs w:val="21"/>
                      <w:lang w:eastAsia="zh-CN"/>
                    </w:rPr>
                  </w:pPr>
                  <w:r>
                    <w:rPr>
                      <w:rFonts w:hint="eastAsia"/>
                      <w:snapToGrid w:val="0"/>
                      <w:szCs w:val="21"/>
                      <w:lang w:eastAsia="zh-CN"/>
                    </w:rPr>
                    <w:t>外售肥料生产企业</w:t>
                  </w:r>
                </w:p>
              </w:tc>
            </w:tr>
          </w:tbl>
          <w:p>
            <w:pPr>
              <w:pStyle w:val="14"/>
            </w:pPr>
            <w:r>
              <w:rPr>
                <w:rFonts w:hint="eastAsia"/>
              </w:rPr>
              <w:t>续</w:t>
            </w:r>
            <w:r>
              <w:t>表1</w:t>
            </w:r>
            <w:r>
              <w:rPr>
                <w:rFonts w:hint="eastAsia"/>
              </w:rPr>
              <w:t>1</w:t>
            </w:r>
            <w:r>
              <w:t xml:space="preserve">   </w:t>
            </w:r>
            <w:r>
              <w:rPr>
                <w:rFonts w:hint="eastAsia"/>
              </w:rPr>
              <w:t>本试验室</w:t>
            </w:r>
            <w:r>
              <w:t>产污环节一览表</w:t>
            </w:r>
          </w:p>
          <w:tbl>
            <w:tblPr>
              <w:tblStyle w:val="16"/>
              <w:tblW w:w="494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571"/>
              <w:gridCol w:w="659"/>
              <w:gridCol w:w="993"/>
              <w:gridCol w:w="1130"/>
              <w:gridCol w:w="2269"/>
              <w:gridCol w:w="568"/>
              <w:gridCol w:w="259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325" w:type="pct"/>
                  <w:shd w:val="clear" w:color="auto" w:fill="auto"/>
                  <w:vAlign w:val="center"/>
                </w:tcPr>
                <w:p>
                  <w:pPr>
                    <w:pStyle w:val="6"/>
                    <w:ind w:firstLine="0" w:firstLineChars="0"/>
                    <w:jc w:val="center"/>
                    <w:rPr>
                      <w:szCs w:val="21"/>
                      <w:lang w:val="en-US" w:eastAsia="zh-CN"/>
                    </w:rPr>
                  </w:pPr>
                  <w:r>
                    <w:rPr>
                      <w:szCs w:val="21"/>
                      <w:lang w:val="en-US" w:eastAsia="zh-CN"/>
                    </w:rPr>
                    <w:t>类</w:t>
                  </w:r>
                  <w:r>
                    <w:rPr>
                      <w:rFonts w:hint="eastAsia"/>
                      <w:szCs w:val="21"/>
                      <w:lang w:val="en-US" w:eastAsia="zh-CN"/>
                    </w:rPr>
                    <w:t>别</w:t>
                  </w:r>
                </w:p>
              </w:tc>
              <w:tc>
                <w:tcPr>
                  <w:tcW w:w="375" w:type="pct"/>
                  <w:shd w:val="clear" w:color="auto" w:fill="auto"/>
                  <w:vAlign w:val="center"/>
                </w:tcPr>
                <w:p>
                  <w:pPr>
                    <w:pStyle w:val="6"/>
                    <w:ind w:firstLine="0" w:firstLineChars="0"/>
                    <w:jc w:val="center"/>
                    <w:rPr>
                      <w:szCs w:val="21"/>
                      <w:lang w:val="en-US" w:eastAsia="zh-CN"/>
                    </w:rPr>
                  </w:pPr>
                  <w:r>
                    <w:rPr>
                      <w:szCs w:val="21"/>
                      <w:lang w:val="en-US" w:eastAsia="zh-CN"/>
                    </w:rPr>
                    <w:t>节点</w:t>
                  </w:r>
                </w:p>
              </w:tc>
              <w:tc>
                <w:tcPr>
                  <w:tcW w:w="1208" w:type="pct"/>
                  <w:gridSpan w:val="2"/>
                  <w:shd w:val="clear" w:color="auto" w:fill="auto"/>
                  <w:vAlign w:val="center"/>
                </w:tcPr>
                <w:p>
                  <w:pPr>
                    <w:pStyle w:val="6"/>
                    <w:ind w:firstLine="0" w:firstLineChars="0"/>
                    <w:jc w:val="center"/>
                    <w:rPr>
                      <w:szCs w:val="21"/>
                      <w:lang w:val="en-US" w:eastAsia="zh-CN"/>
                    </w:rPr>
                  </w:pPr>
                  <w:r>
                    <w:rPr>
                      <w:szCs w:val="21"/>
                      <w:lang w:val="en-US" w:eastAsia="zh-CN"/>
                    </w:rPr>
                    <w:t>排污</w:t>
                  </w:r>
                  <w:r>
                    <w:rPr>
                      <w:rFonts w:hint="eastAsia"/>
                      <w:szCs w:val="21"/>
                      <w:lang w:val="en-US" w:eastAsia="zh-CN"/>
                    </w:rPr>
                    <w:t>环节</w:t>
                  </w:r>
                </w:p>
              </w:tc>
              <w:tc>
                <w:tcPr>
                  <w:tcW w:w="1291" w:type="pct"/>
                  <w:shd w:val="clear" w:color="auto" w:fill="auto"/>
                  <w:vAlign w:val="center"/>
                </w:tcPr>
                <w:p>
                  <w:pPr>
                    <w:pStyle w:val="6"/>
                    <w:ind w:firstLine="0" w:firstLineChars="0"/>
                    <w:jc w:val="center"/>
                    <w:rPr>
                      <w:szCs w:val="21"/>
                      <w:lang w:val="en-US" w:eastAsia="zh-CN"/>
                    </w:rPr>
                  </w:pPr>
                  <w:r>
                    <w:rPr>
                      <w:rFonts w:hint="eastAsia"/>
                      <w:szCs w:val="21"/>
                      <w:lang w:val="en-US" w:eastAsia="zh-CN"/>
                    </w:rPr>
                    <w:t>主要</w:t>
                  </w:r>
                  <w:r>
                    <w:rPr>
                      <w:szCs w:val="21"/>
                      <w:lang w:val="en-US" w:eastAsia="zh-CN"/>
                    </w:rPr>
                    <w:t>污染物</w:t>
                  </w:r>
                </w:p>
              </w:tc>
              <w:tc>
                <w:tcPr>
                  <w:tcW w:w="323" w:type="pct"/>
                  <w:shd w:val="clear" w:color="auto" w:fill="auto"/>
                  <w:vAlign w:val="center"/>
                </w:tcPr>
                <w:p>
                  <w:pPr>
                    <w:pStyle w:val="6"/>
                    <w:ind w:firstLine="0" w:firstLineChars="0"/>
                    <w:jc w:val="center"/>
                    <w:rPr>
                      <w:szCs w:val="21"/>
                      <w:lang w:val="en-US" w:eastAsia="zh-CN"/>
                    </w:rPr>
                  </w:pPr>
                  <w:r>
                    <w:rPr>
                      <w:szCs w:val="21"/>
                      <w:lang w:val="en-US" w:eastAsia="zh-CN"/>
                    </w:rPr>
                    <w:t>排放规律</w:t>
                  </w:r>
                </w:p>
              </w:tc>
              <w:tc>
                <w:tcPr>
                  <w:tcW w:w="1478" w:type="pct"/>
                  <w:shd w:val="clear" w:color="auto" w:fill="auto"/>
                  <w:vAlign w:val="center"/>
                </w:tcPr>
                <w:p>
                  <w:pPr>
                    <w:pStyle w:val="6"/>
                    <w:ind w:firstLine="0" w:firstLineChars="0"/>
                    <w:jc w:val="center"/>
                    <w:rPr>
                      <w:szCs w:val="21"/>
                      <w:lang w:val="en-US" w:eastAsia="zh-CN"/>
                    </w:rPr>
                  </w:pPr>
                  <w:r>
                    <w:rPr>
                      <w:szCs w:val="21"/>
                      <w:lang w:val="en-US" w:eastAsia="zh-CN"/>
                    </w:rPr>
                    <w:t>处理</w:t>
                  </w:r>
                  <w:r>
                    <w:rPr>
                      <w:rFonts w:hint="eastAsia"/>
                      <w:szCs w:val="21"/>
                      <w:lang w:val="en-US" w:eastAsia="zh-CN"/>
                    </w:rPr>
                    <w:t>措施</w:t>
                  </w:r>
                  <w:r>
                    <w:rPr>
                      <w:szCs w:val="21"/>
                      <w:lang w:val="en-US" w:eastAsia="zh-CN"/>
                    </w:rPr>
                    <w:t>及去向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325" w:type="pct"/>
                  <w:vMerge w:val="restart"/>
                  <w:shd w:val="clear" w:color="auto" w:fill="auto"/>
                  <w:vAlign w:val="center"/>
                </w:tcPr>
                <w:p>
                  <w:pPr>
                    <w:pStyle w:val="6"/>
                    <w:ind w:firstLine="0" w:firstLineChars="0"/>
                    <w:jc w:val="center"/>
                    <w:rPr>
                      <w:szCs w:val="21"/>
                      <w:lang w:val="en-US" w:eastAsia="zh-CN"/>
                    </w:rPr>
                  </w:pPr>
                  <w:r>
                    <w:rPr>
                      <w:rFonts w:hint="eastAsia"/>
                      <w:szCs w:val="21"/>
                      <w:lang w:val="en-US" w:eastAsia="zh-CN"/>
                    </w:rPr>
                    <w:t>固废</w:t>
                  </w:r>
                </w:p>
              </w:tc>
              <w:tc>
                <w:tcPr>
                  <w:tcW w:w="375" w:type="pct"/>
                  <w:shd w:val="clear" w:color="auto" w:fill="auto"/>
                  <w:vAlign w:val="center"/>
                </w:tcPr>
                <w:p>
                  <w:pPr>
                    <w:pStyle w:val="6"/>
                    <w:ind w:firstLine="0" w:firstLineChars="0"/>
                    <w:jc w:val="center"/>
                    <w:rPr>
                      <w:szCs w:val="21"/>
                      <w:lang w:val="en-US" w:eastAsia="zh-CN"/>
                    </w:rPr>
                  </w:pPr>
                  <w:r>
                    <w:rPr>
                      <w:rFonts w:hint="eastAsia"/>
                      <w:szCs w:val="21"/>
                      <w:lang w:val="en-US" w:eastAsia="zh-CN"/>
                    </w:rPr>
                    <w:t>S5</w:t>
                  </w:r>
                </w:p>
              </w:tc>
              <w:tc>
                <w:tcPr>
                  <w:tcW w:w="1208" w:type="pct"/>
                  <w:gridSpan w:val="2"/>
                  <w:shd w:val="clear" w:color="auto" w:fill="auto"/>
                  <w:vAlign w:val="center"/>
                </w:tcPr>
                <w:p>
                  <w:pPr>
                    <w:pStyle w:val="6"/>
                    <w:ind w:firstLine="0" w:firstLineChars="0"/>
                    <w:jc w:val="center"/>
                    <w:rPr>
                      <w:szCs w:val="21"/>
                      <w:lang w:eastAsia="zh-CN"/>
                    </w:rPr>
                  </w:pPr>
                  <w:r>
                    <w:rPr>
                      <w:rFonts w:hint="eastAsia"/>
                      <w:szCs w:val="21"/>
                      <w:lang w:eastAsia="zh-CN"/>
                    </w:rPr>
                    <w:t>医疗器材、药品包装</w:t>
                  </w:r>
                </w:p>
              </w:tc>
              <w:tc>
                <w:tcPr>
                  <w:tcW w:w="1291" w:type="pct"/>
                  <w:shd w:val="clear" w:color="auto" w:fill="auto"/>
                  <w:vAlign w:val="center"/>
                </w:tcPr>
                <w:p>
                  <w:pPr>
                    <w:pStyle w:val="6"/>
                    <w:ind w:firstLine="0" w:firstLineChars="0"/>
                    <w:jc w:val="center"/>
                    <w:rPr>
                      <w:szCs w:val="21"/>
                      <w:lang w:eastAsia="zh-CN"/>
                    </w:rPr>
                  </w:pPr>
                  <w:r>
                    <w:rPr>
                      <w:rFonts w:hint="eastAsia"/>
                      <w:szCs w:val="21"/>
                      <w:lang w:eastAsia="zh-CN"/>
                    </w:rPr>
                    <w:t>废包装</w:t>
                  </w:r>
                </w:p>
              </w:tc>
              <w:tc>
                <w:tcPr>
                  <w:tcW w:w="323" w:type="pct"/>
                  <w:shd w:val="clear" w:color="auto" w:fill="auto"/>
                  <w:vAlign w:val="center"/>
                </w:tcPr>
                <w:p>
                  <w:pPr>
                    <w:pStyle w:val="6"/>
                    <w:ind w:firstLine="0" w:firstLineChars="0"/>
                    <w:jc w:val="center"/>
                    <w:rPr>
                      <w:szCs w:val="21"/>
                      <w:lang w:val="en-US" w:eastAsia="zh-CN"/>
                    </w:rPr>
                  </w:pPr>
                  <w:r>
                    <w:rPr>
                      <w:rFonts w:hint="eastAsia"/>
                      <w:szCs w:val="21"/>
                      <w:lang w:val="en-US" w:eastAsia="zh-CN"/>
                    </w:rPr>
                    <w:t>间歇</w:t>
                  </w:r>
                </w:p>
              </w:tc>
              <w:tc>
                <w:tcPr>
                  <w:tcW w:w="1478" w:type="pct"/>
                  <w:shd w:val="clear" w:color="auto" w:fill="auto"/>
                  <w:vAlign w:val="center"/>
                </w:tcPr>
                <w:p>
                  <w:pPr>
                    <w:pStyle w:val="6"/>
                    <w:ind w:firstLine="0" w:firstLineChars="0"/>
                    <w:jc w:val="left"/>
                    <w:rPr>
                      <w:snapToGrid w:val="0"/>
                      <w:szCs w:val="21"/>
                      <w:lang w:eastAsia="zh-CN"/>
                    </w:rPr>
                  </w:pPr>
                  <w:r>
                    <w:rPr>
                      <w:rFonts w:hint="eastAsia"/>
                      <w:snapToGrid w:val="0"/>
                      <w:szCs w:val="21"/>
                      <w:lang w:eastAsia="zh-CN"/>
                    </w:rPr>
                    <w:t>集中收集后交物资回收部门回收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325" w:type="pct"/>
                  <w:vMerge w:val="continue"/>
                  <w:shd w:val="clear" w:color="auto" w:fill="auto"/>
                  <w:vAlign w:val="center"/>
                </w:tcPr>
                <w:p>
                  <w:pPr>
                    <w:pStyle w:val="6"/>
                    <w:ind w:firstLine="0" w:firstLineChars="0"/>
                    <w:jc w:val="center"/>
                    <w:rPr>
                      <w:szCs w:val="21"/>
                      <w:lang w:val="en-US" w:eastAsia="zh-CN"/>
                    </w:rPr>
                  </w:pPr>
                </w:p>
              </w:tc>
              <w:tc>
                <w:tcPr>
                  <w:tcW w:w="375" w:type="pct"/>
                  <w:shd w:val="clear" w:color="auto" w:fill="auto"/>
                  <w:vAlign w:val="center"/>
                </w:tcPr>
                <w:p>
                  <w:pPr>
                    <w:pStyle w:val="6"/>
                    <w:ind w:firstLine="0" w:firstLineChars="0"/>
                    <w:jc w:val="center"/>
                    <w:rPr>
                      <w:szCs w:val="21"/>
                      <w:lang w:val="en-US" w:eastAsia="zh-CN"/>
                    </w:rPr>
                  </w:pPr>
                  <w:r>
                    <w:rPr>
                      <w:rFonts w:hint="eastAsia"/>
                      <w:szCs w:val="21"/>
                      <w:lang w:val="en-US" w:eastAsia="zh-CN"/>
                    </w:rPr>
                    <w:t>S6</w:t>
                  </w:r>
                </w:p>
              </w:tc>
              <w:tc>
                <w:tcPr>
                  <w:tcW w:w="1208" w:type="pct"/>
                  <w:gridSpan w:val="2"/>
                  <w:shd w:val="clear" w:color="auto" w:fill="auto"/>
                  <w:vAlign w:val="center"/>
                </w:tcPr>
                <w:p>
                  <w:pPr>
                    <w:pStyle w:val="6"/>
                    <w:ind w:firstLine="0" w:firstLineChars="0"/>
                    <w:jc w:val="center"/>
                    <w:rPr>
                      <w:szCs w:val="21"/>
                      <w:lang w:eastAsia="zh-CN"/>
                    </w:rPr>
                  </w:pPr>
                  <w:r>
                    <w:rPr>
                      <w:rFonts w:hint="eastAsia"/>
                      <w:szCs w:val="21"/>
                      <w:lang w:eastAsia="zh-CN"/>
                    </w:rPr>
                    <w:t>纯水制备</w:t>
                  </w:r>
                </w:p>
              </w:tc>
              <w:tc>
                <w:tcPr>
                  <w:tcW w:w="1291" w:type="pct"/>
                  <w:shd w:val="clear" w:color="auto" w:fill="auto"/>
                  <w:vAlign w:val="center"/>
                </w:tcPr>
                <w:p>
                  <w:pPr>
                    <w:pStyle w:val="6"/>
                    <w:ind w:firstLine="0" w:firstLineChars="0"/>
                    <w:jc w:val="center"/>
                    <w:rPr>
                      <w:szCs w:val="21"/>
                      <w:lang w:eastAsia="zh-CN"/>
                    </w:rPr>
                  </w:pPr>
                  <w:r>
                    <w:rPr>
                      <w:rFonts w:hint="eastAsia"/>
                      <w:szCs w:val="21"/>
                      <w:lang w:eastAsia="zh-CN"/>
                    </w:rPr>
                    <w:t>废树脂</w:t>
                  </w:r>
                </w:p>
              </w:tc>
              <w:tc>
                <w:tcPr>
                  <w:tcW w:w="323" w:type="pct"/>
                  <w:shd w:val="clear" w:color="auto" w:fill="auto"/>
                  <w:vAlign w:val="center"/>
                </w:tcPr>
                <w:p>
                  <w:pPr>
                    <w:pStyle w:val="6"/>
                    <w:ind w:firstLine="0" w:firstLineChars="0"/>
                    <w:jc w:val="center"/>
                    <w:rPr>
                      <w:szCs w:val="21"/>
                      <w:lang w:val="en-US" w:eastAsia="zh-CN"/>
                    </w:rPr>
                  </w:pPr>
                  <w:r>
                    <w:rPr>
                      <w:rFonts w:hint="eastAsia"/>
                      <w:szCs w:val="21"/>
                      <w:lang w:val="en-US" w:eastAsia="zh-CN"/>
                    </w:rPr>
                    <w:t>间歇</w:t>
                  </w:r>
                </w:p>
              </w:tc>
              <w:tc>
                <w:tcPr>
                  <w:tcW w:w="1478" w:type="pct"/>
                  <w:shd w:val="clear" w:color="auto" w:fill="auto"/>
                  <w:vAlign w:val="center"/>
                </w:tcPr>
                <w:p>
                  <w:pPr>
                    <w:pStyle w:val="6"/>
                    <w:ind w:firstLine="0" w:firstLineChars="0"/>
                    <w:jc w:val="center"/>
                    <w:rPr>
                      <w:snapToGrid w:val="0"/>
                      <w:szCs w:val="21"/>
                      <w:lang w:eastAsia="zh-CN"/>
                    </w:rPr>
                  </w:pPr>
                  <w:r>
                    <w:rPr>
                      <w:rFonts w:hint="eastAsia"/>
                      <w:snapToGrid w:val="0"/>
                      <w:szCs w:val="21"/>
                      <w:lang w:eastAsia="zh-CN"/>
                    </w:rPr>
                    <w:t>厂家回收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325" w:type="pct"/>
                  <w:vMerge w:val="continue"/>
                  <w:shd w:val="clear" w:color="auto" w:fill="auto"/>
                  <w:vAlign w:val="center"/>
                </w:tcPr>
                <w:p>
                  <w:pPr>
                    <w:pStyle w:val="6"/>
                    <w:ind w:firstLine="0" w:firstLineChars="0"/>
                    <w:jc w:val="center"/>
                    <w:rPr>
                      <w:szCs w:val="21"/>
                      <w:lang w:val="en-US" w:eastAsia="zh-CN"/>
                    </w:rPr>
                  </w:pPr>
                </w:p>
              </w:tc>
              <w:tc>
                <w:tcPr>
                  <w:tcW w:w="375" w:type="pct"/>
                  <w:shd w:val="clear" w:color="auto" w:fill="auto"/>
                  <w:vAlign w:val="center"/>
                </w:tcPr>
                <w:p>
                  <w:pPr>
                    <w:pStyle w:val="6"/>
                    <w:ind w:firstLine="0" w:firstLineChars="0"/>
                    <w:jc w:val="center"/>
                    <w:rPr>
                      <w:szCs w:val="21"/>
                      <w:lang w:val="en-US" w:eastAsia="zh-CN"/>
                    </w:rPr>
                  </w:pPr>
                  <w:r>
                    <w:rPr>
                      <w:rFonts w:hint="eastAsia"/>
                      <w:szCs w:val="21"/>
                      <w:lang w:val="en-US" w:eastAsia="zh-CN"/>
                    </w:rPr>
                    <w:t>—</w:t>
                  </w:r>
                </w:p>
              </w:tc>
              <w:tc>
                <w:tcPr>
                  <w:tcW w:w="1208" w:type="pct"/>
                  <w:gridSpan w:val="2"/>
                  <w:vMerge w:val="restart"/>
                  <w:shd w:val="clear" w:color="auto" w:fill="auto"/>
                  <w:vAlign w:val="center"/>
                </w:tcPr>
                <w:p>
                  <w:pPr>
                    <w:pStyle w:val="6"/>
                    <w:ind w:firstLine="0" w:firstLineChars="0"/>
                    <w:jc w:val="center"/>
                    <w:rPr>
                      <w:szCs w:val="21"/>
                      <w:lang w:eastAsia="zh-CN"/>
                    </w:rPr>
                  </w:pPr>
                  <w:r>
                    <w:rPr>
                      <w:rFonts w:hint="eastAsia"/>
                      <w:szCs w:val="21"/>
                      <w:lang w:eastAsia="zh-CN"/>
                    </w:rPr>
                    <w:t>污水处理</w:t>
                  </w:r>
                </w:p>
              </w:tc>
              <w:tc>
                <w:tcPr>
                  <w:tcW w:w="1291" w:type="pct"/>
                  <w:shd w:val="clear" w:color="auto" w:fill="auto"/>
                  <w:vAlign w:val="center"/>
                </w:tcPr>
                <w:p>
                  <w:pPr>
                    <w:pStyle w:val="6"/>
                    <w:ind w:firstLine="0" w:firstLineChars="0"/>
                    <w:jc w:val="center"/>
                    <w:rPr>
                      <w:szCs w:val="21"/>
                      <w:lang w:eastAsia="zh-CN"/>
                    </w:rPr>
                  </w:pPr>
                  <w:r>
                    <w:rPr>
                      <w:rFonts w:hint="eastAsia"/>
                      <w:szCs w:val="21"/>
                      <w:lang w:eastAsia="zh-CN"/>
                    </w:rPr>
                    <w:t>污泥、栅渣</w:t>
                  </w:r>
                </w:p>
              </w:tc>
              <w:tc>
                <w:tcPr>
                  <w:tcW w:w="323" w:type="pct"/>
                  <w:shd w:val="clear" w:color="auto" w:fill="auto"/>
                  <w:vAlign w:val="center"/>
                </w:tcPr>
                <w:p>
                  <w:pPr>
                    <w:pStyle w:val="6"/>
                    <w:ind w:firstLine="0" w:firstLineChars="0"/>
                    <w:jc w:val="center"/>
                    <w:rPr>
                      <w:szCs w:val="21"/>
                      <w:lang w:val="en-US" w:eastAsia="zh-CN"/>
                    </w:rPr>
                  </w:pPr>
                  <w:r>
                    <w:rPr>
                      <w:rFonts w:hint="eastAsia"/>
                      <w:szCs w:val="21"/>
                      <w:lang w:val="en-US" w:eastAsia="zh-CN"/>
                    </w:rPr>
                    <w:t>间歇</w:t>
                  </w:r>
                </w:p>
              </w:tc>
              <w:tc>
                <w:tcPr>
                  <w:tcW w:w="1478" w:type="pct"/>
                  <w:vMerge w:val="restart"/>
                  <w:shd w:val="clear" w:color="auto" w:fill="auto"/>
                  <w:vAlign w:val="center"/>
                </w:tcPr>
                <w:p>
                  <w:pPr>
                    <w:pStyle w:val="6"/>
                    <w:ind w:firstLine="0" w:firstLineChars="0"/>
                    <w:jc w:val="left"/>
                    <w:rPr>
                      <w:snapToGrid w:val="0"/>
                      <w:szCs w:val="21"/>
                      <w:lang w:eastAsia="zh-CN"/>
                    </w:rPr>
                  </w:pPr>
                  <w:r>
                    <w:rPr>
                      <w:rFonts w:hint="eastAsia"/>
                      <w:snapToGrid w:val="0"/>
                      <w:szCs w:val="21"/>
                      <w:lang w:eastAsia="zh-CN"/>
                    </w:rPr>
                    <w:t>暂存于危废间，交由有资质单位处置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325" w:type="pct"/>
                  <w:vMerge w:val="continue"/>
                  <w:shd w:val="clear" w:color="auto" w:fill="auto"/>
                  <w:vAlign w:val="center"/>
                </w:tcPr>
                <w:p>
                  <w:pPr>
                    <w:pStyle w:val="6"/>
                    <w:ind w:firstLine="0" w:firstLineChars="0"/>
                    <w:jc w:val="center"/>
                    <w:rPr>
                      <w:szCs w:val="21"/>
                      <w:lang w:val="en-US" w:eastAsia="zh-CN"/>
                    </w:rPr>
                  </w:pPr>
                </w:p>
              </w:tc>
              <w:tc>
                <w:tcPr>
                  <w:tcW w:w="375" w:type="pct"/>
                  <w:shd w:val="clear" w:color="auto" w:fill="auto"/>
                  <w:vAlign w:val="center"/>
                </w:tcPr>
                <w:p>
                  <w:pPr>
                    <w:pStyle w:val="6"/>
                    <w:ind w:firstLine="0" w:firstLineChars="0"/>
                    <w:jc w:val="center"/>
                    <w:rPr>
                      <w:szCs w:val="21"/>
                      <w:lang w:val="en-US" w:eastAsia="zh-CN"/>
                    </w:rPr>
                  </w:pPr>
                  <w:r>
                    <w:rPr>
                      <w:rFonts w:hint="eastAsia"/>
                      <w:szCs w:val="21"/>
                      <w:lang w:val="en-US" w:eastAsia="zh-CN"/>
                    </w:rPr>
                    <w:t>—</w:t>
                  </w:r>
                </w:p>
              </w:tc>
              <w:tc>
                <w:tcPr>
                  <w:tcW w:w="1208" w:type="pct"/>
                  <w:gridSpan w:val="2"/>
                  <w:vMerge w:val="continue"/>
                  <w:shd w:val="clear" w:color="auto" w:fill="auto"/>
                  <w:vAlign w:val="center"/>
                </w:tcPr>
                <w:p>
                  <w:pPr>
                    <w:pStyle w:val="6"/>
                    <w:ind w:firstLine="0" w:firstLineChars="0"/>
                    <w:jc w:val="center"/>
                    <w:rPr>
                      <w:szCs w:val="21"/>
                      <w:lang w:eastAsia="zh-CN"/>
                    </w:rPr>
                  </w:pPr>
                </w:p>
              </w:tc>
              <w:tc>
                <w:tcPr>
                  <w:tcW w:w="1291" w:type="pct"/>
                  <w:shd w:val="clear" w:color="auto" w:fill="auto"/>
                  <w:vAlign w:val="center"/>
                </w:tcPr>
                <w:p>
                  <w:pPr>
                    <w:pStyle w:val="6"/>
                    <w:ind w:firstLine="0" w:firstLineChars="0"/>
                    <w:jc w:val="center"/>
                    <w:rPr>
                      <w:szCs w:val="21"/>
                      <w:lang w:eastAsia="zh-CN"/>
                    </w:rPr>
                  </w:pPr>
                  <w:r>
                    <w:rPr>
                      <w:rFonts w:hint="eastAsia"/>
                      <w:szCs w:val="21"/>
                      <w:lang w:eastAsia="zh-CN"/>
                    </w:rPr>
                    <w:t>在线监测废液</w:t>
                  </w:r>
                </w:p>
              </w:tc>
              <w:tc>
                <w:tcPr>
                  <w:tcW w:w="323" w:type="pct"/>
                  <w:shd w:val="clear" w:color="auto" w:fill="auto"/>
                  <w:vAlign w:val="center"/>
                </w:tcPr>
                <w:p>
                  <w:pPr>
                    <w:pStyle w:val="6"/>
                    <w:ind w:firstLine="0" w:firstLineChars="0"/>
                    <w:jc w:val="center"/>
                    <w:rPr>
                      <w:szCs w:val="21"/>
                      <w:lang w:val="en-US" w:eastAsia="zh-CN"/>
                    </w:rPr>
                  </w:pPr>
                  <w:r>
                    <w:rPr>
                      <w:rFonts w:hint="eastAsia"/>
                      <w:szCs w:val="21"/>
                      <w:lang w:val="en-US" w:eastAsia="zh-CN"/>
                    </w:rPr>
                    <w:t>间歇</w:t>
                  </w:r>
                </w:p>
              </w:tc>
              <w:tc>
                <w:tcPr>
                  <w:tcW w:w="1478" w:type="pct"/>
                  <w:vMerge w:val="continue"/>
                  <w:shd w:val="clear" w:color="auto" w:fill="auto"/>
                  <w:vAlign w:val="center"/>
                </w:tcPr>
                <w:p>
                  <w:pPr>
                    <w:pStyle w:val="6"/>
                    <w:ind w:firstLine="0" w:firstLineChars="0"/>
                    <w:jc w:val="left"/>
                    <w:rPr>
                      <w:snapToGrid w:val="0"/>
                      <w:szCs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325" w:type="pct"/>
                  <w:vMerge w:val="continue"/>
                  <w:shd w:val="clear" w:color="auto" w:fill="auto"/>
                  <w:vAlign w:val="center"/>
                </w:tcPr>
                <w:p>
                  <w:pPr>
                    <w:pStyle w:val="6"/>
                    <w:ind w:firstLine="0" w:firstLineChars="0"/>
                    <w:jc w:val="center"/>
                    <w:rPr>
                      <w:szCs w:val="21"/>
                      <w:lang w:val="en-US" w:eastAsia="zh-CN"/>
                    </w:rPr>
                  </w:pPr>
                </w:p>
              </w:tc>
              <w:tc>
                <w:tcPr>
                  <w:tcW w:w="375" w:type="pct"/>
                  <w:shd w:val="clear" w:color="auto" w:fill="auto"/>
                  <w:vAlign w:val="center"/>
                </w:tcPr>
                <w:p>
                  <w:pPr>
                    <w:pStyle w:val="6"/>
                    <w:ind w:firstLine="0" w:firstLineChars="0"/>
                    <w:jc w:val="center"/>
                    <w:rPr>
                      <w:szCs w:val="21"/>
                      <w:lang w:val="en-US" w:eastAsia="zh-CN"/>
                    </w:rPr>
                  </w:pPr>
                  <w:r>
                    <w:rPr>
                      <w:rFonts w:hint="eastAsia"/>
                      <w:szCs w:val="21"/>
                      <w:lang w:val="en-US" w:eastAsia="zh-CN"/>
                    </w:rPr>
                    <w:t>—</w:t>
                  </w:r>
                </w:p>
              </w:tc>
              <w:tc>
                <w:tcPr>
                  <w:tcW w:w="1208" w:type="pct"/>
                  <w:gridSpan w:val="2"/>
                  <w:shd w:val="clear" w:color="auto" w:fill="auto"/>
                  <w:vAlign w:val="center"/>
                </w:tcPr>
                <w:p>
                  <w:pPr>
                    <w:pStyle w:val="6"/>
                    <w:ind w:firstLine="0" w:firstLineChars="0"/>
                    <w:jc w:val="center"/>
                    <w:rPr>
                      <w:szCs w:val="21"/>
                      <w:lang w:eastAsia="zh-CN"/>
                    </w:rPr>
                  </w:pPr>
                  <w:r>
                    <w:rPr>
                      <w:rFonts w:hint="eastAsia"/>
                      <w:szCs w:val="21"/>
                      <w:lang w:eastAsia="zh-CN"/>
                    </w:rPr>
                    <w:t>废气处理</w:t>
                  </w:r>
                </w:p>
              </w:tc>
              <w:tc>
                <w:tcPr>
                  <w:tcW w:w="1291" w:type="pct"/>
                  <w:shd w:val="clear" w:color="auto" w:fill="auto"/>
                  <w:vAlign w:val="center"/>
                </w:tcPr>
                <w:p>
                  <w:pPr>
                    <w:pStyle w:val="6"/>
                    <w:ind w:firstLine="0" w:firstLineChars="0"/>
                    <w:jc w:val="center"/>
                    <w:rPr>
                      <w:szCs w:val="21"/>
                      <w:lang w:eastAsia="zh-CN"/>
                    </w:rPr>
                  </w:pPr>
                  <w:r>
                    <w:rPr>
                      <w:rFonts w:hint="eastAsia"/>
                      <w:szCs w:val="21"/>
                      <w:lang w:eastAsia="zh-CN"/>
                    </w:rPr>
                    <w:t>废活性炭</w:t>
                  </w:r>
                </w:p>
              </w:tc>
              <w:tc>
                <w:tcPr>
                  <w:tcW w:w="323" w:type="pct"/>
                  <w:shd w:val="clear" w:color="auto" w:fill="auto"/>
                  <w:vAlign w:val="center"/>
                </w:tcPr>
                <w:p>
                  <w:pPr>
                    <w:pStyle w:val="6"/>
                    <w:ind w:firstLine="0" w:firstLineChars="0"/>
                    <w:jc w:val="center"/>
                    <w:rPr>
                      <w:szCs w:val="21"/>
                      <w:lang w:val="en-US" w:eastAsia="zh-CN"/>
                    </w:rPr>
                  </w:pPr>
                  <w:r>
                    <w:rPr>
                      <w:rFonts w:hint="eastAsia"/>
                      <w:szCs w:val="21"/>
                      <w:lang w:val="en-US" w:eastAsia="zh-CN"/>
                    </w:rPr>
                    <w:t>间歇</w:t>
                  </w:r>
                </w:p>
              </w:tc>
              <w:tc>
                <w:tcPr>
                  <w:tcW w:w="1478" w:type="pct"/>
                  <w:shd w:val="clear" w:color="auto" w:fill="auto"/>
                  <w:vAlign w:val="center"/>
                </w:tcPr>
                <w:p>
                  <w:pPr>
                    <w:pStyle w:val="6"/>
                    <w:ind w:firstLine="0" w:firstLineChars="0"/>
                    <w:jc w:val="left"/>
                    <w:rPr>
                      <w:snapToGrid w:val="0"/>
                      <w:szCs w:val="21"/>
                      <w:lang w:eastAsia="zh-CN"/>
                    </w:rPr>
                  </w:pPr>
                  <w:r>
                    <w:rPr>
                      <w:rFonts w:hint="eastAsia"/>
                      <w:snapToGrid w:val="0"/>
                      <w:szCs w:val="21"/>
                      <w:lang w:eastAsia="zh-CN"/>
                    </w:rPr>
                    <w:t>暂存于危废间，交由有资质单位处置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325" w:type="pct"/>
                  <w:vMerge w:val="restart"/>
                  <w:shd w:val="clear" w:color="auto" w:fill="auto"/>
                  <w:vAlign w:val="center"/>
                </w:tcPr>
                <w:p>
                  <w:pPr>
                    <w:pStyle w:val="6"/>
                    <w:ind w:firstLine="0" w:firstLineChars="0"/>
                    <w:jc w:val="center"/>
                    <w:rPr>
                      <w:szCs w:val="21"/>
                      <w:lang w:val="en-US" w:eastAsia="zh-CN"/>
                    </w:rPr>
                  </w:pPr>
                  <w:r>
                    <w:rPr>
                      <w:rFonts w:hint="eastAsia"/>
                      <w:szCs w:val="21"/>
                      <w:lang w:val="en-US" w:eastAsia="zh-CN"/>
                    </w:rPr>
                    <w:t>噪声</w:t>
                  </w:r>
                </w:p>
              </w:tc>
              <w:tc>
                <w:tcPr>
                  <w:tcW w:w="375" w:type="pct"/>
                  <w:shd w:val="clear" w:color="auto" w:fill="auto"/>
                  <w:vAlign w:val="center"/>
                </w:tcPr>
                <w:p>
                  <w:pPr>
                    <w:pStyle w:val="6"/>
                    <w:ind w:firstLine="0" w:firstLineChars="0"/>
                    <w:jc w:val="center"/>
                    <w:rPr>
                      <w:szCs w:val="21"/>
                      <w:lang w:val="en-US" w:eastAsia="zh-CN"/>
                    </w:rPr>
                  </w:pPr>
                  <w:r>
                    <w:rPr>
                      <w:rFonts w:hint="eastAsia"/>
                      <w:szCs w:val="21"/>
                      <w:lang w:val="en-US" w:eastAsia="zh-CN"/>
                    </w:rPr>
                    <w:t>N1</w:t>
                  </w:r>
                </w:p>
              </w:tc>
              <w:tc>
                <w:tcPr>
                  <w:tcW w:w="565" w:type="pct"/>
                  <w:shd w:val="clear" w:color="auto" w:fill="auto"/>
                  <w:vAlign w:val="center"/>
                </w:tcPr>
                <w:p>
                  <w:pPr>
                    <w:pStyle w:val="6"/>
                    <w:ind w:firstLine="0" w:firstLineChars="0"/>
                    <w:jc w:val="center"/>
                    <w:rPr>
                      <w:szCs w:val="21"/>
                      <w:lang w:eastAsia="zh-CN"/>
                    </w:rPr>
                  </w:pPr>
                  <w:r>
                    <w:rPr>
                      <w:rFonts w:hint="eastAsia"/>
                      <w:szCs w:val="21"/>
                      <w:lang w:eastAsia="zh-CN"/>
                    </w:rPr>
                    <w:t>空调系统</w:t>
                  </w:r>
                </w:p>
              </w:tc>
              <w:tc>
                <w:tcPr>
                  <w:tcW w:w="643" w:type="pct"/>
                  <w:shd w:val="clear" w:color="auto" w:fill="auto"/>
                  <w:vAlign w:val="center"/>
                </w:tcPr>
                <w:p>
                  <w:pPr>
                    <w:pStyle w:val="6"/>
                    <w:ind w:firstLine="0" w:firstLineChars="0"/>
                    <w:jc w:val="center"/>
                    <w:rPr>
                      <w:szCs w:val="21"/>
                      <w:lang w:eastAsia="zh-CN"/>
                    </w:rPr>
                  </w:pPr>
                  <w:r>
                    <w:rPr>
                      <w:rFonts w:hint="eastAsia"/>
                      <w:szCs w:val="21"/>
                      <w:lang w:eastAsia="zh-CN"/>
                    </w:rPr>
                    <w:t>冷却塔及泵</w:t>
                  </w:r>
                </w:p>
              </w:tc>
              <w:tc>
                <w:tcPr>
                  <w:tcW w:w="1291" w:type="pct"/>
                  <w:vMerge w:val="restart"/>
                  <w:shd w:val="clear" w:color="auto" w:fill="auto"/>
                  <w:vAlign w:val="center"/>
                </w:tcPr>
                <w:p>
                  <w:pPr>
                    <w:pStyle w:val="6"/>
                    <w:ind w:firstLine="0" w:firstLineChars="0"/>
                    <w:jc w:val="center"/>
                    <w:rPr>
                      <w:szCs w:val="21"/>
                      <w:lang w:eastAsia="zh-CN"/>
                    </w:rPr>
                  </w:pPr>
                  <w:r>
                    <w:rPr>
                      <w:rFonts w:hint="eastAsia"/>
                      <w:szCs w:val="21"/>
                      <w:lang w:eastAsia="zh-CN"/>
                    </w:rPr>
                    <w:t>A声级</w:t>
                  </w:r>
                </w:p>
              </w:tc>
              <w:tc>
                <w:tcPr>
                  <w:tcW w:w="323" w:type="pct"/>
                  <w:shd w:val="clear" w:color="auto" w:fill="auto"/>
                  <w:vAlign w:val="center"/>
                </w:tcPr>
                <w:p>
                  <w:pPr>
                    <w:pStyle w:val="6"/>
                    <w:ind w:firstLine="0" w:firstLineChars="0"/>
                    <w:jc w:val="center"/>
                    <w:rPr>
                      <w:szCs w:val="21"/>
                      <w:lang w:val="en-US" w:eastAsia="zh-CN"/>
                    </w:rPr>
                  </w:pPr>
                  <w:r>
                    <w:rPr>
                      <w:rFonts w:hint="eastAsia"/>
                      <w:szCs w:val="21"/>
                      <w:lang w:val="en-US" w:eastAsia="zh-CN"/>
                    </w:rPr>
                    <w:t>间歇</w:t>
                  </w:r>
                </w:p>
              </w:tc>
              <w:tc>
                <w:tcPr>
                  <w:tcW w:w="1478" w:type="pct"/>
                  <w:vMerge w:val="restart"/>
                  <w:shd w:val="clear" w:color="auto" w:fill="auto"/>
                  <w:vAlign w:val="center"/>
                </w:tcPr>
                <w:p>
                  <w:pPr>
                    <w:pStyle w:val="6"/>
                    <w:ind w:firstLine="0" w:firstLineChars="0"/>
                    <w:jc w:val="left"/>
                    <w:rPr>
                      <w:snapToGrid w:val="0"/>
                      <w:szCs w:val="21"/>
                      <w:lang w:eastAsia="zh-CN"/>
                    </w:rPr>
                  </w:pPr>
                  <w:r>
                    <w:rPr>
                      <w:rFonts w:hint="eastAsia"/>
                      <w:snapToGrid w:val="0"/>
                      <w:szCs w:val="21"/>
                      <w:lang w:eastAsia="zh-CN"/>
                    </w:rPr>
                    <w:t>选用低噪声设备，置于密闭构筑物中，基础减振等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325" w:type="pct"/>
                  <w:vMerge w:val="continue"/>
                  <w:shd w:val="clear" w:color="auto" w:fill="auto"/>
                  <w:vAlign w:val="center"/>
                </w:tcPr>
                <w:p>
                  <w:pPr>
                    <w:pStyle w:val="6"/>
                    <w:ind w:firstLine="0" w:firstLineChars="0"/>
                    <w:jc w:val="center"/>
                    <w:rPr>
                      <w:szCs w:val="21"/>
                      <w:lang w:val="en-US" w:eastAsia="zh-CN"/>
                    </w:rPr>
                  </w:pPr>
                </w:p>
              </w:tc>
              <w:tc>
                <w:tcPr>
                  <w:tcW w:w="375" w:type="pct"/>
                  <w:shd w:val="clear" w:color="auto" w:fill="auto"/>
                  <w:vAlign w:val="center"/>
                </w:tcPr>
                <w:p>
                  <w:pPr>
                    <w:pStyle w:val="6"/>
                    <w:ind w:firstLine="0" w:firstLineChars="0"/>
                    <w:jc w:val="center"/>
                    <w:rPr>
                      <w:szCs w:val="21"/>
                      <w:lang w:val="en-US" w:eastAsia="zh-CN"/>
                    </w:rPr>
                  </w:pPr>
                  <w:r>
                    <w:rPr>
                      <w:rFonts w:hint="eastAsia"/>
                      <w:szCs w:val="21"/>
                      <w:lang w:val="en-US" w:eastAsia="zh-CN"/>
                    </w:rPr>
                    <w:t>N2</w:t>
                  </w:r>
                </w:p>
              </w:tc>
              <w:tc>
                <w:tcPr>
                  <w:tcW w:w="565" w:type="pct"/>
                  <w:shd w:val="clear" w:color="auto" w:fill="auto"/>
                  <w:vAlign w:val="center"/>
                </w:tcPr>
                <w:p>
                  <w:pPr>
                    <w:pStyle w:val="6"/>
                    <w:ind w:firstLine="0" w:firstLineChars="0"/>
                    <w:jc w:val="center"/>
                    <w:rPr>
                      <w:szCs w:val="21"/>
                      <w:lang w:eastAsia="zh-CN"/>
                    </w:rPr>
                  </w:pPr>
                  <w:r>
                    <w:rPr>
                      <w:rFonts w:hint="eastAsia"/>
                      <w:szCs w:val="21"/>
                      <w:lang w:eastAsia="zh-CN"/>
                    </w:rPr>
                    <w:t>污水处理</w:t>
                  </w:r>
                </w:p>
              </w:tc>
              <w:tc>
                <w:tcPr>
                  <w:tcW w:w="643" w:type="pct"/>
                  <w:shd w:val="clear" w:color="auto" w:fill="auto"/>
                  <w:vAlign w:val="center"/>
                </w:tcPr>
                <w:p>
                  <w:pPr>
                    <w:pStyle w:val="6"/>
                    <w:ind w:firstLine="0" w:firstLineChars="0"/>
                    <w:jc w:val="center"/>
                    <w:rPr>
                      <w:szCs w:val="21"/>
                      <w:lang w:eastAsia="zh-CN"/>
                    </w:rPr>
                  </w:pPr>
                  <w:r>
                    <w:rPr>
                      <w:rFonts w:hint="eastAsia"/>
                      <w:szCs w:val="21"/>
                      <w:lang w:eastAsia="zh-CN"/>
                    </w:rPr>
                    <w:t>泵类</w:t>
                  </w:r>
                </w:p>
              </w:tc>
              <w:tc>
                <w:tcPr>
                  <w:tcW w:w="1291" w:type="pct"/>
                  <w:vMerge w:val="continue"/>
                  <w:shd w:val="clear" w:color="auto" w:fill="auto"/>
                  <w:vAlign w:val="center"/>
                </w:tcPr>
                <w:p>
                  <w:pPr>
                    <w:pStyle w:val="6"/>
                    <w:ind w:firstLine="0" w:firstLineChars="0"/>
                    <w:jc w:val="center"/>
                    <w:rPr>
                      <w:szCs w:val="21"/>
                      <w:lang w:eastAsia="zh-CN"/>
                    </w:rPr>
                  </w:pPr>
                </w:p>
              </w:tc>
              <w:tc>
                <w:tcPr>
                  <w:tcW w:w="323" w:type="pct"/>
                  <w:shd w:val="clear" w:color="auto" w:fill="auto"/>
                  <w:vAlign w:val="center"/>
                </w:tcPr>
                <w:p>
                  <w:pPr>
                    <w:pStyle w:val="6"/>
                    <w:ind w:firstLine="0" w:firstLineChars="0"/>
                    <w:jc w:val="center"/>
                    <w:rPr>
                      <w:szCs w:val="21"/>
                      <w:lang w:val="en-US" w:eastAsia="zh-CN"/>
                    </w:rPr>
                  </w:pPr>
                  <w:r>
                    <w:rPr>
                      <w:rFonts w:hint="eastAsia"/>
                      <w:szCs w:val="21"/>
                      <w:lang w:val="en-US" w:eastAsia="zh-CN"/>
                    </w:rPr>
                    <w:t>间歇</w:t>
                  </w:r>
                </w:p>
              </w:tc>
              <w:tc>
                <w:tcPr>
                  <w:tcW w:w="1478" w:type="pct"/>
                  <w:vMerge w:val="continue"/>
                  <w:shd w:val="clear" w:color="auto" w:fill="auto"/>
                  <w:vAlign w:val="center"/>
                </w:tcPr>
                <w:p>
                  <w:pPr>
                    <w:pStyle w:val="6"/>
                    <w:ind w:firstLine="0" w:firstLineChars="0"/>
                    <w:jc w:val="left"/>
                    <w:rPr>
                      <w:snapToGrid w:val="0"/>
                      <w:szCs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325" w:type="pct"/>
                  <w:vMerge w:val="continue"/>
                  <w:shd w:val="clear" w:color="auto" w:fill="auto"/>
                  <w:vAlign w:val="center"/>
                </w:tcPr>
                <w:p>
                  <w:pPr>
                    <w:pStyle w:val="6"/>
                    <w:ind w:firstLine="0" w:firstLineChars="0"/>
                    <w:jc w:val="center"/>
                    <w:rPr>
                      <w:szCs w:val="21"/>
                      <w:lang w:val="en-US" w:eastAsia="zh-CN"/>
                    </w:rPr>
                  </w:pPr>
                </w:p>
              </w:tc>
              <w:tc>
                <w:tcPr>
                  <w:tcW w:w="375" w:type="pct"/>
                  <w:shd w:val="clear" w:color="auto" w:fill="auto"/>
                  <w:vAlign w:val="center"/>
                </w:tcPr>
                <w:p>
                  <w:pPr>
                    <w:pStyle w:val="6"/>
                    <w:ind w:firstLine="0" w:firstLineChars="0"/>
                    <w:jc w:val="center"/>
                    <w:rPr>
                      <w:szCs w:val="21"/>
                      <w:lang w:val="en-US" w:eastAsia="zh-CN"/>
                    </w:rPr>
                  </w:pPr>
                  <w:r>
                    <w:rPr>
                      <w:rFonts w:hint="eastAsia"/>
                      <w:szCs w:val="21"/>
                      <w:lang w:val="en-US" w:eastAsia="zh-CN"/>
                    </w:rPr>
                    <w:t>N3</w:t>
                  </w:r>
                </w:p>
              </w:tc>
              <w:tc>
                <w:tcPr>
                  <w:tcW w:w="565" w:type="pct"/>
                  <w:shd w:val="clear" w:color="auto" w:fill="auto"/>
                  <w:vAlign w:val="center"/>
                </w:tcPr>
                <w:p>
                  <w:pPr>
                    <w:pStyle w:val="6"/>
                    <w:ind w:firstLine="0" w:firstLineChars="0"/>
                    <w:jc w:val="center"/>
                    <w:rPr>
                      <w:szCs w:val="21"/>
                      <w:lang w:eastAsia="zh-CN"/>
                    </w:rPr>
                  </w:pPr>
                  <w:r>
                    <w:rPr>
                      <w:rFonts w:hint="eastAsia"/>
                      <w:szCs w:val="21"/>
                      <w:lang w:eastAsia="zh-CN"/>
                    </w:rPr>
                    <w:t>废气处理</w:t>
                  </w:r>
                </w:p>
              </w:tc>
              <w:tc>
                <w:tcPr>
                  <w:tcW w:w="643" w:type="pct"/>
                  <w:shd w:val="clear" w:color="auto" w:fill="auto"/>
                  <w:vAlign w:val="center"/>
                </w:tcPr>
                <w:p>
                  <w:pPr>
                    <w:pStyle w:val="6"/>
                    <w:ind w:firstLine="0" w:firstLineChars="0"/>
                    <w:jc w:val="center"/>
                    <w:rPr>
                      <w:szCs w:val="21"/>
                      <w:lang w:eastAsia="zh-CN"/>
                    </w:rPr>
                  </w:pPr>
                  <w:r>
                    <w:rPr>
                      <w:rFonts w:hint="eastAsia"/>
                      <w:szCs w:val="21"/>
                      <w:lang w:eastAsia="zh-CN"/>
                    </w:rPr>
                    <w:t>风机等</w:t>
                  </w:r>
                </w:p>
              </w:tc>
              <w:tc>
                <w:tcPr>
                  <w:tcW w:w="1291" w:type="pct"/>
                  <w:vMerge w:val="continue"/>
                  <w:shd w:val="clear" w:color="auto" w:fill="auto"/>
                  <w:vAlign w:val="center"/>
                </w:tcPr>
                <w:p>
                  <w:pPr>
                    <w:pStyle w:val="6"/>
                    <w:ind w:firstLine="0" w:firstLineChars="0"/>
                    <w:jc w:val="center"/>
                    <w:rPr>
                      <w:szCs w:val="21"/>
                      <w:lang w:eastAsia="zh-CN"/>
                    </w:rPr>
                  </w:pPr>
                </w:p>
              </w:tc>
              <w:tc>
                <w:tcPr>
                  <w:tcW w:w="323" w:type="pct"/>
                  <w:shd w:val="clear" w:color="auto" w:fill="auto"/>
                  <w:vAlign w:val="center"/>
                </w:tcPr>
                <w:p>
                  <w:pPr>
                    <w:pStyle w:val="6"/>
                    <w:ind w:firstLine="0" w:firstLineChars="0"/>
                    <w:jc w:val="center"/>
                    <w:rPr>
                      <w:szCs w:val="21"/>
                      <w:lang w:val="en-US" w:eastAsia="zh-CN"/>
                    </w:rPr>
                  </w:pPr>
                  <w:r>
                    <w:rPr>
                      <w:rFonts w:hint="eastAsia"/>
                      <w:szCs w:val="21"/>
                      <w:lang w:val="en-US" w:eastAsia="zh-CN"/>
                    </w:rPr>
                    <w:t>间歇</w:t>
                  </w:r>
                </w:p>
              </w:tc>
              <w:tc>
                <w:tcPr>
                  <w:tcW w:w="1478" w:type="pct"/>
                  <w:vMerge w:val="continue"/>
                  <w:shd w:val="clear" w:color="auto" w:fill="auto"/>
                  <w:vAlign w:val="center"/>
                </w:tcPr>
                <w:p>
                  <w:pPr>
                    <w:pStyle w:val="6"/>
                    <w:ind w:firstLine="0" w:firstLineChars="0"/>
                    <w:jc w:val="left"/>
                    <w:rPr>
                      <w:snapToGrid w:val="0"/>
                      <w:szCs w:val="21"/>
                      <w:lang w:eastAsia="zh-CN"/>
                    </w:rPr>
                  </w:pPr>
                </w:p>
              </w:tc>
            </w:tr>
          </w:tbl>
          <w:p>
            <w:pPr>
              <w:ind w:firstLine="0" w:firstLineChars="0"/>
              <w:jc w:val="left"/>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310" w:type="pct"/>
            <w:vAlign w:val="center"/>
          </w:tcPr>
          <w:p>
            <w:pPr>
              <w:spacing w:line="240" w:lineRule="auto"/>
              <w:ind w:right="46" w:rightChars="19" w:firstLine="0" w:firstLineChars="0"/>
              <w:jc w:val="center"/>
            </w:pPr>
            <w:r>
              <w:rPr>
                <w:rFonts w:hint="eastAsia" w:cs="宋体"/>
                <w:bCs/>
                <w:sz w:val="21"/>
                <w:szCs w:val="21"/>
              </w:rPr>
              <w:t>与</w:t>
            </w:r>
            <w:r>
              <w:rPr>
                <w:rFonts w:hint="eastAsia"/>
              </w:rPr>
              <w:t>项目有关的原有环境污染问题</w:t>
            </w:r>
          </w:p>
        </w:tc>
        <w:tc>
          <w:tcPr>
            <w:tcW w:w="4690" w:type="pct"/>
            <w:vAlign w:val="center"/>
          </w:tcPr>
          <w:p>
            <w:pPr>
              <w:ind w:left="48" w:leftChars="20" w:right="48" w:rightChars="20" w:firstLine="480"/>
              <w:jc w:val="left"/>
            </w:pPr>
            <w:r>
              <w:rPr>
                <w:rFonts w:hint="eastAsia"/>
              </w:rPr>
              <w:t>本项目为新建项目，位于河北省石家庄市高新区学苑路30号副6号傲湖小区1号商业楼01-204，为小区底商，原为商店及办公场所，无生产废水、废气、固废、噪声产生，因此原有工程不涉及遗留环境问题。</w:t>
            </w:r>
          </w:p>
          <w:p>
            <w:pPr>
              <w:ind w:left="24" w:leftChars="10" w:firstLine="0" w:firstLineChars="0"/>
              <w:jc w:val="left"/>
              <w:rPr>
                <w:b/>
              </w:rPr>
            </w:pPr>
          </w:p>
          <w:p>
            <w:pPr>
              <w:ind w:left="24" w:leftChars="10" w:firstLine="0" w:firstLineChars="0"/>
              <w:jc w:val="left"/>
              <w:rPr>
                <w:b/>
              </w:rPr>
            </w:pPr>
          </w:p>
          <w:p>
            <w:pPr>
              <w:ind w:left="24" w:leftChars="10" w:firstLine="0" w:firstLineChars="0"/>
              <w:jc w:val="left"/>
              <w:rPr>
                <w:b/>
              </w:rPr>
            </w:pPr>
          </w:p>
          <w:p>
            <w:pPr>
              <w:ind w:left="24" w:leftChars="10" w:firstLine="0" w:firstLineChars="0"/>
              <w:jc w:val="left"/>
              <w:rPr>
                <w:b/>
              </w:rPr>
            </w:pPr>
          </w:p>
          <w:p>
            <w:pPr>
              <w:ind w:firstLine="0" w:firstLineChars="0"/>
              <w:jc w:val="left"/>
              <w:rPr>
                <w:b/>
              </w:rPr>
            </w:pPr>
          </w:p>
          <w:p>
            <w:pPr>
              <w:ind w:firstLine="0" w:firstLineChars="0"/>
              <w:jc w:val="left"/>
              <w:rPr>
                <w:b/>
              </w:rPr>
            </w:pPr>
          </w:p>
          <w:p>
            <w:pPr>
              <w:ind w:firstLine="0" w:firstLineChars="0"/>
              <w:jc w:val="left"/>
              <w:rPr>
                <w:b/>
              </w:rPr>
            </w:pPr>
          </w:p>
          <w:p>
            <w:pPr>
              <w:ind w:firstLine="0" w:firstLineChars="0"/>
              <w:jc w:val="left"/>
              <w:rPr>
                <w:b/>
              </w:rPr>
            </w:pPr>
          </w:p>
          <w:p>
            <w:pPr>
              <w:ind w:firstLine="0" w:firstLineChars="0"/>
              <w:jc w:val="left"/>
              <w:rPr>
                <w:b/>
              </w:rPr>
            </w:pPr>
          </w:p>
          <w:p>
            <w:pPr>
              <w:ind w:firstLine="0" w:firstLineChars="0"/>
              <w:jc w:val="left"/>
              <w:rPr>
                <w:b/>
              </w:rPr>
            </w:pPr>
          </w:p>
          <w:p>
            <w:pPr>
              <w:ind w:firstLine="0" w:firstLineChars="0"/>
              <w:jc w:val="left"/>
              <w:rPr>
                <w:b/>
              </w:rPr>
            </w:pPr>
          </w:p>
          <w:p>
            <w:pPr>
              <w:ind w:firstLine="0" w:firstLineChars="0"/>
              <w:jc w:val="left"/>
              <w:rPr>
                <w:b/>
              </w:rPr>
            </w:pPr>
          </w:p>
          <w:p>
            <w:pPr>
              <w:ind w:firstLine="0" w:firstLineChars="0"/>
              <w:jc w:val="left"/>
              <w:rPr>
                <w:b/>
              </w:rPr>
            </w:pPr>
          </w:p>
          <w:p>
            <w:pPr>
              <w:ind w:firstLine="0" w:firstLineChars="0"/>
              <w:jc w:val="left"/>
              <w:rPr>
                <w:b/>
              </w:rPr>
            </w:pPr>
          </w:p>
          <w:p>
            <w:pPr>
              <w:ind w:firstLine="0" w:firstLineChars="0"/>
              <w:jc w:val="left"/>
              <w:rPr>
                <w:b/>
              </w:rPr>
            </w:pPr>
          </w:p>
        </w:tc>
      </w:tr>
    </w:tbl>
    <w:p>
      <w:pPr>
        <w:spacing w:line="240" w:lineRule="auto"/>
        <w:ind w:right="46" w:rightChars="19" w:firstLine="0" w:firstLineChars="0"/>
        <w:sectPr>
          <w:pgSz w:w="11906" w:h="16838"/>
          <w:pgMar w:top="1440" w:right="1800" w:bottom="1440" w:left="1800" w:header="851" w:footer="992" w:gutter="0"/>
          <w:cols w:space="425" w:num="1"/>
          <w:docGrid w:type="lines" w:linePitch="312" w:charSpace="0"/>
        </w:sectPr>
      </w:pPr>
    </w:p>
    <w:p>
      <w:pPr>
        <w:pStyle w:val="2"/>
        <w:ind w:right="46" w:rightChars="19"/>
      </w:pPr>
      <w:r>
        <w:rPr>
          <w:rFonts w:hint="eastAsia"/>
        </w:rPr>
        <w:t>三、区域环境质量现状、环境保护目标及评价标准</w:t>
      </w:r>
    </w:p>
    <w:tbl>
      <w:tblPr>
        <w:tblStyle w:val="17"/>
        <w:tblW w:w="560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568"/>
        <w:gridCol w:w="87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568" w:type="dxa"/>
            <w:vAlign w:val="center"/>
          </w:tcPr>
          <w:p>
            <w:pPr>
              <w:spacing w:line="400" w:lineRule="exact"/>
              <w:ind w:right="46" w:rightChars="19" w:firstLine="0" w:firstLineChars="0"/>
              <w:jc w:val="center"/>
            </w:pPr>
            <w:r>
              <w:rPr>
                <w:rFonts w:hint="eastAsia"/>
              </w:rPr>
              <w:t>区域环境质量现状</w:t>
            </w:r>
          </w:p>
        </w:tc>
        <w:tc>
          <w:tcPr>
            <w:tcW w:w="8755" w:type="dxa"/>
            <w:vAlign w:val="center"/>
          </w:tcPr>
          <w:p>
            <w:pPr>
              <w:ind w:right="46" w:rightChars="19" w:firstLine="0" w:firstLineChars="0"/>
              <w:jc w:val="left"/>
              <w:rPr>
                <w:b/>
              </w:rPr>
            </w:pPr>
            <w:r>
              <w:rPr>
                <w:rFonts w:hint="eastAsia"/>
                <w:b/>
              </w:rPr>
              <w:t>1、大气环境质量现状</w:t>
            </w:r>
          </w:p>
          <w:p>
            <w:pPr>
              <w:ind w:left="120" w:leftChars="50" w:right="120" w:rightChars="50" w:firstLine="480"/>
              <w:jc w:val="left"/>
              <w:rPr>
                <w:bCs/>
                <w:lang w:val="zh-CN"/>
              </w:rPr>
            </w:pPr>
            <w:r>
              <w:rPr>
                <w:bCs/>
                <w:lang w:val="zh-CN"/>
              </w:rPr>
              <w:t>根据</w:t>
            </w:r>
            <w:r>
              <w:rPr>
                <w:rFonts w:hint="eastAsia"/>
                <w:bCs/>
                <w:lang w:val="zh-CN"/>
              </w:rPr>
              <w:t>石家庄市生态环境局2024年6月6日发布的</w:t>
            </w:r>
            <w:r>
              <w:rPr>
                <w:bCs/>
                <w:lang w:val="zh-CN"/>
              </w:rPr>
              <w:t>《202</w:t>
            </w:r>
            <w:r>
              <w:rPr>
                <w:rFonts w:hint="eastAsia"/>
                <w:bCs/>
                <w:lang w:val="zh-CN"/>
              </w:rPr>
              <w:t>3</w:t>
            </w:r>
            <w:r>
              <w:rPr>
                <w:bCs/>
                <w:lang w:val="zh-CN"/>
              </w:rPr>
              <w:t>年度石家庄</w:t>
            </w:r>
            <w:r>
              <w:rPr>
                <w:rFonts w:hint="eastAsia"/>
                <w:bCs/>
                <w:lang w:val="zh-CN"/>
              </w:rPr>
              <w:t>市生态环境状况公报</w:t>
            </w:r>
            <w:r>
              <w:rPr>
                <w:bCs/>
                <w:lang w:val="zh-CN"/>
              </w:rPr>
              <w:t>》中相关数据判定项目所在区域</w:t>
            </w:r>
            <w:r>
              <w:rPr>
                <w:bCs/>
              </w:rPr>
              <w:t>环境空气质量达标情况</w:t>
            </w:r>
            <w:r>
              <w:rPr>
                <w:bCs/>
                <w:lang w:val="zh-CN"/>
              </w:rPr>
              <w:t>进行判定：</w:t>
            </w:r>
          </w:p>
          <w:p>
            <w:pPr>
              <w:pStyle w:val="14"/>
            </w:pPr>
            <w:r>
              <w:t>表</w:t>
            </w:r>
            <w:r>
              <w:rPr>
                <w:rFonts w:hint="eastAsia"/>
              </w:rPr>
              <w:t>12</w:t>
            </w:r>
            <w:r>
              <w:t xml:space="preserve">   区域空气质量现状评价表</w:t>
            </w:r>
          </w:p>
          <w:tbl>
            <w:tblPr>
              <w:tblStyle w:val="16"/>
              <w:tblW w:w="494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1023"/>
              <w:gridCol w:w="3686"/>
              <w:gridCol w:w="1192"/>
              <w:gridCol w:w="1033"/>
              <w:gridCol w:w="921"/>
              <w:gridCol w:w="7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592" w:type="pct"/>
                  <w:shd w:val="clear" w:color="auto" w:fill="auto"/>
                  <w:vAlign w:val="center"/>
                </w:tcPr>
                <w:p>
                  <w:pPr>
                    <w:spacing w:line="240" w:lineRule="auto"/>
                    <w:ind w:right="46" w:rightChars="19" w:firstLine="0" w:firstLineChars="0"/>
                    <w:jc w:val="center"/>
                    <w:rPr>
                      <w:bCs/>
                      <w:sz w:val="21"/>
                      <w:szCs w:val="21"/>
                      <w:lang w:val="zh-CN"/>
                    </w:rPr>
                  </w:pPr>
                  <w:r>
                    <w:rPr>
                      <w:bCs/>
                      <w:sz w:val="21"/>
                      <w:szCs w:val="21"/>
                      <w:lang w:val="zh-CN"/>
                    </w:rPr>
                    <w:t>污染物</w:t>
                  </w:r>
                </w:p>
              </w:tc>
              <w:tc>
                <w:tcPr>
                  <w:tcW w:w="2133" w:type="pct"/>
                  <w:shd w:val="clear" w:color="auto" w:fill="auto"/>
                  <w:vAlign w:val="center"/>
                </w:tcPr>
                <w:p>
                  <w:pPr>
                    <w:spacing w:line="240" w:lineRule="auto"/>
                    <w:ind w:right="46" w:rightChars="19" w:firstLine="0" w:firstLineChars="0"/>
                    <w:jc w:val="center"/>
                    <w:rPr>
                      <w:bCs/>
                      <w:sz w:val="21"/>
                      <w:szCs w:val="21"/>
                      <w:lang w:val="zh-CN"/>
                    </w:rPr>
                  </w:pPr>
                  <w:r>
                    <w:rPr>
                      <w:bCs/>
                      <w:sz w:val="21"/>
                      <w:szCs w:val="21"/>
                      <w:lang w:val="zh-CN"/>
                    </w:rPr>
                    <w:t>年评价</w:t>
                  </w:r>
                  <w:r>
                    <w:rPr>
                      <w:rFonts w:hint="eastAsia"/>
                      <w:bCs/>
                      <w:sz w:val="21"/>
                      <w:szCs w:val="21"/>
                      <w:lang w:val="zh-CN"/>
                    </w:rPr>
                    <w:t>指</w:t>
                  </w:r>
                  <w:r>
                    <w:rPr>
                      <w:bCs/>
                      <w:sz w:val="21"/>
                      <w:szCs w:val="21"/>
                      <w:lang w:val="zh-CN"/>
                    </w:rPr>
                    <w:t>标</w:t>
                  </w:r>
                </w:p>
              </w:tc>
              <w:tc>
                <w:tcPr>
                  <w:tcW w:w="690" w:type="pct"/>
                  <w:shd w:val="clear" w:color="auto" w:fill="auto"/>
                  <w:vAlign w:val="center"/>
                </w:tcPr>
                <w:p>
                  <w:pPr>
                    <w:spacing w:line="240" w:lineRule="auto"/>
                    <w:ind w:right="46" w:rightChars="19" w:firstLine="0" w:firstLineChars="0"/>
                    <w:jc w:val="center"/>
                    <w:rPr>
                      <w:bCs/>
                      <w:sz w:val="21"/>
                      <w:szCs w:val="21"/>
                      <w:lang w:val="zh-CN"/>
                    </w:rPr>
                  </w:pPr>
                  <w:r>
                    <w:rPr>
                      <w:bCs/>
                      <w:sz w:val="21"/>
                      <w:szCs w:val="21"/>
                      <w:lang w:val="zh-CN"/>
                    </w:rPr>
                    <w:t>现状浓度/（μg/m</w:t>
                  </w:r>
                  <w:r>
                    <w:rPr>
                      <w:bCs/>
                      <w:sz w:val="21"/>
                      <w:szCs w:val="21"/>
                      <w:vertAlign w:val="superscript"/>
                      <w:lang w:val="zh-CN"/>
                    </w:rPr>
                    <w:t>3</w:t>
                  </w:r>
                  <w:r>
                    <w:rPr>
                      <w:bCs/>
                      <w:sz w:val="21"/>
                      <w:szCs w:val="21"/>
                      <w:lang w:val="zh-CN"/>
                    </w:rPr>
                    <w:t>）</w:t>
                  </w:r>
                </w:p>
              </w:tc>
              <w:tc>
                <w:tcPr>
                  <w:tcW w:w="598" w:type="pct"/>
                  <w:shd w:val="clear" w:color="auto" w:fill="auto"/>
                  <w:vAlign w:val="center"/>
                </w:tcPr>
                <w:p>
                  <w:pPr>
                    <w:spacing w:line="240" w:lineRule="auto"/>
                    <w:ind w:right="46" w:rightChars="19" w:firstLine="0" w:firstLineChars="0"/>
                    <w:jc w:val="center"/>
                    <w:rPr>
                      <w:bCs/>
                      <w:sz w:val="21"/>
                      <w:szCs w:val="21"/>
                      <w:lang w:val="zh-CN"/>
                    </w:rPr>
                  </w:pPr>
                  <w:r>
                    <w:rPr>
                      <w:bCs/>
                      <w:sz w:val="21"/>
                      <w:szCs w:val="21"/>
                      <w:lang w:val="zh-CN"/>
                    </w:rPr>
                    <w:t>标准值/（μg/m</w:t>
                  </w:r>
                  <w:r>
                    <w:rPr>
                      <w:bCs/>
                      <w:sz w:val="21"/>
                      <w:szCs w:val="21"/>
                      <w:vertAlign w:val="superscript"/>
                      <w:lang w:val="zh-CN"/>
                    </w:rPr>
                    <w:t>3</w:t>
                  </w:r>
                  <w:r>
                    <w:rPr>
                      <w:bCs/>
                      <w:sz w:val="21"/>
                      <w:szCs w:val="21"/>
                      <w:lang w:val="zh-CN"/>
                    </w:rPr>
                    <w:t>）</w:t>
                  </w:r>
                </w:p>
              </w:tc>
              <w:tc>
                <w:tcPr>
                  <w:tcW w:w="533" w:type="pct"/>
                  <w:shd w:val="clear" w:color="auto" w:fill="auto"/>
                  <w:vAlign w:val="center"/>
                </w:tcPr>
                <w:p>
                  <w:pPr>
                    <w:spacing w:line="240" w:lineRule="auto"/>
                    <w:ind w:right="46" w:rightChars="19" w:firstLine="0" w:firstLineChars="0"/>
                    <w:jc w:val="center"/>
                    <w:rPr>
                      <w:bCs/>
                      <w:sz w:val="21"/>
                      <w:szCs w:val="21"/>
                      <w:lang w:val="zh-CN"/>
                    </w:rPr>
                  </w:pPr>
                  <w:r>
                    <w:rPr>
                      <w:bCs/>
                      <w:sz w:val="21"/>
                      <w:szCs w:val="21"/>
                      <w:lang w:val="zh-CN"/>
                    </w:rPr>
                    <w:t>占标率</w:t>
                  </w:r>
                </w:p>
              </w:tc>
              <w:tc>
                <w:tcPr>
                  <w:tcW w:w="454" w:type="pct"/>
                  <w:shd w:val="clear" w:color="auto" w:fill="auto"/>
                  <w:vAlign w:val="center"/>
                </w:tcPr>
                <w:p>
                  <w:pPr>
                    <w:spacing w:line="240" w:lineRule="auto"/>
                    <w:ind w:right="46" w:rightChars="19" w:firstLine="0" w:firstLineChars="0"/>
                    <w:jc w:val="center"/>
                    <w:rPr>
                      <w:bCs/>
                      <w:sz w:val="21"/>
                      <w:szCs w:val="21"/>
                      <w:lang w:val="zh-CN"/>
                    </w:rPr>
                  </w:pPr>
                  <w:r>
                    <w:rPr>
                      <w:bCs/>
                      <w:sz w:val="21"/>
                      <w:szCs w:val="21"/>
                      <w:lang w:val="zh-CN"/>
                    </w:rPr>
                    <w:t>达标情况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592" w:type="pct"/>
                  <w:shd w:val="clear" w:color="auto" w:fill="auto"/>
                  <w:vAlign w:val="center"/>
                </w:tcPr>
                <w:p>
                  <w:pPr>
                    <w:spacing w:line="240" w:lineRule="auto"/>
                    <w:ind w:right="46" w:rightChars="19" w:firstLine="0" w:firstLineChars="0"/>
                    <w:jc w:val="center"/>
                    <w:rPr>
                      <w:bCs/>
                      <w:sz w:val="21"/>
                      <w:szCs w:val="21"/>
                      <w:vertAlign w:val="subscript"/>
                      <w:lang w:val="zh-CN"/>
                    </w:rPr>
                  </w:pPr>
                  <w:r>
                    <w:rPr>
                      <w:bCs/>
                      <w:sz w:val="21"/>
                      <w:szCs w:val="21"/>
                      <w:lang w:val="zh-CN"/>
                    </w:rPr>
                    <w:t>PM</w:t>
                  </w:r>
                  <w:r>
                    <w:rPr>
                      <w:bCs/>
                      <w:sz w:val="21"/>
                      <w:szCs w:val="21"/>
                      <w:vertAlign w:val="subscript"/>
                      <w:lang w:val="zh-CN"/>
                    </w:rPr>
                    <w:t>10</w:t>
                  </w:r>
                </w:p>
              </w:tc>
              <w:tc>
                <w:tcPr>
                  <w:tcW w:w="2133" w:type="pct"/>
                  <w:vMerge w:val="restart"/>
                  <w:shd w:val="clear" w:color="auto" w:fill="auto"/>
                  <w:vAlign w:val="center"/>
                </w:tcPr>
                <w:p>
                  <w:pPr>
                    <w:spacing w:line="240" w:lineRule="auto"/>
                    <w:ind w:right="46" w:rightChars="19" w:firstLine="0" w:firstLineChars="0"/>
                    <w:jc w:val="center"/>
                    <w:rPr>
                      <w:bCs/>
                      <w:sz w:val="21"/>
                      <w:szCs w:val="21"/>
                      <w:lang w:val="zh-CN"/>
                    </w:rPr>
                  </w:pPr>
                  <w:r>
                    <w:rPr>
                      <w:bCs/>
                      <w:sz w:val="21"/>
                      <w:szCs w:val="21"/>
                      <w:lang w:val="zh-CN"/>
                    </w:rPr>
                    <w:t>年</w:t>
                  </w:r>
                  <w:r>
                    <w:rPr>
                      <w:rFonts w:hint="eastAsia"/>
                      <w:bCs/>
                      <w:sz w:val="21"/>
                      <w:szCs w:val="21"/>
                      <w:lang w:val="zh-CN"/>
                    </w:rPr>
                    <w:t>平</w:t>
                  </w:r>
                  <w:r>
                    <w:rPr>
                      <w:bCs/>
                      <w:sz w:val="21"/>
                      <w:szCs w:val="21"/>
                      <w:lang w:val="zh-CN"/>
                    </w:rPr>
                    <w:t>均质量浓度</w:t>
                  </w:r>
                </w:p>
              </w:tc>
              <w:tc>
                <w:tcPr>
                  <w:tcW w:w="690" w:type="pct"/>
                  <w:shd w:val="clear" w:color="auto" w:fill="auto"/>
                  <w:vAlign w:val="center"/>
                </w:tcPr>
                <w:p>
                  <w:pPr>
                    <w:spacing w:line="240" w:lineRule="auto"/>
                    <w:ind w:right="46" w:rightChars="19" w:firstLine="0" w:firstLineChars="0"/>
                    <w:jc w:val="center"/>
                    <w:rPr>
                      <w:bCs/>
                      <w:sz w:val="21"/>
                      <w:szCs w:val="21"/>
                      <w:lang w:val="zh-CN"/>
                    </w:rPr>
                  </w:pPr>
                  <w:r>
                    <w:rPr>
                      <w:rFonts w:hint="eastAsia"/>
                      <w:bCs/>
                      <w:sz w:val="21"/>
                      <w:szCs w:val="21"/>
                      <w:lang w:val="zh-CN"/>
                    </w:rPr>
                    <w:t>78</w:t>
                  </w:r>
                </w:p>
              </w:tc>
              <w:tc>
                <w:tcPr>
                  <w:tcW w:w="598" w:type="pct"/>
                  <w:shd w:val="clear" w:color="auto" w:fill="auto"/>
                  <w:vAlign w:val="center"/>
                </w:tcPr>
                <w:p>
                  <w:pPr>
                    <w:spacing w:line="240" w:lineRule="auto"/>
                    <w:ind w:right="46" w:rightChars="19" w:firstLine="0" w:firstLineChars="0"/>
                    <w:jc w:val="center"/>
                    <w:rPr>
                      <w:bCs/>
                      <w:sz w:val="21"/>
                      <w:szCs w:val="21"/>
                      <w:lang w:val="zh-CN"/>
                    </w:rPr>
                  </w:pPr>
                  <w:r>
                    <w:rPr>
                      <w:bCs/>
                      <w:sz w:val="21"/>
                      <w:szCs w:val="21"/>
                      <w:lang w:val="zh-CN"/>
                    </w:rPr>
                    <w:t>70</w:t>
                  </w:r>
                </w:p>
              </w:tc>
              <w:tc>
                <w:tcPr>
                  <w:tcW w:w="533" w:type="pct"/>
                  <w:shd w:val="clear" w:color="auto" w:fill="auto"/>
                  <w:vAlign w:val="center"/>
                </w:tcPr>
                <w:p>
                  <w:pPr>
                    <w:spacing w:line="240" w:lineRule="auto"/>
                    <w:ind w:firstLine="0" w:firstLineChars="0"/>
                    <w:jc w:val="center"/>
                    <w:rPr>
                      <w:rFonts w:ascii="宋体" w:hAnsi="宋体" w:cs="宋体"/>
                      <w:sz w:val="21"/>
                      <w:szCs w:val="21"/>
                    </w:rPr>
                  </w:pPr>
                  <w:r>
                    <w:rPr>
                      <w:rFonts w:hint="eastAsia"/>
                      <w:sz w:val="21"/>
                      <w:szCs w:val="21"/>
                    </w:rPr>
                    <w:t>111.4</w:t>
                  </w:r>
                </w:p>
              </w:tc>
              <w:tc>
                <w:tcPr>
                  <w:tcW w:w="454" w:type="pct"/>
                  <w:shd w:val="clear" w:color="auto" w:fill="auto"/>
                  <w:vAlign w:val="center"/>
                </w:tcPr>
                <w:p>
                  <w:pPr>
                    <w:spacing w:line="240" w:lineRule="auto"/>
                    <w:ind w:right="46" w:rightChars="19" w:firstLine="0" w:firstLineChars="0"/>
                    <w:jc w:val="center"/>
                    <w:rPr>
                      <w:bCs/>
                      <w:sz w:val="21"/>
                      <w:szCs w:val="21"/>
                      <w:lang w:val="zh-CN"/>
                    </w:rPr>
                  </w:pPr>
                  <w:r>
                    <w:rPr>
                      <w:bCs/>
                      <w:sz w:val="21"/>
                      <w:szCs w:val="21"/>
                      <w:lang w:val="zh-CN"/>
                    </w:rPr>
                    <w:t>超标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592" w:type="pct"/>
                  <w:shd w:val="clear" w:color="auto" w:fill="auto"/>
                  <w:vAlign w:val="center"/>
                </w:tcPr>
                <w:p>
                  <w:pPr>
                    <w:spacing w:line="240" w:lineRule="auto"/>
                    <w:ind w:right="46" w:rightChars="19" w:firstLine="0" w:firstLineChars="0"/>
                    <w:jc w:val="center"/>
                    <w:rPr>
                      <w:bCs/>
                      <w:sz w:val="21"/>
                      <w:szCs w:val="21"/>
                      <w:lang w:val="zh-CN"/>
                    </w:rPr>
                  </w:pPr>
                  <w:r>
                    <w:rPr>
                      <w:bCs/>
                      <w:sz w:val="21"/>
                      <w:szCs w:val="21"/>
                      <w:lang w:val="zh-CN"/>
                    </w:rPr>
                    <w:t>PM</w:t>
                  </w:r>
                  <w:r>
                    <w:rPr>
                      <w:bCs/>
                      <w:sz w:val="21"/>
                      <w:szCs w:val="21"/>
                      <w:vertAlign w:val="subscript"/>
                      <w:lang w:val="zh-CN"/>
                    </w:rPr>
                    <w:t>2.5</w:t>
                  </w:r>
                </w:p>
              </w:tc>
              <w:tc>
                <w:tcPr>
                  <w:tcW w:w="2133" w:type="pct"/>
                  <w:vMerge w:val="continue"/>
                  <w:shd w:val="clear" w:color="auto" w:fill="auto"/>
                  <w:vAlign w:val="center"/>
                </w:tcPr>
                <w:p>
                  <w:pPr>
                    <w:spacing w:line="240" w:lineRule="auto"/>
                    <w:ind w:right="46" w:rightChars="19" w:firstLine="0" w:firstLineChars="0"/>
                    <w:jc w:val="center"/>
                    <w:rPr>
                      <w:bCs/>
                      <w:sz w:val="21"/>
                      <w:szCs w:val="21"/>
                      <w:lang w:val="zh-CN"/>
                    </w:rPr>
                  </w:pPr>
                </w:p>
              </w:tc>
              <w:tc>
                <w:tcPr>
                  <w:tcW w:w="690" w:type="pct"/>
                  <w:shd w:val="clear" w:color="auto" w:fill="auto"/>
                  <w:vAlign w:val="center"/>
                </w:tcPr>
                <w:p>
                  <w:pPr>
                    <w:spacing w:line="240" w:lineRule="auto"/>
                    <w:ind w:right="46" w:rightChars="19" w:firstLine="0" w:firstLineChars="0"/>
                    <w:jc w:val="center"/>
                    <w:rPr>
                      <w:bCs/>
                      <w:sz w:val="21"/>
                      <w:szCs w:val="21"/>
                      <w:lang w:val="zh-CN"/>
                    </w:rPr>
                  </w:pPr>
                  <w:r>
                    <w:rPr>
                      <w:rFonts w:hint="eastAsia"/>
                      <w:bCs/>
                      <w:sz w:val="21"/>
                      <w:szCs w:val="21"/>
                      <w:lang w:val="zh-CN"/>
                    </w:rPr>
                    <w:t>44</w:t>
                  </w:r>
                </w:p>
              </w:tc>
              <w:tc>
                <w:tcPr>
                  <w:tcW w:w="598" w:type="pct"/>
                  <w:shd w:val="clear" w:color="auto" w:fill="auto"/>
                  <w:vAlign w:val="center"/>
                </w:tcPr>
                <w:p>
                  <w:pPr>
                    <w:spacing w:line="240" w:lineRule="auto"/>
                    <w:ind w:right="46" w:rightChars="19" w:firstLine="0" w:firstLineChars="0"/>
                    <w:jc w:val="center"/>
                    <w:rPr>
                      <w:bCs/>
                      <w:sz w:val="21"/>
                      <w:szCs w:val="21"/>
                      <w:lang w:val="zh-CN"/>
                    </w:rPr>
                  </w:pPr>
                  <w:r>
                    <w:rPr>
                      <w:bCs/>
                      <w:sz w:val="21"/>
                      <w:szCs w:val="21"/>
                      <w:lang w:val="zh-CN"/>
                    </w:rPr>
                    <w:t>35</w:t>
                  </w:r>
                </w:p>
              </w:tc>
              <w:tc>
                <w:tcPr>
                  <w:tcW w:w="533" w:type="pct"/>
                  <w:shd w:val="clear" w:color="auto" w:fill="auto"/>
                  <w:vAlign w:val="center"/>
                </w:tcPr>
                <w:p>
                  <w:pPr>
                    <w:spacing w:line="240" w:lineRule="auto"/>
                    <w:ind w:firstLine="0" w:firstLineChars="0"/>
                    <w:jc w:val="center"/>
                    <w:rPr>
                      <w:rFonts w:ascii="宋体" w:hAnsi="宋体" w:cs="宋体"/>
                      <w:sz w:val="21"/>
                      <w:szCs w:val="21"/>
                    </w:rPr>
                  </w:pPr>
                  <w:r>
                    <w:rPr>
                      <w:rFonts w:hint="eastAsia"/>
                      <w:sz w:val="21"/>
                      <w:szCs w:val="21"/>
                    </w:rPr>
                    <w:t>125.7</w:t>
                  </w:r>
                </w:p>
              </w:tc>
              <w:tc>
                <w:tcPr>
                  <w:tcW w:w="454" w:type="pct"/>
                  <w:shd w:val="clear" w:color="auto" w:fill="auto"/>
                  <w:vAlign w:val="center"/>
                </w:tcPr>
                <w:p>
                  <w:pPr>
                    <w:spacing w:line="240" w:lineRule="auto"/>
                    <w:ind w:right="46" w:rightChars="19" w:firstLine="0" w:firstLineChars="0"/>
                    <w:jc w:val="center"/>
                    <w:rPr>
                      <w:bCs/>
                      <w:sz w:val="21"/>
                      <w:szCs w:val="21"/>
                      <w:lang w:val="zh-CN"/>
                    </w:rPr>
                  </w:pPr>
                  <w:r>
                    <w:rPr>
                      <w:bCs/>
                      <w:sz w:val="21"/>
                      <w:szCs w:val="21"/>
                      <w:lang w:val="zh-CN"/>
                    </w:rPr>
                    <w:t>超标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92" w:type="pct"/>
                  <w:shd w:val="clear" w:color="auto" w:fill="auto"/>
                  <w:vAlign w:val="center"/>
                </w:tcPr>
                <w:p>
                  <w:pPr>
                    <w:spacing w:line="240" w:lineRule="auto"/>
                    <w:ind w:right="46" w:rightChars="19" w:firstLine="0" w:firstLineChars="0"/>
                    <w:jc w:val="center"/>
                    <w:rPr>
                      <w:bCs/>
                      <w:sz w:val="21"/>
                      <w:szCs w:val="21"/>
                      <w:lang w:val="zh-CN"/>
                    </w:rPr>
                  </w:pPr>
                  <w:r>
                    <w:rPr>
                      <w:bCs/>
                      <w:sz w:val="21"/>
                      <w:szCs w:val="21"/>
                      <w:lang w:val="zh-CN"/>
                    </w:rPr>
                    <w:t>SO</w:t>
                  </w:r>
                  <w:r>
                    <w:rPr>
                      <w:bCs/>
                      <w:sz w:val="21"/>
                      <w:szCs w:val="21"/>
                      <w:vertAlign w:val="subscript"/>
                      <w:lang w:val="zh-CN"/>
                    </w:rPr>
                    <w:t>2</w:t>
                  </w:r>
                </w:p>
              </w:tc>
              <w:tc>
                <w:tcPr>
                  <w:tcW w:w="2133" w:type="pct"/>
                  <w:vMerge w:val="continue"/>
                  <w:shd w:val="clear" w:color="auto" w:fill="auto"/>
                  <w:vAlign w:val="center"/>
                </w:tcPr>
                <w:p>
                  <w:pPr>
                    <w:spacing w:line="240" w:lineRule="auto"/>
                    <w:ind w:right="46" w:rightChars="19" w:firstLine="0" w:firstLineChars="0"/>
                    <w:jc w:val="center"/>
                    <w:rPr>
                      <w:bCs/>
                      <w:sz w:val="21"/>
                      <w:szCs w:val="21"/>
                      <w:lang w:val="zh-CN"/>
                    </w:rPr>
                  </w:pPr>
                </w:p>
              </w:tc>
              <w:tc>
                <w:tcPr>
                  <w:tcW w:w="690" w:type="pct"/>
                  <w:shd w:val="clear" w:color="auto" w:fill="auto"/>
                  <w:vAlign w:val="center"/>
                </w:tcPr>
                <w:p>
                  <w:pPr>
                    <w:spacing w:line="240" w:lineRule="auto"/>
                    <w:ind w:right="46" w:rightChars="19" w:firstLine="0" w:firstLineChars="0"/>
                    <w:jc w:val="center"/>
                    <w:rPr>
                      <w:bCs/>
                      <w:sz w:val="21"/>
                      <w:szCs w:val="21"/>
                      <w:lang w:val="zh-CN"/>
                    </w:rPr>
                  </w:pPr>
                  <w:r>
                    <w:rPr>
                      <w:rFonts w:hint="eastAsia"/>
                      <w:bCs/>
                      <w:sz w:val="21"/>
                      <w:szCs w:val="21"/>
                      <w:lang w:val="zh-CN"/>
                    </w:rPr>
                    <w:t>7</w:t>
                  </w:r>
                </w:p>
              </w:tc>
              <w:tc>
                <w:tcPr>
                  <w:tcW w:w="598" w:type="pct"/>
                  <w:shd w:val="clear" w:color="auto" w:fill="auto"/>
                  <w:vAlign w:val="center"/>
                </w:tcPr>
                <w:p>
                  <w:pPr>
                    <w:spacing w:line="240" w:lineRule="auto"/>
                    <w:ind w:right="46" w:rightChars="19" w:firstLine="0" w:firstLineChars="0"/>
                    <w:jc w:val="center"/>
                    <w:rPr>
                      <w:bCs/>
                      <w:sz w:val="21"/>
                      <w:szCs w:val="21"/>
                      <w:lang w:val="zh-CN"/>
                    </w:rPr>
                  </w:pPr>
                  <w:r>
                    <w:rPr>
                      <w:bCs/>
                      <w:sz w:val="21"/>
                      <w:szCs w:val="21"/>
                      <w:lang w:val="zh-CN"/>
                    </w:rPr>
                    <w:t>60</w:t>
                  </w:r>
                </w:p>
              </w:tc>
              <w:tc>
                <w:tcPr>
                  <w:tcW w:w="533" w:type="pct"/>
                  <w:shd w:val="clear" w:color="auto" w:fill="auto"/>
                  <w:vAlign w:val="center"/>
                </w:tcPr>
                <w:p>
                  <w:pPr>
                    <w:spacing w:line="240" w:lineRule="auto"/>
                    <w:ind w:firstLine="0" w:firstLineChars="0"/>
                    <w:jc w:val="center"/>
                    <w:rPr>
                      <w:rFonts w:ascii="宋体" w:hAnsi="宋体" w:cs="宋体"/>
                      <w:sz w:val="21"/>
                      <w:szCs w:val="21"/>
                    </w:rPr>
                  </w:pPr>
                  <w:r>
                    <w:rPr>
                      <w:rFonts w:hint="eastAsia"/>
                      <w:sz w:val="21"/>
                      <w:szCs w:val="21"/>
                    </w:rPr>
                    <w:t>11.7</w:t>
                  </w:r>
                </w:p>
              </w:tc>
              <w:tc>
                <w:tcPr>
                  <w:tcW w:w="454" w:type="pct"/>
                  <w:shd w:val="clear" w:color="auto" w:fill="auto"/>
                  <w:vAlign w:val="center"/>
                </w:tcPr>
                <w:p>
                  <w:pPr>
                    <w:spacing w:line="240" w:lineRule="auto"/>
                    <w:ind w:right="46" w:rightChars="19" w:firstLine="0" w:firstLineChars="0"/>
                    <w:jc w:val="center"/>
                    <w:rPr>
                      <w:bCs/>
                      <w:sz w:val="21"/>
                      <w:szCs w:val="21"/>
                      <w:lang w:val="zh-CN"/>
                    </w:rPr>
                  </w:pPr>
                  <w:r>
                    <w:rPr>
                      <w:bCs/>
                      <w:sz w:val="21"/>
                      <w:szCs w:val="21"/>
                      <w:lang w:val="zh-CN"/>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592" w:type="pct"/>
                  <w:shd w:val="clear" w:color="auto" w:fill="auto"/>
                  <w:vAlign w:val="center"/>
                </w:tcPr>
                <w:p>
                  <w:pPr>
                    <w:spacing w:line="240" w:lineRule="auto"/>
                    <w:ind w:right="46" w:rightChars="19" w:firstLine="0" w:firstLineChars="0"/>
                    <w:jc w:val="center"/>
                    <w:rPr>
                      <w:bCs/>
                      <w:sz w:val="21"/>
                      <w:szCs w:val="21"/>
                      <w:lang w:val="zh-CN"/>
                    </w:rPr>
                  </w:pPr>
                  <w:r>
                    <w:rPr>
                      <w:bCs/>
                      <w:sz w:val="21"/>
                      <w:szCs w:val="21"/>
                      <w:lang w:val="zh-CN"/>
                    </w:rPr>
                    <w:t>NO</w:t>
                  </w:r>
                  <w:r>
                    <w:rPr>
                      <w:bCs/>
                      <w:sz w:val="21"/>
                      <w:szCs w:val="21"/>
                      <w:vertAlign w:val="subscript"/>
                      <w:lang w:val="zh-CN"/>
                    </w:rPr>
                    <w:t>2</w:t>
                  </w:r>
                </w:p>
              </w:tc>
              <w:tc>
                <w:tcPr>
                  <w:tcW w:w="2133" w:type="pct"/>
                  <w:vMerge w:val="continue"/>
                  <w:shd w:val="clear" w:color="auto" w:fill="auto"/>
                  <w:vAlign w:val="center"/>
                </w:tcPr>
                <w:p>
                  <w:pPr>
                    <w:spacing w:line="240" w:lineRule="auto"/>
                    <w:ind w:right="46" w:rightChars="19" w:firstLine="0" w:firstLineChars="0"/>
                    <w:jc w:val="center"/>
                    <w:rPr>
                      <w:bCs/>
                      <w:sz w:val="21"/>
                      <w:szCs w:val="21"/>
                      <w:lang w:val="zh-CN"/>
                    </w:rPr>
                  </w:pPr>
                </w:p>
              </w:tc>
              <w:tc>
                <w:tcPr>
                  <w:tcW w:w="690" w:type="pct"/>
                  <w:shd w:val="clear" w:color="auto" w:fill="auto"/>
                  <w:vAlign w:val="center"/>
                </w:tcPr>
                <w:p>
                  <w:pPr>
                    <w:spacing w:line="240" w:lineRule="auto"/>
                    <w:ind w:right="46" w:rightChars="19" w:firstLine="0" w:firstLineChars="0"/>
                    <w:jc w:val="center"/>
                    <w:rPr>
                      <w:bCs/>
                      <w:sz w:val="21"/>
                      <w:szCs w:val="21"/>
                      <w:lang w:val="zh-CN"/>
                    </w:rPr>
                  </w:pPr>
                  <w:r>
                    <w:rPr>
                      <w:rFonts w:hint="eastAsia"/>
                      <w:bCs/>
                      <w:sz w:val="21"/>
                      <w:szCs w:val="21"/>
                      <w:lang w:val="zh-CN"/>
                    </w:rPr>
                    <w:t>32</w:t>
                  </w:r>
                </w:p>
              </w:tc>
              <w:tc>
                <w:tcPr>
                  <w:tcW w:w="598" w:type="pct"/>
                  <w:shd w:val="clear" w:color="auto" w:fill="auto"/>
                  <w:vAlign w:val="center"/>
                </w:tcPr>
                <w:p>
                  <w:pPr>
                    <w:spacing w:line="240" w:lineRule="auto"/>
                    <w:ind w:right="46" w:rightChars="19" w:firstLine="0" w:firstLineChars="0"/>
                    <w:jc w:val="center"/>
                    <w:rPr>
                      <w:bCs/>
                      <w:sz w:val="21"/>
                      <w:szCs w:val="21"/>
                      <w:lang w:val="zh-CN"/>
                    </w:rPr>
                  </w:pPr>
                  <w:r>
                    <w:rPr>
                      <w:bCs/>
                      <w:sz w:val="21"/>
                      <w:szCs w:val="21"/>
                      <w:lang w:val="zh-CN"/>
                    </w:rPr>
                    <w:t>40</w:t>
                  </w:r>
                </w:p>
              </w:tc>
              <w:tc>
                <w:tcPr>
                  <w:tcW w:w="533" w:type="pct"/>
                  <w:shd w:val="clear" w:color="auto" w:fill="auto"/>
                  <w:vAlign w:val="center"/>
                </w:tcPr>
                <w:p>
                  <w:pPr>
                    <w:spacing w:line="240" w:lineRule="auto"/>
                    <w:ind w:firstLine="0" w:firstLineChars="0"/>
                    <w:jc w:val="center"/>
                    <w:rPr>
                      <w:rFonts w:ascii="宋体" w:hAnsi="宋体" w:cs="宋体"/>
                      <w:sz w:val="21"/>
                      <w:szCs w:val="21"/>
                    </w:rPr>
                  </w:pPr>
                  <w:r>
                    <w:rPr>
                      <w:rFonts w:hint="eastAsia"/>
                      <w:sz w:val="21"/>
                      <w:szCs w:val="21"/>
                    </w:rPr>
                    <w:t>80.0</w:t>
                  </w:r>
                </w:p>
              </w:tc>
              <w:tc>
                <w:tcPr>
                  <w:tcW w:w="454" w:type="pct"/>
                  <w:shd w:val="clear" w:color="auto" w:fill="auto"/>
                  <w:vAlign w:val="center"/>
                </w:tcPr>
                <w:p>
                  <w:pPr>
                    <w:spacing w:line="240" w:lineRule="auto"/>
                    <w:ind w:right="46" w:rightChars="19" w:firstLine="0" w:firstLineChars="0"/>
                    <w:jc w:val="center"/>
                    <w:rPr>
                      <w:bCs/>
                      <w:sz w:val="21"/>
                      <w:szCs w:val="21"/>
                      <w:lang w:val="zh-CN"/>
                    </w:rPr>
                  </w:pPr>
                  <w:r>
                    <w:rPr>
                      <w:bCs/>
                      <w:sz w:val="21"/>
                      <w:szCs w:val="21"/>
                      <w:lang w:val="zh-CN"/>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592" w:type="pct"/>
                  <w:shd w:val="clear" w:color="auto" w:fill="auto"/>
                  <w:vAlign w:val="center"/>
                </w:tcPr>
                <w:p>
                  <w:pPr>
                    <w:spacing w:line="240" w:lineRule="auto"/>
                    <w:ind w:right="46" w:rightChars="19" w:firstLine="0" w:firstLineChars="0"/>
                    <w:jc w:val="center"/>
                    <w:rPr>
                      <w:bCs/>
                      <w:sz w:val="21"/>
                      <w:szCs w:val="21"/>
                      <w:lang w:val="zh-CN"/>
                    </w:rPr>
                  </w:pPr>
                  <w:r>
                    <w:rPr>
                      <w:bCs/>
                      <w:sz w:val="21"/>
                      <w:szCs w:val="21"/>
                      <w:lang w:val="zh-CN"/>
                    </w:rPr>
                    <w:t>CO</w:t>
                  </w:r>
                </w:p>
              </w:tc>
              <w:tc>
                <w:tcPr>
                  <w:tcW w:w="2133" w:type="pct"/>
                  <w:shd w:val="clear" w:color="auto" w:fill="auto"/>
                  <w:vAlign w:val="center"/>
                </w:tcPr>
                <w:p>
                  <w:pPr>
                    <w:spacing w:line="240" w:lineRule="auto"/>
                    <w:ind w:right="46" w:rightChars="19" w:firstLine="0" w:firstLineChars="0"/>
                    <w:jc w:val="center"/>
                    <w:rPr>
                      <w:bCs/>
                      <w:sz w:val="21"/>
                      <w:szCs w:val="21"/>
                      <w:lang w:val="zh-CN"/>
                    </w:rPr>
                  </w:pPr>
                  <w:r>
                    <w:rPr>
                      <w:bCs/>
                      <w:sz w:val="21"/>
                      <w:szCs w:val="21"/>
                      <w:lang w:val="zh-CN"/>
                    </w:rPr>
                    <w:t>24小时平均第95百分位浓度</w:t>
                  </w:r>
                </w:p>
              </w:tc>
              <w:tc>
                <w:tcPr>
                  <w:tcW w:w="690" w:type="pct"/>
                  <w:shd w:val="clear" w:color="auto" w:fill="auto"/>
                  <w:vAlign w:val="center"/>
                </w:tcPr>
                <w:p>
                  <w:pPr>
                    <w:spacing w:line="240" w:lineRule="auto"/>
                    <w:ind w:right="46" w:rightChars="19" w:firstLine="0" w:firstLineChars="0"/>
                    <w:jc w:val="center"/>
                    <w:rPr>
                      <w:bCs/>
                      <w:sz w:val="21"/>
                      <w:szCs w:val="21"/>
                      <w:lang w:val="zh-CN"/>
                    </w:rPr>
                  </w:pPr>
                  <w:r>
                    <w:rPr>
                      <w:rFonts w:hint="eastAsia"/>
                      <w:bCs/>
                      <w:sz w:val="21"/>
                      <w:szCs w:val="21"/>
                      <w:lang w:val="zh-CN"/>
                    </w:rPr>
                    <w:t>1400</w:t>
                  </w:r>
                </w:p>
              </w:tc>
              <w:tc>
                <w:tcPr>
                  <w:tcW w:w="598" w:type="pct"/>
                  <w:shd w:val="clear" w:color="auto" w:fill="auto"/>
                  <w:vAlign w:val="center"/>
                </w:tcPr>
                <w:p>
                  <w:pPr>
                    <w:spacing w:line="240" w:lineRule="auto"/>
                    <w:ind w:right="46" w:rightChars="19" w:firstLine="0" w:firstLineChars="0"/>
                    <w:jc w:val="center"/>
                    <w:rPr>
                      <w:bCs/>
                      <w:sz w:val="21"/>
                      <w:szCs w:val="21"/>
                      <w:lang w:val="zh-CN"/>
                    </w:rPr>
                  </w:pPr>
                  <w:r>
                    <w:rPr>
                      <w:bCs/>
                      <w:sz w:val="21"/>
                      <w:szCs w:val="21"/>
                      <w:lang w:val="zh-CN"/>
                    </w:rPr>
                    <w:t>4000</w:t>
                  </w:r>
                </w:p>
              </w:tc>
              <w:tc>
                <w:tcPr>
                  <w:tcW w:w="533" w:type="pct"/>
                  <w:shd w:val="clear" w:color="auto" w:fill="auto"/>
                  <w:vAlign w:val="center"/>
                </w:tcPr>
                <w:p>
                  <w:pPr>
                    <w:spacing w:line="240" w:lineRule="auto"/>
                    <w:ind w:firstLine="0" w:firstLineChars="0"/>
                    <w:jc w:val="center"/>
                    <w:rPr>
                      <w:rFonts w:ascii="宋体" w:hAnsi="宋体" w:cs="宋体"/>
                      <w:sz w:val="21"/>
                      <w:szCs w:val="21"/>
                    </w:rPr>
                  </w:pPr>
                  <w:r>
                    <w:rPr>
                      <w:rFonts w:hint="eastAsia"/>
                      <w:sz w:val="21"/>
                      <w:szCs w:val="21"/>
                    </w:rPr>
                    <w:t>35.0</w:t>
                  </w:r>
                </w:p>
              </w:tc>
              <w:tc>
                <w:tcPr>
                  <w:tcW w:w="454" w:type="pct"/>
                  <w:shd w:val="clear" w:color="auto" w:fill="auto"/>
                  <w:vAlign w:val="center"/>
                </w:tcPr>
                <w:p>
                  <w:pPr>
                    <w:spacing w:line="240" w:lineRule="auto"/>
                    <w:ind w:right="46" w:rightChars="19" w:firstLine="0" w:firstLineChars="0"/>
                    <w:jc w:val="center"/>
                    <w:rPr>
                      <w:bCs/>
                      <w:sz w:val="21"/>
                      <w:szCs w:val="21"/>
                      <w:lang w:val="zh-CN"/>
                    </w:rPr>
                  </w:pPr>
                  <w:r>
                    <w:rPr>
                      <w:bCs/>
                      <w:sz w:val="21"/>
                      <w:szCs w:val="21"/>
                      <w:lang w:val="zh-CN"/>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592" w:type="pct"/>
                  <w:shd w:val="clear" w:color="auto" w:fill="auto"/>
                  <w:vAlign w:val="center"/>
                </w:tcPr>
                <w:p>
                  <w:pPr>
                    <w:spacing w:line="240" w:lineRule="auto"/>
                    <w:ind w:right="46" w:rightChars="19" w:firstLine="0" w:firstLineChars="0"/>
                    <w:jc w:val="center"/>
                    <w:rPr>
                      <w:bCs/>
                      <w:sz w:val="21"/>
                      <w:szCs w:val="21"/>
                      <w:lang w:val="zh-CN"/>
                    </w:rPr>
                  </w:pPr>
                  <w:r>
                    <w:rPr>
                      <w:bCs/>
                      <w:sz w:val="21"/>
                      <w:szCs w:val="21"/>
                      <w:lang w:val="zh-CN"/>
                    </w:rPr>
                    <w:t>O</w:t>
                  </w:r>
                  <w:r>
                    <w:rPr>
                      <w:bCs/>
                      <w:sz w:val="21"/>
                      <w:szCs w:val="21"/>
                      <w:vertAlign w:val="subscript"/>
                      <w:lang w:val="zh-CN"/>
                    </w:rPr>
                    <w:t>3</w:t>
                  </w:r>
                </w:p>
              </w:tc>
              <w:tc>
                <w:tcPr>
                  <w:tcW w:w="2133" w:type="pct"/>
                  <w:shd w:val="clear" w:color="auto" w:fill="auto"/>
                  <w:vAlign w:val="center"/>
                </w:tcPr>
                <w:p>
                  <w:pPr>
                    <w:spacing w:line="240" w:lineRule="auto"/>
                    <w:ind w:right="46" w:rightChars="19" w:firstLine="0" w:firstLineChars="0"/>
                    <w:jc w:val="center"/>
                    <w:rPr>
                      <w:bCs/>
                      <w:sz w:val="21"/>
                      <w:szCs w:val="21"/>
                      <w:lang w:val="zh-CN"/>
                    </w:rPr>
                  </w:pPr>
                  <w:r>
                    <w:rPr>
                      <w:bCs/>
                      <w:sz w:val="21"/>
                      <w:szCs w:val="21"/>
                      <w:lang w:val="zh-CN"/>
                    </w:rPr>
                    <w:t>日最大8小时浓度平均第90百分位数</w:t>
                  </w:r>
                </w:p>
              </w:tc>
              <w:tc>
                <w:tcPr>
                  <w:tcW w:w="690" w:type="pct"/>
                  <w:shd w:val="clear" w:color="auto" w:fill="auto"/>
                  <w:vAlign w:val="center"/>
                </w:tcPr>
                <w:p>
                  <w:pPr>
                    <w:spacing w:line="240" w:lineRule="auto"/>
                    <w:ind w:right="46" w:rightChars="19" w:firstLine="0" w:firstLineChars="0"/>
                    <w:jc w:val="center"/>
                    <w:rPr>
                      <w:bCs/>
                      <w:sz w:val="21"/>
                      <w:szCs w:val="21"/>
                      <w:lang w:val="zh-CN"/>
                    </w:rPr>
                  </w:pPr>
                  <w:r>
                    <w:rPr>
                      <w:rFonts w:hint="eastAsia"/>
                      <w:bCs/>
                      <w:sz w:val="21"/>
                      <w:szCs w:val="21"/>
                      <w:lang w:val="zh-CN"/>
                    </w:rPr>
                    <w:t>184</w:t>
                  </w:r>
                </w:p>
              </w:tc>
              <w:tc>
                <w:tcPr>
                  <w:tcW w:w="598" w:type="pct"/>
                  <w:shd w:val="clear" w:color="auto" w:fill="auto"/>
                  <w:vAlign w:val="center"/>
                </w:tcPr>
                <w:p>
                  <w:pPr>
                    <w:spacing w:line="240" w:lineRule="auto"/>
                    <w:ind w:right="46" w:rightChars="19" w:firstLine="0" w:firstLineChars="0"/>
                    <w:jc w:val="center"/>
                    <w:rPr>
                      <w:bCs/>
                      <w:sz w:val="21"/>
                      <w:szCs w:val="21"/>
                      <w:lang w:val="zh-CN"/>
                    </w:rPr>
                  </w:pPr>
                  <w:r>
                    <w:rPr>
                      <w:bCs/>
                      <w:sz w:val="21"/>
                      <w:szCs w:val="21"/>
                      <w:lang w:val="zh-CN"/>
                    </w:rPr>
                    <w:t>160</w:t>
                  </w:r>
                </w:p>
              </w:tc>
              <w:tc>
                <w:tcPr>
                  <w:tcW w:w="533" w:type="pct"/>
                  <w:shd w:val="clear" w:color="auto" w:fill="auto"/>
                  <w:vAlign w:val="center"/>
                </w:tcPr>
                <w:p>
                  <w:pPr>
                    <w:spacing w:line="240" w:lineRule="auto"/>
                    <w:ind w:firstLine="0" w:firstLineChars="0"/>
                    <w:jc w:val="center"/>
                    <w:rPr>
                      <w:rFonts w:ascii="宋体" w:hAnsi="宋体" w:cs="宋体"/>
                      <w:sz w:val="21"/>
                      <w:szCs w:val="21"/>
                    </w:rPr>
                  </w:pPr>
                  <w:r>
                    <w:rPr>
                      <w:rFonts w:hint="eastAsia"/>
                      <w:sz w:val="21"/>
                      <w:szCs w:val="21"/>
                    </w:rPr>
                    <w:t>115.0</w:t>
                  </w:r>
                </w:p>
              </w:tc>
              <w:tc>
                <w:tcPr>
                  <w:tcW w:w="454" w:type="pct"/>
                  <w:shd w:val="clear" w:color="auto" w:fill="auto"/>
                  <w:vAlign w:val="center"/>
                </w:tcPr>
                <w:p>
                  <w:pPr>
                    <w:spacing w:line="240" w:lineRule="auto"/>
                    <w:ind w:right="46" w:rightChars="19" w:firstLine="0" w:firstLineChars="0"/>
                    <w:jc w:val="center"/>
                    <w:rPr>
                      <w:bCs/>
                      <w:sz w:val="21"/>
                      <w:szCs w:val="21"/>
                      <w:lang w:val="zh-CN"/>
                    </w:rPr>
                  </w:pPr>
                  <w:r>
                    <w:rPr>
                      <w:bCs/>
                      <w:sz w:val="21"/>
                      <w:szCs w:val="21"/>
                      <w:lang w:val="zh-CN"/>
                    </w:rPr>
                    <w:t>超标</w:t>
                  </w:r>
                </w:p>
              </w:tc>
            </w:tr>
          </w:tbl>
          <w:p>
            <w:pPr>
              <w:ind w:left="120" w:leftChars="50" w:right="120" w:rightChars="50" w:firstLine="480"/>
              <w:jc w:val="left"/>
              <w:rPr>
                <w:bCs/>
                <w:lang w:val="zh-CN"/>
              </w:rPr>
            </w:pPr>
            <w:r>
              <w:rPr>
                <w:rFonts w:hint="eastAsia"/>
                <w:bCs/>
                <w:lang w:val="zh-CN"/>
              </w:rPr>
              <w:t>由上表可知，2023年石家庄市六项</w:t>
            </w:r>
            <w:r>
              <w:rPr>
                <w:bCs/>
                <w:lang w:val="zh-CN"/>
              </w:rPr>
              <w:t>基本污染物</w:t>
            </w:r>
            <w:r>
              <w:rPr>
                <w:rFonts w:hint="eastAsia"/>
                <w:bCs/>
                <w:lang w:val="zh-CN"/>
              </w:rPr>
              <w:t>评价</w:t>
            </w:r>
            <w:r>
              <w:rPr>
                <w:bCs/>
                <w:lang w:val="zh-CN"/>
              </w:rPr>
              <w:t>指标</w:t>
            </w:r>
            <w:r>
              <w:rPr>
                <w:rFonts w:hint="eastAsia"/>
                <w:bCs/>
                <w:lang w:val="zh-CN"/>
              </w:rPr>
              <w:t>中SO</w:t>
            </w:r>
            <w:r>
              <w:rPr>
                <w:rFonts w:hint="eastAsia"/>
                <w:bCs/>
                <w:vertAlign w:val="subscript"/>
                <w:lang w:val="zh-CN"/>
              </w:rPr>
              <w:t>2</w:t>
            </w:r>
            <w:r>
              <w:rPr>
                <w:rFonts w:hint="eastAsia"/>
                <w:bCs/>
                <w:lang w:val="zh-CN"/>
              </w:rPr>
              <w:t>、NO</w:t>
            </w:r>
            <w:r>
              <w:rPr>
                <w:rFonts w:hint="eastAsia"/>
                <w:bCs/>
                <w:vertAlign w:val="subscript"/>
                <w:lang w:val="zh-CN"/>
              </w:rPr>
              <w:t>2</w:t>
            </w:r>
            <w:r>
              <w:rPr>
                <w:rFonts w:hint="eastAsia"/>
                <w:bCs/>
                <w:lang w:val="zh-CN"/>
              </w:rPr>
              <w:t>、CO均满足《环境空气质量标准》（</w:t>
            </w:r>
            <w:r>
              <w:rPr>
                <w:bCs/>
                <w:lang w:val="zh-CN"/>
              </w:rPr>
              <w:t>GB3095-2012</w:t>
            </w:r>
            <w:r>
              <w:rPr>
                <w:rFonts w:hint="eastAsia"/>
                <w:bCs/>
                <w:lang w:val="zh-CN"/>
              </w:rPr>
              <w:t>）二级标准，PM</w:t>
            </w:r>
            <w:r>
              <w:rPr>
                <w:rFonts w:hint="eastAsia"/>
                <w:bCs/>
                <w:vertAlign w:val="subscript"/>
                <w:lang w:val="zh-CN"/>
              </w:rPr>
              <w:t>10</w:t>
            </w:r>
            <w:r>
              <w:rPr>
                <w:rFonts w:hint="eastAsia"/>
                <w:bCs/>
                <w:lang w:val="zh-CN"/>
              </w:rPr>
              <w:t>、PM</w:t>
            </w:r>
            <w:r>
              <w:rPr>
                <w:rFonts w:hint="eastAsia"/>
                <w:bCs/>
                <w:vertAlign w:val="subscript"/>
                <w:lang w:val="zh-CN"/>
              </w:rPr>
              <w:t>2.5</w:t>
            </w:r>
            <w:r>
              <w:rPr>
                <w:rFonts w:hint="eastAsia"/>
                <w:bCs/>
                <w:lang w:val="zh-CN"/>
              </w:rPr>
              <w:t>、O</w:t>
            </w:r>
            <w:r>
              <w:rPr>
                <w:rFonts w:hint="eastAsia"/>
                <w:bCs/>
                <w:vertAlign w:val="subscript"/>
                <w:lang w:val="zh-CN"/>
              </w:rPr>
              <w:t>3</w:t>
            </w:r>
            <w:r>
              <w:rPr>
                <w:rFonts w:hint="eastAsia"/>
                <w:bCs/>
                <w:lang w:val="zh-CN"/>
              </w:rPr>
              <w:t>浓度评价指标均存在超标现象，</w:t>
            </w:r>
            <w:r>
              <w:rPr>
                <w:bCs/>
                <w:lang w:val="zh-CN"/>
              </w:rPr>
              <w:t>本项目所在评价区域为不达标区</w:t>
            </w:r>
            <w:r>
              <w:rPr>
                <w:rFonts w:hint="eastAsia"/>
                <w:bCs/>
                <w:lang w:val="zh-CN"/>
              </w:rPr>
              <w:t>。</w:t>
            </w:r>
          </w:p>
          <w:p>
            <w:pPr>
              <w:ind w:left="120" w:leftChars="50" w:right="120" w:rightChars="50" w:firstLine="480"/>
              <w:jc w:val="left"/>
              <w:rPr>
                <w:bCs/>
                <w:lang w:val="zh-CN"/>
              </w:rPr>
            </w:pPr>
            <w:r>
              <w:rPr>
                <w:rFonts w:hint="eastAsia"/>
                <w:bCs/>
                <w:lang w:val="zh-CN"/>
              </w:rPr>
              <w:t>国家生态环境部统计结果显示，京津冀地区空气污染呈现明显的季节性特征，春季和冬季是空气重污染高发季节，PM2.5、PM10季均浓度是夏、秋两季的近2倍。复合型污染特征突出，扬尘、汽车尾气污染与二次污染相互叠加是造成现状监测期间PM2.5、PM10超标的重要原因。O3超标的主要原因是氮氧化物和挥发性有机物排放，在空气中进行复杂的光化学反应形成。随着《河北省人民政府关于印发河北省空气质量持续改善行动计划实施方案的通知》（冀政发〔2024〕4号）、《</w:t>
            </w:r>
            <w:bookmarkStart w:id="10" w:name="OLE_LINK20"/>
            <w:bookmarkStart w:id="11" w:name="OLE_LINK21"/>
            <w:r>
              <w:rPr>
                <w:rFonts w:hint="eastAsia"/>
                <w:bCs/>
                <w:lang w:val="zh-CN"/>
              </w:rPr>
              <w:t>石家庄市2024年大气污染防治攻坚方案</w:t>
            </w:r>
            <w:bookmarkEnd w:id="10"/>
            <w:bookmarkEnd w:id="11"/>
            <w:r>
              <w:rPr>
                <w:rFonts w:hint="eastAsia"/>
                <w:bCs/>
                <w:lang w:val="zh-CN"/>
              </w:rPr>
              <w:t>》（石气领办2024年1号）等文件的实施和区域建设逐渐饱和，区域环境空气质量将会逐渐改善。</w:t>
            </w:r>
          </w:p>
          <w:p>
            <w:pPr>
              <w:ind w:right="46" w:rightChars="19" w:firstLine="0" w:firstLineChars="0"/>
              <w:jc w:val="left"/>
              <w:rPr>
                <w:b/>
              </w:rPr>
            </w:pPr>
            <w:r>
              <w:rPr>
                <w:rFonts w:hint="eastAsia"/>
                <w:b/>
              </w:rPr>
              <w:t>2、地表水环境质量现状</w:t>
            </w:r>
          </w:p>
          <w:p>
            <w:pPr>
              <w:spacing w:line="500" w:lineRule="exact"/>
              <w:ind w:left="120" w:leftChars="50" w:right="120" w:rightChars="50" w:firstLine="480"/>
              <w:jc w:val="left"/>
              <w:rPr>
                <w:bCs/>
                <w:lang w:val="zh-CN"/>
              </w:rPr>
            </w:pPr>
            <w:r>
              <w:rPr>
                <w:rFonts w:hint="eastAsia"/>
                <w:bCs/>
                <w:lang w:val="zh-CN"/>
              </w:rPr>
              <w:t>项目北距石津总干渠5.2km，所在区域地表水主要为石津总干渠，根据《</w:t>
            </w:r>
            <w:r>
              <w:rPr>
                <w:bCs/>
                <w:lang w:val="zh-CN"/>
              </w:rPr>
              <w:t>202</w:t>
            </w:r>
            <w:r>
              <w:rPr>
                <w:rFonts w:hint="eastAsia"/>
                <w:bCs/>
                <w:lang w:val="zh-CN"/>
              </w:rPr>
              <w:t>3</w:t>
            </w:r>
            <w:r>
              <w:rPr>
                <w:bCs/>
                <w:lang w:val="zh-CN"/>
              </w:rPr>
              <w:t>年度石家庄</w:t>
            </w:r>
            <w:r>
              <w:rPr>
                <w:rFonts w:hint="eastAsia"/>
                <w:bCs/>
                <w:lang w:val="zh-CN"/>
              </w:rPr>
              <w:t>市生态环境状况公报》：石津总干渠类别为Ⅰ类，水质状况优。石家庄市河流水质状况总体为轻度污染，其中河流（渠）水质状况为轻度污染，水库水质状况为优。</w:t>
            </w:r>
          </w:p>
          <w:p>
            <w:pPr>
              <w:spacing w:line="500" w:lineRule="exact"/>
              <w:ind w:left="120" w:leftChars="50" w:right="120" w:rightChars="50" w:firstLine="480"/>
              <w:jc w:val="left"/>
              <w:rPr>
                <w:bCs/>
                <w:lang w:val="zh-CN"/>
              </w:rPr>
            </w:pPr>
          </w:p>
          <w:p>
            <w:pPr>
              <w:ind w:right="46" w:rightChars="19" w:firstLine="0" w:firstLineChars="0"/>
              <w:jc w:val="left"/>
              <w:rPr>
                <w:b/>
              </w:rPr>
            </w:pPr>
            <w:r>
              <w:rPr>
                <w:rFonts w:hint="eastAsia"/>
                <w:b/>
              </w:rPr>
              <w:t>3、声环境质量现状</w:t>
            </w:r>
          </w:p>
          <w:p>
            <w:pPr>
              <w:pStyle w:val="32"/>
              <w:ind w:left="120" w:leftChars="50" w:right="120" w:rightChars="50" w:firstLine="480"/>
              <w:rPr>
                <w:lang w:eastAsia="zh-CN"/>
              </w:rPr>
            </w:pPr>
            <w:r>
              <w:rPr>
                <w:rFonts w:hint="eastAsia"/>
                <w:lang w:eastAsia="zh-CN"/>
              </w:rPr>
              <w:t>项目周边50米范围内存在敏感点为傲湖小区和</w:t>
            </w:r>
            <w:r>
              <w:rPr>
                <w:rFonts w:hint="eastAsia"/>
              </w:rPr>
              <w:t>润都荣园小区</w:t>
            </w:r>
            <w:r>
              <w:rPr>
                <w:rFonts w:hint="eastAsia"/>
                <w:lang w:eastAsia="zh-CN"/>
              </w:rPr>
              <w:t>，本次评价委托中博河北检测技术有限公司对环境保护目标进行声环境质量现状监测。</w:t>
            </w:r>
          </w:p>
          <w:p>
            <w:pPr>
              <w:pStyle w:val="32"/>
              <w:ind w:left="120" w:leftChars="50" w:right="120" w:rightChars="50" w:firstLine="480"/>
              <w:rPr>
                <w:lang w:eastAsia="zh-CN"/>
              </w:rPr>
            </w:pPr>
            <w:r>
              <w:rPr>
                <w:rFonts w:hint="eastAsia"/>
                <w:lang w:eastAsia="zh-CN"/>
              </w:rPr>
              <w:t>（1）监测项目：等效连续A声级；</w:t>
            </w:r>
          </w:p>
          <w:p>
            <w:pPr>
              <w:pStyle w:val="32"/>
              <w:ind w:left="120" w:leftChars="50" w:right="120" w:rightChars="50" w:firstLine="480"/>
              <w:rPr>
                <w:lang w:eastAsia="zh-CN"/>
              </w:rPr>
            </w:pPr>
            <w:r>
              <w:rPr>
                <w:rFonts w:hint="eastAsia"/>
                <w:lang w:eastAsia="zh-CN"/>
              </w:rPr>
              <w:t>（2）监测点位：傲湖小区1号楼外1m、润都荣园西区1号楼外1m各布设1个监测点，共两个监测点；</w:t>
            </w:r>
          </w:p>
          <w:p>
            <w:pPr>
              <w:pStyle w:val="32"/>
              <w:ind w:left="120" w:leftChars="50" w:right="120" w:rightChars="50" w:firstLine="480"/>
              <w:rPr>
                <w:lang w:eastAsia="zh-CN"/>
              </w:rPr>
            </w:pPr>
            <w:r>
              <w:rPr>
                <w:rFonts w:hint="eastAsia"/>
                <w:lang w:eastAsia="zh-CN"/>
              </w:rPr>
              <w:t>（3）监测时间及频次：2025年1月17日，昼间、夜间各监测1次；</w:t>
            </w:r>
          </w:p>
          <w:p>
            <w:pPr>
              <w:pStyle w:val="32"/>
              <w:ind w:left="120" w:leftChars="50" w:right="120" w:rightChars="50" w:firstLine="480"/>
              <w:rPr>
                <w:lang w:eastAsia="zh-CN"/>
              </w:rPr>
            </w:pPr>
            <w:r>
              <w:rPr>
                <w:rFonts w:hint="eastAsia"/>
                <w:lang w:eastAsia="zh-CN"/>
              </w:rPr>
              <w:t>（4）监测结果：</w:t>
            </w:r>
          </w:p>
          <w:p>
            <w:pPr>
              <w:pStyle w:val="32"/>
              <w:ind w:left="120" w:leftChars="50" w:right="120" w:rightChars="50" w:firstLine="480"/>
              <w:rPr>
                <w:lang w:eastAsia="zh-CN"/>
              </w:rPr>
            </w:pPr>
            <w:r>
              <w:rPr>
                <w:rFonts w:hint="eastAsia"/>
                <w:lang w:eastAsia="zh-CN"/>
              </w:rPr>
              <w:t>声环境质量现状监测及评价结果详见下表。</w:t>
            </w:r>
          </w:p>
          <w:p>
            <w:pPr>
              <w:pStyle w:val="14"/>
            </w:pPr>
            <w:r>
              <w:t>表</w:t>
            </w:r>
            <w:r>
              <w:rPr>
                <w:rFonts w:hint="eastAsia"/>
              </w:rPr>
              <w:t>13</w:t>
            </w:r>
            <w:r>
              <w:t xml:space="preserve">   </w:t>
            </w:r>
            <w:r>
              <w:rPr>
                <w:rFonts w:hint="eastAsia"/>
              </w:rPr>
              <w:t xml:space="preserve">声环境监测结果一览表   </w:t>
            </w:r>
            <w:r>
              <w:rPr>
                <w:rFonts w:hint="eastAsia"/>
                <w:sz w:val="21"/>
              </w:rPr>
              <w:t>单位：dB（A）</w:t>
            </w:r>
          </w:p>
          <w:tbl>
            <w:tblPr>
              <w:tblStyle w:val="17"/>
              <w:tblW w:w="491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2978"/>
              <w:gridCol w:w="992"/>
              <w:gridCol w:w="850"/>
              <w:gridCol w:w="992"/>
              <w:gridCol w:w="994"/>
              <w:gridCol w:w="851"/>
              <w:gridCol w:w="9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735" w:type="pct"/>
                  <w:vMerge w:val="restart"/>
                  <w:vAlign w:val="center"/>
                </w:tcPr>
                <w:p>
                  <w:pPr>
                    <w:pStyle w:val="32"/>
                    <w:spacing w:line="240" w:lineRule="auto"/>
                    <w:ind w:firstLine="0" w:firstLineChars="0"/>
                    <w:jc w:val="center"/>
                    <w:rPr>
                      <w:sz w:val="21"/>
                      <w:szCs w:val="21"/>
                      <w:lang w:eastAsia="zh-CN"/>
                    </w:rPr>
                  </w:pPr>
                  <w:r>
                    <w:rPr>
                      <w:rFonts w:hint="eastAsia"/>
                      <w:sz w:val="21"/>
                      <w:szCs w:val="21"/>
                      <w:lang w:eastAsia="zh-CN"/>
                    </w:rPr>
                    <w:t>监测点位</w:t>
                  </w:r>
                </w:p>
              </w:tc>
              <w:tc>
                <w:tcPr>
                  <w:tcW w:w="1651" w:type="pct"/>
                  <w:gridSpan w:val="3"/>
                  <w:vAlign w:val="center"/>
                </w:tcPr>
                <w:p>
                  <w:pPr>
                    <w:pStyle w:val="32"/>
                    <w:spacing w:line="240" w:lineRule="auto"/>
                    <w:ind w:firstLine="0" w:firstLineChars="0"/>
                    <w:jc w:val="center"/>
                    <w:rPr>
                      <w:sz w:val="21"/>
                      <w:szCs w:val="21"/>
                      <w:lang w:eastAsia="zh-CN"/>
                    </w:rPr>
                  </w:pPr>
                  <w:r>
                    <w:rPr>
                      <w:rFonts w:hint="eastAsia"/>
                      <w:sz w:val="21"/>
                      <w:szCs w:val="21"/>
                      <w:lang w:eastAsia="zh-CN"/>
                    </w:rPr>
                    <w:t>昼间</w:t>
                  </w:r>
                </w:p>
              </w:tc>
              <w:tc>
                <w:tcPr>
                  <w:tcW w:w="1614" w:type="pct"/>
                  <w:gridSpan w:val="3"/>
                  <w:vAlign w:val="center"/>
                </w:tcPr>
                <w:p>
                  <w:pPr>
                    <w:pStyle w:val="32"/>
                    <w:spacing w:line="240" w:lineRule="auto"/>
                    <w:ind w:firstLine="0" w:firstLineChars="0"/>
                    <w:jc w:val="center"/>
                    <w:rPr>
                      <w:sz w:val="21"/>
                      <w:szCs w:val="21"/>
                      <w:lang w:eastAsia="zh-CN"/>
                    </w:rPr>
                  </w:pPr>
                  <w:r>
                    <w:rPr>
                      <w:rFonts w:hint="eastAsia"/>
                      <w:sz w:val="21"/>
                      <w:szCs w:val="21"/>
                      <w:lang w:eastAsia="zh-CN"/>
                    </w:rPr>
                    <w:t>夜间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735" w:type="pct"/>
                  <w:vMerge w:val="continue"/>
                  <w:vAlign w:val="center"/>
                </w:tcPr>
                <w:p>
                  <w:pPr>
                    <w:pStyle w:val="32"/>
                    <w:spacing w:line="240" w:lineRule="auto"/>
                    <w:ind w:firstLine="0" w:firstLineChars="0"/>
                    <w:jc w:val="center"/>
                    <w:rPr>
                      <w:sz w:val="21"/>
                      <w:szCs w:val="21"/>
                      <w:lang w:eastAsia="zh-CN"/>
                    </w:rPr>
                  </w:pPr>
                </w:p>
              </w:tc>
              <w:tc>
                <w:tcPr>
                  <w:tcW w:w="578" w:type="pct"/>
                  <w:vAlign w:val="center"/>
                </w:tcPr>
                <w:p>
                  <w:pPr>
                    <w:pStyle w:val="32"/>
                    <w:spacing w:line="240" w:lineRule="auto"/>
                    <w:ind w:firstLine="0" w:firstLineChars="0"/>
                    <w:jc w:val="center"/>
                    <w:rPr>
                      <w:sz w:val="21"/>
                      <w:szCs w:val="21"/>
                      <w:lang w:eastAsia="zh-CN"/>
                    </w:rPr>
                  </w:pPr>
                  <w:r>
                    <w:rPr>
                      <w:rFonts w:hint="eastAsia"/>
                      <w:sz w:val="21"/>
                      <w:szCs w:val="21"/>
                      <w:lang w:eastAsia="zh-CN"/>
                    </w:rPr>
                    <w:t>监测值</w:t>
                  </w:r>
                </w:p>
              </w:tc>
              <w:tc>
                <w:tcPr>
                  <w:tcW w:w="495" w:type="pct"/>
                  <w:vAlign w:val="center"/>
                </w:tcPr>
                <w:p>
                  <w:pPr>
                    <w:pStyle w:val="32"/>
                    <w:spacing w:line="240" w:lineRule="auto"/>
                    <w:ind w:firstLine="0" w:firstLineChars="0"/>
                    <w:jc w:val="center"/>
                    <w:rPr>
                      <w:sz w:val="21"/>
                      <w:szCs w:val="21"/>
                      <w:lang w:eastAsia="zh-CN"/>
                    </w:rPr>
                  </w:pPr>
                  <w:r>
                    <w:rPr>
                      <w:rFonts w:hint="eastAsia"/>
                      <w:sz w:val="21"/>
                      <w:szCs w:val="21"/>
                      <w:lang w:eastAsia="zh-CN"/>
                    </w:rPr>
                    <w:t>标准值</w:t>
                  </w:r>
                </w:p>
              </w:tc>
              <w:tc>
                <w:tcPr>
                  <w:tcW w:w="578" w:type="pct"/>
                  <w:vAlign w:val="center"/>
                </w:tcPr>
                <w:p>
                  <w:pPr>
                    <w:pStyle w:val="32"/>
                    <w:spacing w:line="240" w:lineRule="auto"/>
                    <w:ind w:firstLine="0" w:firstLineChars="0"/>
                    <w:jc w:val="center"/>
                    <w:rPr>
                      <w:sz w:val="21"/>
                      <w:szCs w:val="21"/>
                      <w:lang w:eastAsia="zh-CN"/>
                    </w:rPr>
                  </w:pPr>
                  <w:r>
                    <w:rPr>
                      <w:rFonts w:hint="eastAsia"/>
                      <w:sz w:val="21"/>
                      <w:szCs w:val="21"/>
                      <w:lang w:eastAsia="zh-CN"/>
                    </w:rPr>
                    <w:t>评价结果</w:t>
                  </w:r>
                </w:p>
              </w:tc>
              <w:tc>
                <w:tcPr>
                  <w:tcW w:w="579" w:type="pct"/>
                  <w:vAlign w:val="center"/>
                </w:tcPr>
                <w:p>
                  <w:pPr>
                    <w:pStyle w:val="32"/>
                    <w:spacing w:line="240" w:lineRule="auto"/>
                    <w:ind w:firstLine="0" w:firstLineChars="0"/>
                    <w:jc w:val="center"/>
                    <w:rPr>
                      <w:sz w:val="21"/>
                      <w:szCs w:val="21"/>
                      <w:lang w:eastAsia="zh-CN"/>
                    </w:rPr>
                  </w:pPr>
                  <w:r>
                    <w:rPr>
                      <w:rFonts w:hint="eastAsia"/>
                      <w:sz w:val="21"/>
                      <w:szCs w:val="21"/>
                      <w:lang w:eastAsia="zh-CN"/>
                    </w:rPr>
                    <w:t>监测值</w:t>
                  </w:r>
                </w:p>
              </w:tc>
              <w:tc>
                <w:tcPr>
                  <w:tcW w:w="496" w:type="pct"/>
                  <w:vAlign w:val="center"/>
                </w:tcPr>
                <w:p>
                  <w:pPr>
                    <w:pStyle w:val="32"/>
                    <w:spacing w:line="240" w:lineRule="auto"/>
                    <w:ind w:firstLine="0" w:firstLineChars="0"/>
                    <w:jc w:val="center"/>
                    <w:rPr>
                      <w:sz w:val="21"/>
                      <w:szCs w:val="21"/>
                      <w:lang w:eastAsia="zh-CN"/>
                    </w:rPr>
                  </w:pPr>
                  <w:r>
                    <w:rPr>
                      <w:rFonts w:hint="eastAsia"/>
                      <w:sz w:val="21"/>
                      <w:szCs w:val="21"/>
                      <w:lang w:eastAsia="zh-CN"/>
                    </w:rPr>
                    <w:t>标准值</w:t>
                  </w:r>
                </w:p>
              </w:tc>
              <w:tc>
                <w:tcPr>
                  <w:tcW w:w="539" w:type="pct"/>
                  <w:vAlign w:val="center"/>
                </w:tcPr>
                <w:p>
                  <w:pPr>
                    <w:pStyle w:val="32"/>
                    <w:spacing w:line="240" w:lineRule="auto"/>
                    <w:ind w:firstLine="0" w:firstLineChars="0"/>
                    <w:jc w:val="center"/>
                    <w:rPr>
                      <w:sz w:val="21"/>
                      <w:szCs w:val="21"/>
                      <w:lang w:eastAsia="zh-CN"/>
                    </w:rPr>
                  </w:pPr>
                  <w:r>
                    <w:rPr>
                      <w:rFonts w:hint="eastAsia"/>
                      <w:sz w:val="21"/>
                      <w:szCs w:val="21"/>
                      <w:lang w:eastAsia="zh-CN"/>
                    </w:rPr>
                    <w:t>评价结果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735" w:type="pct"/>
                  <w:vAlign w:val="center"/>
                </w:tcPr>
                <w:p>
                  <w:pPr>
                    <w:pStyle w:val="32"/>
                    <w:spacing w:line="240" w:lineRule="auto"/>
                    <w:ind w:firstLine="0" w:firstLineChars="0"/>
                    <w:jc w:val="center"/>
                    <w:rPr>
                      <w:sz w:val="21"/>
                      <w:szCs w:val="21"/>
                      <w:lang w:eastAsia="zh-CN"/>
                    </w:rPr>
                  </w:pPr>
                  <w:r>
                    <w:rPr>
                      <w:rFonts w:hint="eastAsia"/>
                      <w:sz w:val="21"/>
                      <w:szCs w:val="21"/>
                      <w:lang w:eastAsia="zh-CN"/>
                    </w:rPr>
                    <w:t>1#润都荣园西区2栋楼外1m</w:t>
                  </w:r>
                </w:p>
              </w:tc>
              <w:tc>
                <w:tcPr>
                  <w:tcW w:w="578" w:type="pct"/>
                  <w:vAlign w:val="center"/>
                </w:tcPr>
                <w:p>
                  <w:pPr>
                    <w:pStyle w:val="32"/>
                    <w:spacing w:line="240" w:lineRule="auto"/>
                    <w:ind w:firstLine="0" w:firstLineChars="0"/>
                    <w:jc w:val="center"/>
                    <w:rPr>
                      <w:sz w:val="21"/>
                      <w:szCs w:val="21"/>
                      <w:lang w:eastAsia="zh-CN"/>
                    </w:rPr>
                  </w:pPr>
                  <w:r>
                    <w:rPr>
                      <w:rFonts w:hint="eastAsia"/>
                      <w:sz w:val="21"/>
                      <w:szCs w:val="21"/>
                      <w:lang w:eastAsia="zh-CN"/>
                    </w:rPr>
                    <w:t>52</w:t>
                  </w:r>
                </w:p>
              </w:tc>
              <w:tc>
                <w:tcPr>
                  <w:tcW w:w="495" w:type="pct"/>
                  <w:vAlign w:val="center"/>
                </w:tcPr>
                <w:p>
                  <w:pPr>
                    <w:pStyle w:val="32"/>
                    <w:spacing w:line="240" w:lineRule="auto"/>
                    <w:ind w:firstLine="0" w:firstLineChars="0"/>
                    <w:jc w:val="center"/>
                    <w:rPr>
                      <w:sz w:val="21"/>
                      <w:szCs w:val="21"/>
                      <w:lang w:eastAsia="zh-CN"/>
                    </w:rPr>
                  </w:pPr>
                  <w:r>
                    <w:rPr>
                      <w:rFonts w:hint="eastAsia"/>
                      <w:sz w:val="21"/>
                      <w:szCs w:val="21"/>
                      <w:lang w:eastAsia="zh-CN"/>
                    </w:rPr>
                    <w:t>55</w:t>
                  </w:r>
                </w:p>
              </w:tc>
              <w:tc>
                <w:tcPr>
                  <w:tcW w:w="578" w:type="pct"/>
                  <w:vAlign w:val="center"/>
                </w:tcPr>
                <w:p>
                  <w:pPr>
                    <w:pStyle w:val="32"/>
                    <w:spacing w:line="240" w:lineRule="auto"/>
                    <w:ind w:firstLine="0" w:firstLineChars="0"/>
                    <w:jc w:val="center"/>
                    <w:rPr>
                      <w:sz w:val="21"/>
                      <w:szCs w:val="21"/>
                      <w:lang w:eastAsia="zh-CN"/>
                    </w:rPr>
                  </w:pPr>
                  <w:r>
                    <w:rPr>
                      <w:rFonts w:hint="eastAsia"/>
                      <w:sz w:val="21"/>
                      <w:szCs w:val="21"/>
                      <w:lang w:eastAsia="zh-CN"/>
                    </w:rPr>
                    <w:t>达标</w:t>
                  </w:r>
                </w:p>
              </w:tc>
              <w:tc>
                <w:tcPr>
                  <w:tcW w:w="579" w:type="pct"/>
                  <w:vAlign w:val="center"/>
                </w:tcPr>
                <w:p>
                  <w:pPr>
                    <w:pStyle w:val="32"/>
                    <w:spacing w:line="240" w:lineRule="auto"/>
                    <w:ind w:firstLine="0" w:firstLineChars="0"/>
                    <w:jc w:val="center"/>
                    <w:rPr>
                      <w:sz w:val="21"/>
                      <w:szCs w:val="21"/>
                      <w:lang w:eastAsia="zh-CN"/>
                    </w:rPr>
                  </w:pPr>
                  <w:r>
                    <w:rPr>
                      <w:rFonts w:hint="eastAsia"/>
                      <w:sz w:val="21"/>
                      <w:szCs w:val="21"/>
                      <w:lang w:eastAsia="zh-CN"/>
                    </w:rPr>
                    <w:t>43</w:t>
                  </w:r>
                </w:p>
              </w:tc>
              <w:tc>
                <w:tcPr>
                  <w:tcW w:w="496" w:type="pct"/>
                  <w:vAlign w:val="center"/>
                </w:tcPr>
                <w:p>
                  <w:pPr>
                    <w:pStyle w:val="32"/>
                    <w:spacing w:line="240" w:lineRule="auto"/>
                    <w:ind w:firstLine="0" w:firstLineChars="0"/>
                    <w:jc w:val="center"/>
                    <w:rPr>
                      <w:sz w:val="21"/>
                      <w:szCs w:val="21"/>
                      <w:lang w:eastAsia="zh-CN"/>
                    </w:rPr>
                  </w:pPr>
                  <w:r>
                    <w:rPr>
                      <w:rFonts w:hint="eastAsia"/>
                      <w:sz w:val="21"/>
                      <w:szCs w:val="21"/>
                      <w:lang w:eastAsia="zh-CN"/>
                    </w:rPr>
                    <w:t>45</w:t>
                  </w:r>
                </w:p>
              </w:tc>
              <w:tc>
                <w:tcPr>
                  <w:tcW w:w="539" w:type="pct"/>
                  <w:vAlign w:val="center"/>
                </w:tcPr>
                <w:p>
                  <w:pPr>
                    <w:pStyle w:val="32"/>
                    <w:spacing w:line="240" w:lineRule="auto"/>
                    <w:ind w:firstLine="0" w:firstLineChars="0"/>
                    <w:jc w:val="center"/>
                    <w:rPr>
                      <w:sz w:val="21"/>
                      <w:szCs w:val="21"/>
                      <w:lang w:eastAsia="zh-CN"/>
                    </w:rPr>
                  </w:pPr>
                  <w:r>
                    <w:rPr>
                      <w:rFonts w:hint="eastAsia"/>
                      <w:sz w:val="21"/>
                      <w:szCs w:val="21"/>
                      <w:lang w:eastAsia="zh-CN"/>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735" w:type="pct"/>
                  <w:vAlign w:val="center"/>
                </w:tcPr>
                <w:p>
                  <w:pPr>
                    <w:pStyle w:val="32"/>
                    <w:spacing w:line="240" w:lineRule="auto"/>
                    <w:ind w:firstLine="0" w:firstLineChars="0"/>
                    <w:jc w:val="center"/>
                    <w:rPr>
                      <w:sz w:val="21"/>
                      <w:szCs w:val="21"/>
                      <w:lang w:eastAsia="zh-CN"/>
                    </w:rPr>
                  </w:pPr>
                  <w:r>
                    <w:rPr>
                      <w:rFonts w:hint="eastAsia"/>
                      <w:sz w:val="21"/>
                      <w:szCs w:val="21"/>
                      <w:lang w:eastAsia="zh-CN"/>
                    </w:rPr>
                    <w:t>2#傲湖小区1号楼外1m</w:t>
                  </w:r>
                </w:p>
              </w:tc>
              <w:tc>
                <w:tcPr>
                  <w:tcW w:w="578" w:type="pct"/>
                  <w:vAlign w:val="center"/>
                </w:tcPr>
                <w:p>
                  <w:pPr>
                    <w:pStyle w:val="32"/>
                    <w:spacing w:line="240" w:lineRule="auto"/>
                    <w:ind w:firstLine="0" w:firstLineChars="0"/>
                    <w:jc w:val="center"/>
                    <w:rPr>
                      <w:sz w:val="21"/>
                      <w:szCs w:val="21"/>
                      <w:lang w:eastAsia="zh-CN"/>
                    </w:rPr>
                  </w:pPr>
                  <w:r>
                    <w:rPr>
                      <w:rFonts w:hint="eastAsia"/>
                      <w:sz w:val="21"/>
                      <w:szCs w:val="21"/>
                      <w:lang w:eastAsia="zh-CN"/>
                    </w:rPr>
                    <w:t>53</w:t>
                  </w:r>
                </w:p>
              </w:tc>
              <w:tc>
                <w:tcPr>
                  <w:tcW w:w="495" w:type="pct"/>
                  <w:vAlign w:val="center"/>
                </w:tcPr>
                <w:p>
                  <w:pPr>
                    <w:pStyle w:val="32"/>
                    <w:spacing w:line="240" w:lineRule="auto"/>
                    <w:ind w:firstLine="0" w:firstLineChars="0"/>
                    <w:jc w:val="center"/>
                    <w:rPr>
                      <w:sz w:val="21"/>
                      <w:szCs w:val="21"/>
                      <w:lang w:eastAsia="zh-CN"/>
                    </w:rPr>
                  </w:pPr>
                  <w:r>
                    <w:rPr>
                      <w:rFonts w:hint="eastAsia"/>
                      <w:sz w:val="21"/>
                      <w:szCs w:val="21"/>
                      <w:lang w:eastAsia="zh-CN"/>
                    </w:rPr>
                    <w:t>55</w:t>
                  </w:r>
                </w:p>
              </w:tc>
              <w:tc>
                <w:tcPr>
                  <w:tcW w:w="578" w:type="pct"/>
                  <w:vAlign w:val="center"/>
                </w:tcPr>
                <w:p>
                  <w:pPr>
                    <w:pStyle w:val="32"/>
                    <w:spacing w:line="240" w:lineRule="auto"/>
                    <w:ind w:firstLine="0" w:firstLineChars="0"/>
                    <w:jc w:val="center"/>
                    <w:rPr>
                      <w:sz w:val="21"/>
                      <w:szCs w:val="21"/>
                      <w:lang w:eastAsia="zh-CN"/>
                    </w:rPr>
                  </w:pPr>
                  <w:r>
                    <w:rPr>
                      <w:rFonts w:hint="eastAsia"/>
                      <w:sz w:val="21"/>
                      <w:szCs w:val="21"/>
                      <w:lang w:eastAsia="zh-CN"/>
                    </w:rPr>
                    <w:t>达标</w:t>
                  </w:r>
                </w:p>
              </w:tc>
              <w:tc>
                <w:tcPr>
                  <w:tcW w:w="579" w:type="pct"/>
                  <w:vAlign w:val="center"/>
                </w:tcPr>
                <w:p>
                  <w:pPr>
                    <w:pStyle w:val="32"/>
                    <w:spacing w:line="240" w:lineRule="auto"/>
                    <w:ind w:firstLine="0" w:firstLineChars="0"/>
                    <w:jc w:val="center"/>
                    <w:rPr>
                      <w:sz w:val="21"/>
                      <w:szCs w:val="21"/>
                      <w:lang w:eastAsia="zh-CN"/>
                    </w:rPr>
                  </w:pPr>
                  <w:r>
                    <w:rPr>
                      <w:rFonts w:hint="eastAsia"/>
                      <w:sz w:val="21"/>
                      <w:szCs w:val="21"/>
                      <w:lang w:eastAsia="zh-CN"/>
                    </w:rPr>
                    <w:t>42</w:t>
                  </w:r>
                </w:p>
              </w:tc>
              <w:tc>
                <w:tcPr>
                  <w:tcW w:w="496" w:type="pct"/>
                  <w:vAlign w:val="center"/>
                </w:tcPr>
                <w:p>
                  <w:pPr>
                    <w:pStyle w:val="32"/>
                    <w:spacing w:line="240" w:lineRule="auto"/>
                    <w:ind w:firstLine="0" w:firstLineChars="0"/>
                    <w:jc w:val="center"/>
                    <w:rPr>
                      <w:sz w:val="21"/>
                      <w:szCs w:val="21"/>
                      <w:lang w:eastAsia="zh-CN"/>
                    </w:rPr>
                  </w:pPr>
                  <w:r>
                    <w:rPr>
                      <w:rFonts w:hint="eastAsia"/>
                      <w:sz w:val="21"/>
                      <w:szCs w:val="21"/>
                      <w:lang w:eastAsia="zh-CN"/>
                    </w:rPr>
                    <w:t>45</w:t>
                  </w:r>
                </w:p>
              </w:tc>
              <w:tc>
                <w:tcPr>
                  <w:tcW w:w="539" w:type="pct"/>
                  <w:vAlign w:val="center"/>
                </w:tcPr>
                <w:p>
                  <w:pPr>
                    <w:pStyle w:val="32"/>
                    <w:spacing w:line="240" w:lineRule="auto"/>
                    <w:ind w:firstLine="0" w:firstLineChars="0"/>
                    <w:jc w:val="center"/>
                    <w:rPr>
                      <w:sz w:val="21"/>
                      <w:szCs w:val="21"/>
                      <w:lang w:eastAsia="zh-CN"/>
                    </w:rPr>
                  </w:pPr>
                  <w:r>
                    <w:rPr>
                      <w:rFonts w:hint="eastAsia"/>
                      <w:sz w:val="21"/>
                      <w:szCs w:val="21"/>
                      <w:lang w:eastAsia="zh-CN"/>
                    </w:rPr>
                    <w:t>达标</w:t>
                  </w:r>
                </w:p>
              </w:tc>
            </w:tr>
          </w:tbl>
          <w:p>
            <w:pPr>
              <w:pStyle w:val="32"/>
              <w:ind w:left="120" w:leftChars="50" w:right="120" w:rightChars="50" w:firstLine="480"/>
              <w:rPr>
                <w:lang w:eastAsia="zh-CN"/>
              </w:rPr>
            </w:pPr>
            <w:r>
              <w:rPr>
                <w:rFonts w:hint="eastAsia"/>
                <w:lang w:eastAsia="zh-CN"/>
              </w:rPr>
              <w:t>由上表监测结果可知，各监测点昼间和夜间声环境现状值均满足《声环境质量标准》（GB3096-2008）中1类功能区要求。项目区域围声环境质量良好。</w:t>
            </w:r>
          </w:p>
          <w:p>
            <w:pPr>
              <w:ind w:right="46" w:rightChars="19" w:firstLine="0" w:firstLineChars="0"/>
              <w:jc w:val="left"/>
              <w:rPr>
                <w:b/>
              </w:rPr>
            </w:pPr>
            <w:r>
              <w:rPr>
                <w:rFonts w:hint="eastAsia"/>
                <w:b/>
              </w:rPr>
              <w:t>4、生态环境现状</w:t>
            </w:r>
          </w:p>
          <w:p>
            <w:pPr>
              <w:pStyle w:val="32"/>
              <w:ind w:left="120" w:leftChars="50" w:right="120" w:rightChars="50" w:firstLine="480"/>
              <w:rPr>
                <w:lang w:eastAsia="zh-CN"/>
              </w:rPr>
            </w:pPr>
            <w:r>
              <w:rPr>
                <w:rFonts w:hint="eastAsia"/>
                <w:lang w:eastAsia="zh-CN"/>
              </w:rPr>
              <w:t>本项目租用</w:t>
            </w:r>
            <w:r>
              <w:rPr>
                <w:rFonts w:hint="eastAsia"/>
              </w:rPr>
              <w:t>石家庄高新区学苑路30号副6号傲湖小区1号商业楼01-204，</w:t>
            </w:r>
            <w:r>
              <w:rPr>
                <w:rFonts w:hint="eastAsia"/>
                <w:lang w:eastAsia="zh-CN"/>
              </w:rPr>
              <w:t>位于石家庄高新技术产业开发区，不涉及生态敏感区，因此不进行生态现状调查。</w:t>
            </w:r>
          </w:p>
          <w:p>
            <w:pPr>
              <w:ind w:right="46" w:rightChars="19" w:firstLine="0" w:firstLineChars="0"/>
              <w:jc w:val="left"/>
              <w:rPr>
                <w:b/>
              </w:rPr>
            </w:pPr>
            <w:r>
              <w:rPr>
                <w:rFonts w:hint="eastAsia"/>
                <w:b/>
              </w:rPr>
              <w:t>5、地下水环境和土壤环境</w:t>
            </w:r>
          </w:p>
          <w:p>
            <w:pPr>
              <w:pStyle w:val="32"/>
              <w:spacing w:line="500" w:lineRule="exact"/>
              <w:ind w:left="120" w:leftChars="50" w:right="120" w:rightChars="50" w:firstLine="480"/>
              <w:rPr>
                <w:bCs/>
                <w:snapToGrid w:val="0"/>
                <w:kern w:val="0"/>
                <w:lang w:eastAsia="zh-CN"/>
              </w:rPr>
            </w:pPr>
            <w:r>
              <w:rPr>
                <w:rFonts w:hint="eastAsia"/>
                <w:lang w:eastAsia="zh-CN"/>
              </w:rPr>
              <w:t>本项目租用高新区学苑路30号副6号傲湖小区1号商业楼01-204，项目</w:t>
            </w:r>
            <w:r>
              <w:rPr>
                <w:rFonts w:hint="eastAsia"/>
                <w:bCs/>
                <w:snapToGrid w:val="0"/>
                <w:kern w:val="0"/>
              </w:rPr>
              <w:t>厂界外500m范围内无地下水集中式饮用水水源和热水、矿泉水、温泉等特殊地下水资源</w:t>
            </w:r>
            <w:r>
              <w:rPr>
                <w:rFonts w:hint="eastAsia"/>
                <w:bCs/>
                <w:snapToGrid w:val="0"/>
                <w:kern w:val="0"/>
                <w:lang w:eastAsia="zh-CN"/>
              </w:rPr>
              <w:t>。</w:t>
            </w:r>
          </w:p>
          <w:p>
            <w:pPr>
              <w:pStyle w:val="32"/>
              <w:spacing w:line="500" w:lineRule="exact"/>
              <w:ind w:left="120" w:leftChars="50" w:right="120" w:rightChars="50" w:firstLine="480"/>
              <w:rPr>
                <w:bCs/>
                <w:snapToGrid w:val="0"/>
                <w:kern w:val="0"/>
                <w:lang w:eastAsia="zh-CN"/>
              </w:rPr>
            </w:pPr>
            <w:r>
              <w:rPr>
                <w:rFonts w:hint="eastAsia"/>
                <w:lang w:eastAsia="zh-CN"/>
              </w:rPr>
              <w:t>本项目</w:t>
            </w:r>
            <w:r>
              <w:rPr>
                <w:rFonts w:hint="eastAsia"/>
                <w:bCs/>
                <w:snapToGrid w:val="0"/>
                <w:kern w:val="0"/>
              </w:rPr>
              <w:t>利用现有厂房，</w:t>
            </w:r>
            <w:r>
              <w:rPr>
                <w:rFonts w:hint="eastAsia"/>
                <w:bCs/>
                <w:snapToGrid w:val="0"/>
                <w:kern w:val="0"/>
                <w:lang w:eastAsia="zh-CN"/>
              </w:rPr>
              <w:t>污水处理设备是地上设置的碳钢材质池体，危险废物暂存间、医疗废物暂存间等设施均进行分区防渗，建设项目不存在土壤、地下水环境污染途径，</w:t>
            </w:r>
            <w:r>
              <w:rPr>
                <w:rFonts w:hint="eastAsia"/>
                <w:lang w:eastAsia="zh-CN"/>
              </w:rPr>
              <w:t>不会造成土壤和地下水污染，无需对地下水环境和土壤环境质量进行现状监测。</w:t>
            </w:r>
          </w:p>
          <w:p>
            <w:pPr>
              <w:ind w:right="46" w:rightChars="19" w:firstLine="0" w:firstLineChars="0"/>
              <w:jc w:val="left"/>
              <w:rPr>
                <w:b/>
              </w:rPr>
            </w:pPr>
            <w:r>
              <w:rPr>
                <w:rFonts w:hint="eastAsia"/>
                <w:b/>
              </w:rPr>
              <w:t>6、电磁辐射</w:t>
            </w:r>
          </w:p>
          <w:p>
            <w:pPr>
              <w:pStyle w:val="32"/>
              <w:spacing w:line="500" w:lineRule="exact"/>
              <w:ind w:left="120" w:leftChars="50" w:right="120" w:rightChars="50" w:firstLine="480"/>
              <w:rPr>
                <w:lang w:eastAsia="zh-CN"/>
              </w:rPr>
            </w:pPr>
            <w:r>
              <w:rPr>
                <w:rFonts w:hint="eastAsia"/>
                <w:lang w:eastAsia="zh-CN"/>
              </w:rPr>
              <w:t>本项目不属于电磁辐射类项目，不开展电磁辐射监测与评价。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568" w:type="dxa"/>
            <w:vAlign w:val="center"/>
          </w:tcPr>
          <w:p>
            <w:pPr>
              <w:spacing w:line="400" w:lineRule="exact"/>
              <w:ind w:right="46" w:rightChars="19" w:firstLine="0" w:firstLineChars="0"/>
              <w:jc w:val="center"/>
            </w:pPr>
            <w:r>
              <w:t>环境保护目标</w:t>
            </w:r>
          </w:p>
        </w:tc>
        <w:tc>
          <w:tcPr>
            <w:tcW w:w="8755" w:type="dxa"/>
            <w:vAlign w:val="center"/>
          </w:tcPr>
          <w:p>
            <w:pPr>
              <w:pStyle w:val="32"/>
              <w:ind w:left="120" w:leftChars="50" w:right="120" w:rightChars="50" w:firstLine="480"/>
              <w:rPr>
                <w:lang w:eastAsia="zh-CN"/>
              </w:rPr>
            </w:pPr>
            <w:r>
              <w:rPr>
                <w:lang w:eastAsia="zh-CN"/>
              </w:rPr>
              <w:t>根据项目周边环境状况确定项目周边500m范围内</w:t>
            </w:r>
            <w:bookmarkStart w:id="12" w:name="OLE_LINK22"/>
            <w:bookmarkStart w:id="13" w:name="OLE_LINK23"/>
            <w:r>
              <w:rPr>
                <w:lang w:eastAsia="zh-CN"/>
              </w:rPr>
              <w:t>小区为</w:t>
            </w:r>
            <w:bookmarkEnd w:id="12"/>
            <w:bookmarkEnd w:id="13"/>
            <w:r>
              <w:rPr>
                <w:lang w:eastAsia="zh-CN"/>
              </w:rPr>
              <w:t>大气环境保护目标；项目周边50m范围</w:t>
            </w:r>
            <w:r>
              <w:rPr>
                <w:rFonts w:hint="eastAsia"/>
                <w:lang w:eastAsia="zh-CN"/>
              </w:rPr>
              <w:t>内</w:t>
            </w:r>
            <w:r>
              <w:rPr>
                <w:lang w:eastAsia="zh-CN"/>
              </w:rPr>
              <w:t>小区为声环境保护目标；项目周边500m范围内无地下水集中式饮用水水源和热水、矿泉水、温泉等特殊地下水资源；项目周边无生态环境保护目标。</w:t>
            </w:r>
          </w:p>
          <w:p>
            <w:pPr>
              <w:pStyle w:val="14"/>
            </w:pPr>
            <w:r>
              <w:t>表</w:t>
            </w:r>
            <w:r>
              <w:rPr>
                <w:rFonts w:hint="eastAsia"/>
              </w:rPr>
              <w:t>14</w:t>
            </w:r>
            <w:r>
              <w:t xml:space="preserve">   本项目环境保护目标一览表</w:t>
            </w:r>
          </w:p>
          <w:tbl>
            <w:tblPr>
              <w:tblStyle w:val="16"/>
              <w:tblW w:w="494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454"/>
              <w:gridCol w:w="1273"/>
              <w:gridCol w:w="1000"/>
              <w:gridCol w:w="994"/>
              <w:gridCol w:w="567"/>
              <w:gridCol w:w="709"/>
              <w:gridCol w:w="709"/>
              <w:gridCol w:w="849"/>
              <w:gridCol w:w="20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263" w:type="pct"/>
                  <w:vMerge w:val="restar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szCs w:val="21"/>
                    </w:rPr>
                    <w:t>环境要素</w:t>
                  </w:r>
                </w:p>
              </w:tc>
              <w:tc>
                <w:tcPr>
                  <w:tcW w:w="737" w:type="pct"/>
                  <w:vMerge w:val="restar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szCs w:val="21"/>
                    </w:rPr>
                    <w:t>保护对象</w:t>
                  </w:r>
                </w:p>
              </w:tc>
              <w:tc>
                <w:tcPr>
                  <w:tcW w:w="1154" w:type="pct"/>
                  <w:gridSpan w:val="2"/>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szCs w:val="21"/>
                    </w:rPr>
                    <w:t>中心坐标</w:t>
                  </w:r>
                </w:p>
              </w:tc>
              <w:tc>
                <w:tcPr>
                  <w:tcW w:w="328" w:type="pct"/>
                  <w:vMerge w:val="restar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szCs w:val="21"/>
                    </w:rPr>
                    <w:t>保护内容</w:t>
                  </w:r>
                </w:p>
              </w:tc>
              <w:tc>
                <w:tcPr>
                  <w:tcW w:w="410" w:type="pct"/>
                  <w:vMerge w:val="restar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szCs w:val="21"/>
                    </w:rPr>
                    <w:t>环境功能区</w:t>
                  </w:r>
                </w:p>
              </w:tc>
              <w:tc>
                <w:tcPr>
                  <w:tcW w:w="410" w:type="pct"/>
                  <w:vMerge w:val="restar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szCs w:val="21"/>
                    </w:rPr>
                    <w:t>相对厂址位置</w:t>
                  </w:r>
                </w:p>
              </w:tc>
              <w:tc>
                <w:tcPr>
                  <w:tcW w:w="491" w:type="pct"/>
                  <w:vMerge w:val="restar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szCs w:val="21"/>
                    </w:rPr>
                    <w:t>相对距离（m）</w:t>
                  </w:r>
                </w:p>
              </w:tc>
              <w:tc>
                <w:tcPr>
                  <w:tcW w:w="1208" w:type="pct"/>
                  <w:vMerge w:val="restar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szCs w:val="21"/>
                    </w:rPr>
                    <w:t>保护级别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263" w:type="pct"/>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ind w:firstLine="0" w:firstLineChars="0"/>
                    <w:jc w:val="left"/>
                    <w:rPr>
                      <w:sz w:val="21"/>
                      <w:szCs w:val="21"/>
                    </w:rPr>
                  </w:pPr>
                </w:p>
              </w:tc>
              <w:tc>
                <w:tcPr>
                  <w:tcW w:w="737" w:type="pct"/>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ind w:firstLine="0" w:firstLineChars="0"/>
                    <w:jc w:val="left"/>
                    <w:rPr>
                      <w:sz w:val="21"/>
                      <w:szCs w:val="21"/>
                    </w:rPr>
                  </w:pPr>
                </w:p>
              </w:tc>
              <w:tc>
                <w:tcPr>
                  <w:tcW w:w="579"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szCs w:val="21"/>
                    </w:rPr>
                    <w:t>经度</w:t>
                  </w:r>
                </w:p>
              </w:tc>
              <w:tc>
                <w:tcPr>
                  <w:tcW w:w="575"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szCs w:val="21"/>
                    </w:rPr>
                    <w:t>纬度</w:t>
                  </w:r>
                </w:p>
              </w:tc>
              <w:tc>
                <w:tcPr>
                  <w:tcW w:w="328" w:type="pct"/>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ind w:firstLine="0" w:firstLineChars="0"/>
                    <w:jc w:val="left"/>
                    <w:rPr>
                      <w:sz w:val="21"/>
                      <w:szCs w:val="21"/>
                    </w:rPr>
                  </w:pPr>
                </w:p>
              </w:tc>
              <w:tc>
                <w:tcPr>
                  <w:tcW w:w="410" w:type="pct"/>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ind w:firstLine="0" w:firstLineChars="0"/>
                    <w:jc w:val="left"/>
                    <w:rPr>
                      <w:sz w:val="21"/>
                      <w:szCs w:val="21"/>
                    </w:rPr>
                  </w:pPr>
                </w:p>
              </w:tc>
              <w:tc>
                <w:tcPr>
                  <w:tcW w:w="410" w:type="pct"/>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ind w:firstLine="0" w:firstLineChars="0"/>
                    <w:jc w:val="left"/>
                    <w:rPr>
                      <w:sz w:val="21"/>
                      <w:szCs w:val="21"/>
                    </w:rPr>
                  </w:pPr>
                </w:p>
              </w:tc>
              <w:tc>
                <w:tcPr>
                  <w:tcW w:w="491" w:type="pct"/>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ind w:firstLine="0" w:firstLineChars="0"/>
                    <w:jc w:val="left"/>
                    <w:rPr>
                      <w:sz w:val="21"/>
                      <w:szCs w:val="21"/>
                    </w:rPr>
                  </w:pPr>
                </w:p>
              </w:tc>
              <w:tc>
                <w:tcPr>
                  <w:tcW w:w="1208" w:type="pct"/>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ind w:firstLine="0" w:firstLineChars="0"/>
                    <w:jc w:val="left"/>
                    <w:rPr>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63" w:type="pct"/>
                  <w:vMerge w:val="restart"/>
                  <w:tcBorders>
                    <w:top w:val="single" w:color="auto" w:sz="4" w:space="0"/>
                    <w:left w:val="single" w:color="auto" w:sz="4" w:space="0"/>
                    <w:right w:val="single" w:color="auto" w:sz="4" w:space="0"/>
                  </w:tcBorders>
                  <w:vAlign w:val="center"/>
                </w:tcPr>
                <w:p>
                  <w:pPr>
                    <w:pStyle w:val="28"/>
                    <w:spacing w:line="240" w:lineRule="auto"/>
                    <w:rPr>
                      <w:szCs w:val="21"/>
                    </w:rPr>
                  </w:pPr>
                  <w:r>
                    <w:rPr>
                      <w:szCs w:val="21"/>
                    </w:rPr>
                    <w:t>大气环境</w:t>
                  </w:r>
                </w:p>
              </w:tc>
              <w:tc>
                <w:tcPr>
                  <w:tcW w:w="737"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rFonts w:hint="eastAsia"/>
                      <w:szCs w:val="21"/>
                    </w:rPr>
                    <w:t>东方城</w:t>
                  </w:r>
                </w:p>
              </w:tc>
              <w:tc>
                <w:tcPr>
                  <w:tcW w:w="579"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rFonts w:hint="eastAsia"/>
                      <w:szCs w:val="21"/>
                    </w:rPr>
                    <w:t>114.587164</w:t>
                  </w:r>
                </w:p>
              </w:tc>
              <w:tc>
                <w:tcPr>
                  <w:tcW w:w="575"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rFonts w:hint="eastAsia"/>
                      <w:szCs w:val="21"/>
                    </w:rPr>
                    <w:t>38.013685</w:t>
                  </w:r>
                </w:p>
              </w:tc>
              <w:tc>
                <w:tcPr>
                  <w:tcW w:w="328"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szCs w:val="21"/>
                    </w:rPr>
                    <w:t>人群</w:t>
                  </w:r>
                </w:p>
              </w:tc>
              <w:tc>
                <w:tcPr>
                  <w:tcW w:w="410"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szCs w:val="21"/>
                    </w:rPr>
                    <w:t>居住区</w:t>
                  </w:r>
                </w:p>
              </w:tc>
              <w:tc>
                <w:tcPr>
                  <w:tcW w:w="410"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rFonts w:hint="eastAsia"/>
                      <w:szCs w:val="21"/>
                    </w:rPr>
                    <w:t>NW</w:t>
                  </w:r>
                </w:p>
              </w:tc>
              <w:tc>
                <w:tcPr>
                  <w:tcW w:w="491"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rFonts w:hint="eastAsia"/>
                      <w:szCs w:val="21"/>
                    </w:rPr>
                    <w:t>290</w:t>
                  </w:r>
                </w:p>
              </w:tc>
              <w:tc>
                <w:tcPr>
                  <w:tcW w:w="1208" w:type="pct"/>
                  <w:vMerge w:val="restart"/>
                  <w:tcBorders>
                    <w:top w:val="single" w:color="auto" w:sz="4" w:space="0"/>
                    <w:left w:val="single" w:color="auto" w:sz="4" w:space="0"/>
                    <w:right w:val="single" w:color="auto" w:sz="4" w:space="0"/>
                  </w:tcBorders>
                  <w:vAlign w:val="center"/>
                </w:tcPr>
                <w:p>
                  <w:pPr>
                    <w:pStyle w:val="28"/>
                    <w:spacing w:line="240" w:lineRule="auto"/>
                    <w:jc w:val="left"/>
                    <w:rPr>
                      <w:szCs w:val="21"/>
                    </w:rPr>
                  </w:pPr>
                  <w:r>
                    <w:rPr>
                      <w:rFonts w:hint="eastAsia"/>
                      <w:szCs w:val="21"/>
                    </w:rPr>
                    <w:t>《环境空气质量标准》（GB3095-2012）及其修改单二类环境功能区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263" w:type="pct"/>
                  <w:vMerge w:val="continue"/>
                  <w:tcBorders>
                    <w:left w:val="single" w:color="auto" w:sz="4" w:space="0"/>
                    <w:right w:val="single" w:color="auto" w:sz="4" w:space="0"/>
                  </w:tcBorders>
                  <w:vAlign w:val="center"/>
                </w:tcPr>
                <w:p>
                  <w:pPr>
                    <w:pStyle w:val="28"/>
                    <w:spacing w:line="240" w:lineRule="auto"/>
                    <w:rPr>
                      <w:szCs w:val="21"/>
                    </w:rPr>
                  </w:pPr>
                </w:p>
              </w:tc>
              <w:tc>
                <w:tcPr>
                  <w:tcW w:w="737" w:type="pct"/>
                  <w:tcBorders>
                    <w:top w:val="single" w:color="auto" w:sz="4" w:space="0"/>
                    <w:left w:val="single" w:color="auto" w:sz="4" w:space="0"/>
                    <w:bottom w:val="single" w:color="auto" w:sz="4" w:space="0"/>
                    <w:right w:val="single" w:color="auto" w:sz="4" w:space="0"/>
                  </w:tcBorders>
                  <w:vAlign w:val="center"/>
                </w:tcPr>
                <w:p>
                  <w:pPr>
                    <w:pStyle w:val="28"/>
                    <w:spacing w:line="240" w:lineRule="auto"/>
                    <w:jc w:val="left"/>
                    <w:rPr>
                      <w:szCs w:val="21"/>
                    </w:rPr>
                  </w:pPr>
                  <w:r>
                    <w:rPr>
                      <w:rFonts w:hint="eastAsia"/>
                      <w:szCs w:val="21"/>
                    </w:rPr>
                    <w:t>石家庄精英中学</w:t>
                  </w:r>
                </w:p>
              </w:tc>
              <w:tc>
                <w:tcPr>
                  <w:tcW w:w="579"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rFonts w:hint="eastAsia"/>
                      <w:szCs w:val="21"/>
                    </w:rPr>
                    <w:t>114.590576</w:t>
                  </w:r>
                </w:p>
              </w:tc>
              <w:tc>
                <w:tcPr>
                  <w:tcW w:w="575"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rFonts w:hint="eastAsia"/>
                      <w:szCs w:val="21"/>
                    </w:rPr>
                    <w:t>38.013932</w:t>
                  </w:r>
                </w:p>
              </w:tc>
              <w:tc>
                <w:tcPr>
                  <w:tcW w:w="328"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szCs w:val="21"/>
                    </w:rPr>
                    <w:t>人群</w:t>
                  </w:r>
                </w:p>
              </w:tc>
              <w:tc>
                <w:tcPr>
                  <w:tcW w:w="410"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rFonts w:hint="eastAsia"/>
                      <w:szCs w:val="21"/>
                    </w:rPr>
                    <w:t>学校</w:t>
                  </w:r>
                </w:p>
              </w:tc>
              <w:tc>
                <w:tcPr>
                  <w:tcW w:w="410"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rFonts w:hint="eastAsia"/>
                      <w:szCs w:val="21"/>
                    </w:rPr>
                    <w:t>N</w:t>
                  </w:r>
                </w:p>
              </w:tc>
              <w:tc>
                <w:tcPr>
                  <w:tcW w:w="491"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rFonts w:hint="eastAsia"/>
                      <w:szCs w:val="21"/>
                    </w:rPr>
                    <w:t>280</w:t>
                  </w:r>
                </w:p>
              </w:tc>
              <w:tc>
                <w:tcPr>
                  <w:tcW w:w="1208" w:type="pct"/>
                  <w:vMerge w:val="continue"/>
                  <w:tcBorders>
                    <w:left w:val="single" w:color="auto" w:sz="4" w:space="0"/>
                    <w:right w:val="single" w:color="auto" w:sz="4" w:space="0"/>
                  </w:tcBorders>
                  <w:vAlign w:val="center"/>
                </w:tcPr>
                <w:p>
                  <w:pPr>
                    <w:pStyle w:val="28"/>
                    <w:spacing w:line="240" w:lineRule="auto"/>
                    <w:jc w:val="left"/>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263" w:type="pct"/>
                  <w:vMerge w:val="continue"/>
                  <w:tcBorders>
                    <w:left w:val="single" w:color="auto" w:sz="4" w:space="0"/>
                    <w:right w:val="single" w:color="auto" w:sz="4" w:space="0"/>
                  </w:tcBorders>
                  <w:vAlign w:val="center"/>
                </w:tcPr>
                <w:p>
                  <w:pPr>
                    <w:pStyle w:val="28"/>
                    <w:spacing w:line="240" w:lineRule="auto"/>
                    <w:rPr>
                      <w:szCs w:val="21"/>
                    </w:rPr>
                  </w:pPr>
                </w:p>
              </w:tc>
              <w:tc>
                <w:tcPr>
                  <w:tcW w:w="737"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rFonts w:hint="eastAsia"/>
                      <w:szCs w:val="21"/>
                    </w:rPr>
                    <w:t>润都荣园</w:t>
                  </w:r>
                </w:p>
              </w:tc>
              <w:tc>
                <w:tcPr>
                  <w:tcW w:w="579"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rFonts w:hint="eastAsia"/>
                      <w:szCs w:val="21"/>
                    </w:rPr>
                    <w:t>114.589557</w:t>
                  </w:r>
                </w:p>
              </w:tc>
              <w:tc>
                <w:tcPr>
                  <w:tcW w:w="575"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rFonts w:hint="eastAsia"/>
                      <w:szCs w:val="21"/>
                    </w:rPr>
                    <w:t>38.011947</w:t>
                  </w:r>
                </w:p>
              </w:tc>
              <w:tc>
                <w:tcPr>
                  <w:tcW w:w="328"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szCs w:val="21"/>
                    </w:rPr>
                    <w:t>人群</w:t>
                  </w:r>
                </w:p>
              </w:tc>
              <w:tc>
                <w:tcPr>
                  <w:tcW w:w="410"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szCs w:val="21"/>
                    </w:rPr>
                    <w:t>居住区</w:t>
                  </w:r>
                </w:p>
              </w:tc>
              <w:tc>
                <w:tcPr>
                  <w:tcW w:w="410"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rFonts w:hint="eastAsia"/>
                      <w:szCs w:val="21"/>
                    </w:rPr>
                    <w:t>N</w:t>
                  </w:r>
                </w:p>
              </w:tc>
              <w:tc>
                <w:tcPr>
                  <w:tcW w:w="491"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rFonts w:hint="eastAsia"/>
                      <w:szCs w:val="21"/>
                    </w:rPr>
                    <w:t>30</w:t>
                  </w:r>
                </w:p>
              </w:tc>
              <w:tc>
                <w:tcPr>
                  <w:tcW w:w="1208" w:type="pct"/>
                  <w:vMerge w:val="continue"/>
                  <w:tcBorders>
                    <w:left w:val="single" w:color="auto" w:sz="4" w:space="0"/>
                    <w:right w:val="single" w:color="auto" w:sz="4" w:space="0"/>
                  </w:tcBorders>
                  <w:vAlign w:val="center"/>
                </w:tcPr>
                <w:p>
                  <w:pPr>
                    <w:pStyle w:val="28"/>
                    <w:spacing w:line="240" w:lineRule="auto"/>
                    <w:jc w:val="left"/>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63" w:type="pct"/>
                  <w:vMerge w:val="continue"/>
                  <w:tcBorders>
                    <w:left w:val="single" w:color="auto" w:sz="4" w:space="0"/>
                    <w:right w:val="single" w:color="auto" w:sz="4" w:space="0"/>
                  </w:tcBorders>
                  <w:vAlign w:val="center"/>
                </w:tcPr>
                <w:p>
                  <w:pPr>
                    <w:pStyle w:val="28"/>
                    <w:spacing w:line="240" w:lineRule="auto"/>
                    <w:rPr>
                      <w:szCs w:val="21"/>
                    </w:rPr>
                  </w:pPr>
                </w:p>
              </w:tc>
              <w:tc>
                <w:tcPr>
                  <w:tcW w:w="737"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rFonts w:hint="eastAsia"/>
                      <w:szCs w:val="21"/>
                    </w:rPr>
                    <w:t>傲湖小区北区</w:t>
                  </w:r>
                </w:p>
              </w:tc>
              <w:tc>
                <w:tcPr>
                  <w:tcW w:w="579"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rFonts w:hint="eastAsia"/>
                      <w:szCs w:val="21"/>
                    </w:rPr>
                    <w:t>114.589707</w:t>
                  </w:r>
                </w:p>
              </w:tc>
              <w:tc>
                <w:tcPr>
                  <w:tcW w:w="575"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rFonts w:hint="eastAsia"/>
                      <w:szCs w:val="21"/>
                    </w:rPr>
                    <w:t>38.010552</w:t>
                  </w:r>
                </w:p>
              </w:tc>
              <w:tc>
                <w:tcPr>
                  <w:tcW w:w="328"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szCs w:val="21"/>
                    </w:rPr>
                    <w:t>人群</w:t>
                  </w:r>
                </w:p>
              </w:tc>
              <w:tc>
                <w:tcPr>
                  <w:tcW w:w="410"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szCs w:val="21"/>
                    </w:rPr>
                    <w:t>居住区</w:t>
                  </w:r>
                </w:p>
              </w:tc>
              <w:tc>
                <w:tcPr>
                  <w:tcW w:w="410"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rFonts w:hint="eastAsia"/>
                      <w:szCs w:val="21"/>
                    </w:rPr>
                    <w:t>E</w:t>
                  </w:r>
                </w:p>
              </w:tc>
              <w:tc>
                <w:tcPr>
                  <w:tcW w:w="491"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rFonts w:hint="eastAsia"/>
                      <w:szCs w:val="21"/>
                    </w:rPr>
                    <w:t>10</w:t>
                  </w:r>
                </w:p>
              </w:tc>
              <w:tc>
                <w:tcPr>
                  <w:tcW w:w="1208" w:type="pct"/>
                  <w:vMerge w:val="continue"/>
                  <w:tcBorders>
                    <w:left w:val="single" w:color="auto" w:sz="4" w:space="0"/>
                    <w:right w:val="single" w:color="auto" w:sz="4" w:space="0"/>
                  </w:tcBorders>
                  <w:vAlign w:val="center"/>
                </w:tcPr>
                <w:p>
                  <w:pPr>
                    <w:pStyle w:val="28"/>
                    <w:spacing w:line="240" w:lineRule="auto"/>
                    <w:jc w:val="left"/>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263" w:type="pct"/>
                  <w:vMerge w:val="continue"/>
                  <w:tcBorders>
                    <w:left w:val="single" w:color="auto" w:sz="4" w:space="0"/>
                    <w:right w:val="single" w:color="auto" w:sz="4" w:space="0"/>
                  </w:tcBorders>
                  <w:vAlign w:val="center"/>
                </w:tcPr>
                <w:p>
                  <w:pPr>
                    <w:pStyle w:val="28"/>
                    <w:spacing w:line="240" w:lineRule="auto"/>
                    <w:rPr>
                      <w:szCs w:val="21"/>
                    </w:rPr>
                  </w:pPr>
                </w:p>
              </w:tc>
              <w:tc>
                <w:tcPr>
                  <w:tcW w:w="737"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rFonts w:hint="eastAsia"/>
                      <w:szCs w:val="21"/>
                    </w:rPr>
                    <w:t>傲湖小区南区</w:t>
                  </w:r>
                </w:p>
              </w:tc>
              <w:tc>
                <w:tcPr>
                  <w:tcW w:w="579"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rFonts w:hint="eastAsia"/>
                      <w:szCs w:val="21"/>
                    </w:rPr>
                    <w:t>114.589653</w:t>
                  </w:r>
                </w:p>
              </w:tc>
              <w:tc>
                <w:tcPr>
                  <w:tcW w:w="575"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rFonts w:hint="eastAsia"/>
                      <w:szCs w:val="21"/>
                    </w:rPr>
                    <w:t>38.008922</w:t>
                  </w:r>
                </w:p>
              </w:tc>
              <w:tc>
                <w:tcPr>
                  <w:tcW w:w="328"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szCs w:val="21"/>
                    </w:rPr>
                    <w:t>人群</w:t>
                  </w:r>
                </w:p>
              </w:tc>
              <w:tc>
                <w:tcPr>
                  <w:tcW w:w="410"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szCs w:val="21"/>
                    </w:rPr>
                    <w:t>居住区</w:t>
                  </w:r>
                </w:p>
              </w:tc>
              <w:tc>
                <w:tcPr>
                  <w:tcW w:w="410"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rFonts w:hint="eastAsia"/>
                      <w:szCs w:val="21"/>
                    </w:rPr>
                    <w:t>S</w:t>
                  </w:r>
                </w:p>
              </w:tc>
              <w:tc>
                <w:tcPr>
                  <w:tcW w:w="491"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rFonts w:hint="eastAsia"/>
                      <w:szCs w:val="21"/>
                    </w:rPr>
                    <w:t>110</w:t>
                  </w:r>
                </w:p>
              </w:tc>
              <w:tc>
                <w:tcPr>
                  <w:tcW w:w="1208" w:type="pct"/>
                  <w:vMerge w:val="continue"/>
                  <w:tcBorders>
                    <w:left w:val="single" w:color="auto" w:sz="4" w:space="0"/>
                    <w:right w:val="single" w:color="auto" w:sz="4" w:space="0"/>
                  </w:tcBorders>
                  <w:vAlign w:val="center"/>
                </w:tcPr>
                <w:p>
                  <w:pPr>
                    <w:pStyle w:val="28"/>
                    <w:spacing w:line="240" w:lineRule="auto"/>
                    <w:jc w:val="left"/>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263" w:type="pct"/>
                  <w:vMerge w:val="continue"/>
                  <w:tcBorders>
                    <w:left w:val="single" w:color="auto" w:sz="4" w:space="0"/>
                    <w:right w:val="single" w:color="auto" w:sz="4" w:space="0"/>
                  </w:tcBorders>
                  <w:vAlign w:val="center"/>
                </w:tcPr>
                <w:p>
                  <w:pPr>
                    <w:pStyle w:val="28"/>
                    <w:spacing w:line="240" w:lineRule="auto"/>
                    <w:rPr>
                      <w:szCs w:val="21"/>
                    </w:rPr>
                  </w:pPr>
                </w:p>
              </w:tc>
              <w:tc>
                <w:tcPr>
                  <w:tcW w:w="737"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rFonts w:hint="eastAsia"/>
                      <w:szCs w:val="21"/>
                    </w:rPr>
                    <w:t>雅都园</w:t>
                  </w:r>
                </w:p>
              </w:tc>
              <w:tc>
                <w:tcPr>
                  <w:tcW w:w="579"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rFonts w:hint="eastAsia"/>
                      <w:szCs w:val="21"/>
                    </w:rPr>
                    <w:t>11</w:t>
                  </w:r>
                  <w:r>
                    <w:rPr>
                      <w:rFonts w:hint="eastAsia"/>
                      <w:szCs w:val="21"/>
                    </w:rPr>
                    <w:cr/>
                  </w:r>
                  <w:r>
                    <w:rPr>
                      <w:rFonts w:hint="eastAsia"/>
                      <w:szCs w:val="21"/>
                    </w:rPr>
                    <w:t>.589557</w:t>
                  </w:r>
                </w:p>
              </w:tc>
              <w:tc>
                <w:tcPr>
                  <w:tcW w:w="575"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rFonts w:hint="eastAsia"/>
                      <w:szCs w:val="21"/>
                    </w:rPr>
                    <w:t>38.006540</w:t>
                  </w:r>
                </w:p>
              </w:tc>
              <w:tc>
                <w:tcPr>
                  <w:tcW w:w="328"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szCs w:val="21"/>
                    </w:rPr>
                    <w:t>人群</w:t>
                  </w:r>
                </w:p>
              </w:tc>
              <w:tc>
                <w:tcPr>
                  <w:tcW w:w="410"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szCs w:val="21"/>
                    </w:rPr>
                    <w:t>居住区</w:t>
                  </w:r>
                </w:p>
              </w:tc>
              <w:tc>
                <w:tcPr>
                  <w:tcW w:w="410"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rFonts w:hint="eastAsia"/>
                      <w:szCs w:val="21"/>
                    </w:rPr>
                    <w:t>S</w:t>
                  </w:r>
                </w:p>
              </w:tc>
              <w:tc>
                <w:tcPr>
                  <w:tcW w:w="491"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rFonts w:hint="eastAsia"/>
                      <w:szCs w:val="21"/>
                    </w:rPr>
                    <w:t>360</w:t>
                  </w:r>
                </w:p>
              </w:tc>
              <w:tc>
                <w:tcPr>
                  <w:tcW w:w="1208" w:type="pct"/>
                  <w:vMerge w:val="continue"/>
                  <w:tcBorders>
                    <w:left w:val="single" w:color="auto" w:sz="4" w:space="0"/>
                    <w:right w:val="single" w:color="auto" w:sz="4" w:space="0"/>
                  </w:tcBorders>
                  <w:vAlign w:val="center"/>
                </w:tcPr>
                <w:p>
                  <w:pPr>
                    <w:pStyle w:val="28"/>
                    <w:spacing w:line="240" w:lineRule="auto"/>
                    <w:jc w:val="left"/>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63" w:type="pct"/>
                  <w:vMerge w:val="continue"/>
                  <w:tcBorders>
                    <w:left w:val="single" w:color="auto" w:sz="4" w:space="0"/>
                    <w:right w:val="single" w:color="auto" w:sz="4" w:space="0"/>
                  </w:tcBorders>
                  <w:vAlign w:val="center"/>
                </w:tcPr>
                <w:p>
                  <w:pPr>
                    <w:pStyle w:val="28"/>
                    <w:spacing w:line="240" w:lineRule="auto"/>
                    <w:rPr>
                      <w:szCs w:val="21"/>
                    </w:rPr>
                  </w:pPr>
                </w:p>
              </w:tc>
              <w:tc>
                <w:tcPr>
                  <w:tcW w:w="737"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rFonts w:hint="eastAsia"/>
                      <w:szCs w:val="21"/>
                    </w:rPr>
                    <w:t>西仰陵新村</w:t>
                  </w:r>
                </w:p>
              </w:tc>
              <w:tc>
                <w:tcPr>
                  <w:tcW w:w="579"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rFonts w:hint="eastAsia"/>
                      <w:szCs w:val="21"/>
                    </w:rPr>
                    <w:t>114.586145</w:t>
                  </w:r>
                </w:p>
              </w:tc>
              <w:tc>
                <w:tcPr>
                  <w:tcW w:w="575"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rFonts w:hint="eastAsia"/>
                      <w:szCs w:val="21"/>
                    </w:rPr>
                    <w:t>38.006626</w:t>
                  </w:r>
                </w:p>
              </w:tc>
              <w:tc>
                <w:tcPr>
                  <w:tcW w:w="328"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szCs w:val="21"/>
                    </w:rPr>
                    <w:t>人群</w:t>
                  </w:r>
                </w:p>
              </w:tc>
              <w:tc>
                <w:tcPr>
                  <w:tcW w:w="410"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szCs w:val="21"/>
                    </w:rPr>
                    <w:t>居住区</w:t>
                  </w:r>
                </w:p>
              </w:tc>
              <w:tc>
                <w:tcPr>
                  <w:tcW w:w="410"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rFonts w:hint="eastAsia"/>
                      <w:szCs w:val="21"/>
                    </w:rPr>
                    <w:t>SW</w:t>
                  </w:r>
                </w:p>
              </w:tc>
              <w:tc>
                <w:tcPr>
                  <w:tcW w:w="491"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rFonts w:hint="eastAsia"/>
                      <w:szCs w:val="21"/>
                    </w:rPr>
                    <w:t>370</w:t>
                  </w:r>
                </w:p>
              </w:tc>
              <w:tc>
                <w:tcPr>
                  <w:tcW w:w="1208" w:type="pct"/>
                  <w:vMerge w:val="continue"/>
                  <w:tcBorders>
                    <w:left w:val="single" w:color="auto" w:sz="4" w:space="0"/>
                    <w:right w:val="single" w:color="auto" w:sz="4" w:space="0"/>
                  </w:tcBorders>
                  <w:vAlign w:val="center"/>
                </w:tcPr>
                <w:p>
                  <w:pPr>
                    <w:pStyle w:val="28"/>
                    <w:spacing w:line="240" w:lineRule="auto"/>
                    <w:jc w:val="left"/>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263" w:type="pct"/>
                  <w:vMerge w:val="continue"/>
                  <w:tcBorders>
                    <w:left w:val="single" w:color="auto" w:sz="4" w:space="0"/>
                    <w:right w:val="single" w:color="auto" w:sz="4" w:space="0"/>
                  </w:tcBorders>
                  <w:vAlign w:val="center"/>
                </w:tcPr>
                <w:p>
                  <w:pPr>
                    <w:pStyle w:val="28"/>
                    <w:spacing w:line="240" w:lineRule="auto"/>
                    <w:rPr>
                      <w:szCs w:val="21"/>
                    </w:rPr>
                  </w:pPr>
                </w:p>
              </w:tc>
              <w:tc>
                <w:tcPr>
                  <w:tcW w:w="737"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rFonts w:hint="eastAsia"/>
                      <w:szCs w:val="21"/>
                    </w:rPr>
                    <w:t>塔北路小学</w:t>
                  </w:r>
                </w:p>
              </w:tc>
              <w:tc>
                <w:tcPr>
                  <w:tcW w:w="579"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rFonts w:hint="eastAsia"/>
                      <w:szCs w:val="21"/>
                    </w:rPr>
                    <w:t>114.584911</w:t>
                  </w:r>
                </w:p>
              </w:tc>
              <w:tc>
                <w:tcPr>
                  <w:tcW w:w="575"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rFonts w:hint="eastAsia"/>
                      <w:szCs w:val="21"/>
                    </w:rPr>
                    <w:t>38.009629</w:t>
                  </w:r>
                </w:p>
              </w:tc>
              <w:tc>
                <w:tcPr>
                  <w:tcW w:w="328"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szCs w:val="21"/>
                    </w:rPr>
                    <w:t>人群</w:t>
                  </w:r>
                </w:p>
              </w:tc>
              <w:tc>
                <w:tcPr>
                  <w:tcW w:w="410"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rFonts w:hint="eastAsia"/>
                      <w:szCs w:val="21"/>
                    </w:rPr>
                    <w:t>学校</w:t>
                  </w:r>
                </w:p>
              </w:tc>
              <w:tc>
                <w:tcPr>
                  <w:tcW w:w="410"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rFonts w:hint="eastAsia"/>
                      <w:szCs w:val="21"/>
                    </w:rPr>
                    <w:t>SW</w:t>
                  </w:r>
                </w:p>
              </w:tc>
              <w:tc>
                <w:tcPr>
                  <w:tcW w:w="491"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rFonts w:hint="eastAsia"/>
                      <w:szCs w:val="21"/>
                    </w:rPr>
                    <w:t>290</w:t>
                  </w:r>
                </w:p>
              </w:tc>
              <w:tc>
                <w:tcPr>
                  <w:tcW w:w="1208" w:type="pct"/>
                  <w:vMerge w:val="continue"/>
                  <w:tcBorders>
                    <w:left w:val="single" w:color="auto" w:sz="4" w:space="0"/>
                    <w:right w:val="single" w:color="auto" w:sz="4" w:space="0"/>
                  </w:tcBorders>
                  <w:vAlign w:val="center"/>
                </w:tcPr>
                <w:p>
                  <w:pPr>
                    <w:pStyle w:val="28"/>
                    <w:spacing w:line="240" w:lineRule="auto"/>
                    <w:jc w:val="left"/>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263" w:type="pct"/>
                  <w:vMerge w:val="restart"/>
                  <w:tcBorders>
                    <w:left w:val="single" w:color="auto" w:sz="4" w:space="0"/>
                    <w:right w:val="single" w:color="auto" w:sz="4" w:space="0"/>
                  </w:tcBorders>
                  <w:vAlign w:val="center"/>
                </w:tcPr>
                <w:p>
                  <w:pPr>
                    <w:pStyle w:val="28"/>
                    <w:spacing w:line="240" w:lineRule="auto"/>
                    <w:rPr>
                      <w:szCs w:val="21"/>
                    </w:rPr>
                  </w:pPr>
                  <w:r>
                    <w:rPr>
                      <w:szCs w:val="21"/>
                    </w:rPr>
                    <w:t>声环境</w:t>
                  </w:r>
                </w:p>
              </w:tc>
              <w:tc>
                <w:tcPr>
                  <w:tcW w:w="737"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rFonts w:hint="eastAsia"/>
                      <w:szCs w:val="21"/>
                    </w:rPr>
                    <w:t>润都荣园</w:t>
                  </w:r>
                </w:p>
              </w:tc>
              <w:tc>
                <w:tcPr>
                  <w:tcW w:w="579"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rFonts w:hint="eastAsia"/>
                      <w:szCs w:val="21"/>
                    </w:rPr>
                    <w:t>114.589557</w:t>
                  </w:r>
                </w:p>
              </w:tc>
              <w:tc>
                <w:tcPr>
                  <w:tcW w:w="575"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rFonts w:hint="eastAsia"/>
                      <w:szCs w:val="21"/>
                    </w:rPr>
                    <w:t>38.011947</w:t>
                  </w:r>
                </w:p>
              </w:tc>
              <w:tc>
                <w:tcPr>
                  <w:tcW w:w="328"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szCs w:val="21"/>
                    </w:rPr>
                    <w:t>人群</w:t>
                  </w:r>
                </w:p>
              </w:tc>
              <w:tc>
                <w:tcPr>
                  <w:tcW w:w="410"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szCs w:val="21"/>
                    </w:rPr>
                    <w:t>居住区</w:t>
                  </w:r>
                </w:p>
              </w:tc>
              <w:tc>
                <w:tcPr>
                  <w:tcW w:w="410"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rFonts w:hint="eastAsia"/>
                      <w:szCs w:val="21"/>
                    </w:rPr>
                    <w:t>N</w:t>
                  </w:r>
                </w:p>
              </w:tc>
              <w:tc>
                <w:tcPr>
                  <w:tcW w:w="491"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rFonts w:hint="eastAsia"/>
                      <w:szCs w:val="21"/>
                    </w:rPr>
                    <w:t>30</w:t>
                  </w:r>
                </w:p>
              </w:tc>
              <w:tc>
                <w:tcPr>
                  <w:tcW w:w="1208" w:type="pct"/>
                  <w:vMerge w:val="restart"/>
                  <w:tcBorders>
                    <w:left w:val="single" w:color="auto" w:sz="4" w:space="0"/>
                    <w:right w:val="single" w:color="auto" w:sz="4" w:space="0"/>
                  </w:tcBorders>
                  <w:vAlign w:val="center"/>
                </w:tcPr>
                <w:p>
                  <w:pPr>
                    <w:pStyle w:val="28"/>
                    <w:spacing w:line="240" w:lineRule="auto"/>
                    <w:jc w:val="left"/>
                    <w:rPr>
                      <w:szCs w:val="21"/>
                    </w:rPr>
                  </w:pPr>
                  <w:r>
                    <w:rPr>
                      <w:szCs w:val="21"/>
                    </w:rPr>
                    <w:t>《声环境质量标准》（GB3096-2008）</w:t>
                  </w:r>
                  <w:r>
                    <w:rPr>
                      <w:rFonts w:hint="eastAsia"/>
                      <w:szCs w:val="21"/>
                    </w:rPr>
                    <w:t>1</w:t>
                  </w:r>
                  <w:r>
                    <w:rPr>
                      <w:szCs w:val="21"/>
                    </w:rPr>
                    <w:t>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63" w:type="pct"/>
                  <w:vMerge w:val="continue"/>
                  <w:tcBorders>
                    <w:left w:val="single" w:color="auto" w:sz="4" w:space="0"/>
                    <w:right w:val="single" w:color="auto" w:sz="4" w:space="0"/>
                  </w:tcBorders>
                  <w:vAlign w:val="center"/>
                </w:tcPr>
                <w:p>
                  <w:pPr>
                    <w:pStyle w:val="28"/>
                    <w:spacing w:line="240" w:lineRule="auto"/>
                    <w:rPr>
                      <w:szCs w:val="21"/>
                    </w:rPr>
                  </w:pPr>
                </w:p>
              </w:tc>
              <w:tc>
                <w:tcPr>
                  <w:tcW w:w="737"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rFonts w:hint="eastAsia"/>
                      <w:szCs w:val="21"/>
                    </w:rPr>
                    <w:t>傲湖小区北区</w:t>
                  </w:r>
                </w:p>
              </w:tc>
              <w:tc>
                <w:tcPr>
                  <w:tcW w:w="579"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rFonts w:hint="eastAsia"/>
                      <w:szCs w:val="21"/>
                    </w:rPr>
                    <w:t>114.589707</w:t>
                  </w:r>
                </w:p>
              </w:tc>
              <w:tc>
                <w:tcPr>
                  <w:tcW w:w="575"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rFonts w:hint="eastAsia"/>
                      <w:szCs w:val="21"/>
                    </w:rPr>
                    <w:t>38.010552</w:t>
                  </w:r>
                </w:p>
              </w:tc>
              <w:tc>
                <w:tcPr>
                  <w:tcW w:w="328"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szCs w:val="21"/>
                    </w:rPr>
                    <w:t>人群</w:t>
                  </w:r>
                </w:p>
              </w:tc>
              <w:tc>
                <w:tcPr>
                  <w:tcW w:w="410"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szCs w:val="21"/>
                    </w:rPr>
                    <w:t>居住区</w:t>
                  </w:r>
                </w:p>
              </w:tc>
              <w:tc>
                <w:tcPr>
                  <w:tcW w:w="410"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rFonts w:hint="eastAsia"/>
                      <w:szCs w:val="21"/>
                    </w:rPr>
                    <w:t>E</w:t>
                  </w:r>
                </w:p>
              </w:tc>
              <w:tc>
                <w:tcPr>
                  <w:tcW w:w="491" w:type="pct"/>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rFonts w:hint="eastAsia"/>
                      <w:szCs w:val="21"/>
                    </w:rPr>
                    <w:t>10</w:t>
                  </w:r>
                </w:p>
              </w:tc>
              <w:tc>
                <w:tcPr>
                  <w:tcW w:w="1208" w:type="pct"/>
                  <w:vMerge w:val="continue"/>
                  <w:tcBorders>
                    <w:left w:val="single" w:color="auto" w:sz="4" w:space="0"/>
                    <w:right w:val="single" w:color="auto" w:sz="4" w:space="0"/>
                  </w:tcBorders>
                  <w:vAlign w:val="center"/>
                </w:tcPr>
                <w:p>
                  <w:pPr>
                    <w:pStyle w:val="28"/>
                    <w:spacing w:line="240" w:lineRule="auto"/>
                    <w:jc w:val="left"/>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263" w:type="pct"/>
                  <w:tcBorders>
                    <w:left w:val="single" w:color="auto" w:sz="4" w:space="0"/>
                    <w:right w:val="single" w:color="auto" w:sz="4" w:space="0"/>
                  </w:tcBorders>
                  <w:vAlign w:val="center"/>
                </w:tcPr>
                <w:p>
                  <w:pPr>
                    <w:pStyle w:val="28"/>
                    <w:spacing w:line="240" w:lineRule="auto"/>
                    <w:rPr>
                      <w:szCs w:val="21"/>
                    </w:rPr>
                  </w:pPr>
                  <w:r>
                    <w:rPr>
                      <w:rFonts w:hint="eastAsia"/>
                      <w:szCs w:val="21"/>
                    </w:rPr>
                    <w:t>地下水</w:t>
                  </w:r>
                </w:p>
              </w:tc>
              <w:tc>
                <w:tcPr>
                  <w:tcW w:w="3530" w:type="pct"/>
                  <w:gridSpan w:val="7"/>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rFonts w:hint="eastAsia"/>
                      <w:szCs w:val="21"/>
                    </w:rPr>
                    <w:t>无</w:t>
                  </w:r>
                </w:p>
              </w:tc>
              <w:tc>
                <w:tcPr>
                  <w:tcW w:w="1208" w:type="pct"/>
                  <w:tcBorders>
                    <w:left w:val="single" w:color="auto" w:sz="4" w:space="0"/>
                    <w:right w:val="single" w:color="auto" w:sz="4" w:space="0"/>
                  </w:tcBorders>
                  <w:vAlign w:val="center"/>
                </w:tcPr>
                <w:p>
                  <w:pPr>
                    <w:pStyle w:val="28"/>
                    <w:spacing w:line="240" w:lineRule="auto"/>
                    <w:jc w:val="left"/>
                    <w:rPr>
                      <w:szCs w:val="21"/>
                    </w:rPr>
                  </w:pPr>
                  <w:r>
                    <w:rPr>
                      <w:rFonts w:hint="eastAsia"/>
                      <w:szCs w:val="21"/>
                    </w:rPr>
                    <w:t>《地下水质量标准》（GB/T14848-2017）Ⅲ类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263" w:type="pct"/>
                  <w:tcBorders>
                    <w:left w:val="single" w:color="auto" w:sz="4" w:space="0"/>
                    <w:right w:val="single" w:color="auto" w:sz="4" w:space="0"/>
                  </w:tcBorders>
                  <w:vAlign w:val="center"/>
                </w:tcPr>
                <w:p>
                  <w:pPr>
                    <w:pStyle w:val="28"/>
                    <w:spacing w:line="240" w:lineRule="auto"/>
                    <w:rPr>
                      <w:szCs w:val="21"/>
                    </w:rPr>
                  </w:pPr>
                  <w:r>
                    <w:rPr>
                      <w:rFonts w:hint="eastAsia"/>
                      <w:szCs w:val="21"/>
                    </w:rPr>
                    <w:t>生态环境</w:t>
                  </w:r>
                </w:p>
              </w:tc>
              <w:tc>
                <w:tcPr>
                  <w:tcW w:w="4737" w:type="pct"/>
                  <w:gridSpan w:val="8"/>
                  <w:tcBorders>
                    <w:top w:val="single" w:color="auto" w:sz="4" w:space="0"/>
                    <w:left w:val="single" w:color="auto" w:sz="4" w:space="0"/>
                    <w:bottom w:val="single" w:color="auto" w:sz="4" w:space="0"/>
                    <w:right w:val="single" w:color="auto" w:sz="4" w:space="0"/>
                  </w:tcBorders>
                  <w:vAlign w:val="center"/>
                </w:tcPr>
                <w:p>
                  <w:pPr>
                    <w:pStyle w:val="28"/>
                    <w:spacing w:line="240" w:lineRule="auto"/>
                    <w:rPr>
                      <w:szCs w:val="21"/>
                    </w:rPr>
                  </w:pPr>
                  <w:r>
                    <w:rPr>
                      <w:rFonts w:hint="eastAsia"/>
                      <w:szCs w:val="21"/>
                    </w:rPr>
                    <w:t>无</w:t>
                  </w:r>
                </w:p>
              </w:tc>
            </w:tr>
          </w:tbl>
          <w:p>
            <w:pPr>
              <w:spacing w:line="240" w:lineRule="auto"/>
              <w:ind w:right="46" w:rightChars="19" w:firstLine="0" w:firstLineChars="0"/>
              <w:jc w:val="left"/>
              <w:rPr>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568" w:type="dxa"/>
            <w:vAlign w:val="center"/>
          </w:tcPr>
          <w:p>
            <w:pPr>
              <w:spacing w:line="400" w:lineRule="exact"/>
              <w:ind w:right="46" w:rightChars="19" w:firstLine="0" w:firstLineChars="0"/>
              <w:jc w:val="center"/>
            </w:pPr>
            <w:r>
              <w:rPr>
                <w:rFonts w:hint="eastAsia"/>
              </w:rPr>
              <w:t>污染物排放控制标准</w:t>
            </w:r>
          </w:p>
        </w:tc>
        <w:tc>
          <w:tcPr>
            <w:tcW w:w="8755" w:type="dxa"/>
            <w:vAlign w:val="center"/>
          </w:tcPr>
          <w:p>
            <w:pPr>
              <w:ind w:right="46" w:rightChars="19" w:firstLine="0" w:firstLineChars="0"/>
              <w:jc w:val="left"/>
              <w:rPr>
                <w:b/>
              </w:rPr>
            </w:pPr>
            <w:r>
              <w:rPr>
                <w:b/>
              </w:rPr>
              <w:t>1、废气</w:t>
            </w:r>
          </w:p>
          <w:p>
            <w:pPr>
              <w:ind w:left="120" w:leftChars="50" w:right="120" w:rightChars="50" w:firstLine="480"/>
              <w:jc w:val="left"/>
            </w:pPr>
            <w:r>
              <w:rPr>
                <w:rFonts w:hint="eastAsia"/>
              </w:rPr>
              <w:t>（1）施工期：施工场地扬尘排放执行《施工场地扬尘排放标准》（DB13/2934-2019）表1 扬尘排放浓度限值，施工场地扬尘监测点数量符合《施工场地扬尘排放标准》（DB13/2934-2019）表3施工场地扬尘监测点数量设置要求。</w:t>
            </w:r>
          </w:p>
          <w:p>
            <w:pPr>
              <w:ind w:left="120" w:leftChars="50" w:right="120" w:rightChars="50" w:firstLine="480"/>
              <w:jc w:val="left"/>
              <w:rPr>
                <w:highlight w:val="yellow"/>
              </w:rPr>
            </w:pPr>
            <w:r>
              <w:rPr>
                <w:rFonts w:hint="eastAsia"/>
              </w:rPr>
              <w:t>（2）运行期：中药煎药室废气臭气浓度执行《恶臭污染物排放标准》（GB14554-93）表2恶臭污染物排放标准值；污水处理站废气中NH</w:t>
            </w:r>
            <w:r>
              <w:rPr>
                <w:rFonts w:hint="eastAsia"/>
                <w:vertAlign w:val="subscript"/>
              </w:rPr>
              <w:t>3</w:t>
            </w:r>
            <w:r>
              <w:rPr>
                <w:rFonts w:hint="eastAsia"/>
              </w:rPr>
              <w:t>、H</w:t>
            </w:r>
            <w:r>
              <w:rPr>
                <w:rFonts w:hint="eastAsia"/>
                <w:vertAlign w:val="subscript"/>
              </w:rPr>
              <w:t>2</w:t>
            </w:r>
            <w:r>
              <w:rPr>
                <w:rFonts w:hint="eastAsia"/>
              </w:rPr>
              <w:t>S、臭气浓度执行</w:t>
            </w:r>
            <w:r>
              <w:rPr>
                <w:rFonts w:hint="eastAsia"/>
                <w:bCs/>
              </w:rPr>
              <w:t>《医疗机构水污染物排放标准》（GB18466-2005）中表3要求</w:t>
            </w:r>
            <w:r>
              <w:rPr>
                <w:rFonts w:hint="eastAsia"/>
              </w:rPr>
              <w:t>。</w:t>
            </w:r>
          </w:p>
          <w:p>
            <w:pPr>
              <w:pStyle w:val="14"/>
            </w:pPr>
          </w:p>
          <w:p>
            <w:pPr>
              <w:pStyle w:val="14"/>
            </w:pPr>
          </w:p>
          <w:p>
            <w:pPr>
              <w:pStyle w:val="14"/>
            </w:pPr>
          </w:p>
          <w:p>
            <w:pPr>
              <w:pStyle w:val="14"/>
            </w:pPr>
            <w:r>
              <w:t>表</w:t>
            </w:r>
            <w:r>
              <w:rPr>
                <w:rFonts w:hint="eastAsia"/>
              </w:rPr>
              <w:t>15</w:t>
            </w:r>
            <w:r>
              <w:t xml:space="preserve">  </w:t>
            </w:r>
            <w:r>
              <w:rPr>
                <w:rFonts w:hint="eastAsia"/>
              </w:rPr>
              <w:t>大气</w:t>
            </w:r>
            <w:r>
              <w:t>污染物排放标准</w:t>
            </w:r>
          </w:p>
          <w:tbl>
            <w:tblPr>
              <w:tblStyle w:val="1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882"/>
              <w:gridCol w:w="992"/>
              <w:gridCol w:w="1573"/>
              <w:gridCol w:w="1066"/>
              <w:gridCol w:w="933"/>
              <w:gridCol w:w="322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82" w:type="dxa"/>
                  <w:vAlign w:val="center"/>
                </w:tcPr>
                <w:p>
                  <w:pPr>
                    <w:spacing w:line="240" w:lineRule="auto"/>
                    <w:ind w:firstLine="0" w:firstLineChars="0"/>
                    <w:jc w:val="center"/>
                    <w:rPr>
                      <w:sz w:val="21"/>
                      <w:szCs w:val="21"/>
                      <w:lang w:val="zh-CN"/>
                    </w:rPr>
                  </w:pPr>
                  <w:r>
                    <w:rPr>
                      <w:rFonts w:hint="eastAsia"/>
                      <w:sz w:val="21"/>
                      <w:szCs w:val="21"/>
                      <w:lang w:val="zh-CN"/>
                    </w:rPr>
                    <w:t>污染物</w:t>
                  </w:r>
                </w:p>
              </w:tc>
              <w:tc>
                <w:tcPr>
                  <w:tcW w:w="992" w:type="dxa"/>
                  <w:vAlign w:val="center"/>
                </w:tcPr>
                <w:p>
                  <w:pPr>
                    <w:spacing w:line="240" w:lineRule="auto"/>
                    <w:ind w:firstLine="0" w:firstLineChars="0"/>
                    <w:jc w:val="center"/>
                    <w:rPr>
                      <w:sz w:val="21"/>
                      <w:szCs w:val="21"/>
                      <w:lang w:val="zh-CN"/>
                    </w:rPr>
                  </w:pPr>
                  <w:r>
                    <w:rPr>
                      <w:rFonts w:hint="eastAsia"/>
                      <w:sz w:val="21"/>
                      <w:szCs w:val="21"/>
                      <w:lang w:val="zh-CN"/>
                    </w:rPr>
                    <w:t>类别</w:t>
                  </w:r>
                </w:p>
              </w:tc>
              <w:tc>
                <w:tcPr>
                  <w:tcW w:w="2639" w:type="dxa"/>
                  <w:gridSpan w:val="2"/>
                  <w:vAlign w:val="center"/>
                </w:tcPr>
                <w:p>
                  <w:pPr>
                    <w:spacing w:line="240" w:lineRule="auto"/>
                    <w:ind w:firstLine="0" w:firstLineChars="0"/>
                    <w:jc w:val="center"/>
                    <w:rPr>
                      <w:sz w:val="21"/>
                      <w:szCs w:val="21"/>
                      <w:lang w:val="zh-CN"/>
                    </w:rPr>
                  </w:pPr>
                  <w:r>
                    <w:rPr>
                      <w:rFonts w:hint="eastAsia"/>
                      <w:sz w:val="21"/>
                      <w:szCs w:val="21"/>
                      <w:lang w:val="zh-CN"/>
                    </w:rPr>
                    <w:t>浓度限值</w:t>
                  </w:r>
                </w:p>
              </w:tc>
              <w:tc>
                <w:tcPr>
                  <w:tcW w:w="933" w:type="dxa"/>
                  <w:vAlign w:val="center"/>
                </w:tcPr>
                <w:p>
                  <w:pPr>
                    <w:spacing w:line="240" w:lineRule="auto"/>
                    <w:ind w:firstLine="0" w:firstLineChars="0"/>
                    <w:jc w:val="center"/>
                    <w:rPr>
                      <w:sz w:val="21"/>
                      <w:szCs w:val="21"/>
                      <w:lang w:val="zh-CN"/>
                    </w:rPr>
                  </w:pPr>
                  <w:r>
                    <w:rPr>
                      <w:rFonts w:hint="eastAsia"/>
                      <w:sz w:val="21"/>
                      <w:szCs w:val="21"/>
                      <w:lang w:val="zh-CN"/>
                    </w:rPr>
                    <w:t>最低去除效率%</w:t>
                  </w:r>
                </w:p>
              </w:tc>
              <w:tc>
                <w:tcPr>
                  <w:tcW w:w="3224" w:type="dxa"/>
                  <w:vAlign w:val="center"/>
                </w:tcPr>
                <w:p>
                  <w:pPr>
                    <w:spacing w:line="240" w:lineRule="auto"/>
                    <w:ind w:firstLine="0" w:firstLineChars="0"/>
                    <w:jc w:val="center"/>
                    <w:rPr>
                      <w:sz w:val="21"/>
                      <w:szCs w:val="21"/>
                      <w:lang w:val="zh-CN"/>
                    </w:rPr>
                  </w:pPr>
                  <w:r>
                    <w:rPr>
                      <w:rFonts w:hint="eastAsia"/>
                      <w:sz w:val="21"/>
                      <w:szCs w:val="21"/>
                      <w:lang w:val="zh-CN"/>
                    </w:rPr>
                    <w:t>标准来源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82" w:type="dxa"/>
                  <w:vMerge w:val="restart"/>
                  <w:vAlign w:val="center"/>
                </w:tcPr>
                <w:p>
                  <w:pPr>
                    <w:spacing w:line="240" w:lineRule="auto"/>
                    <w:ind w:firstLine="0" w:firstLineChars="0"/>
                    <w:jc w:val="center"/>
                    <w:rPr>
                      <w:sz w:val="21"/>
                      <w:szCs w:val="21"/>
                      <w:lang w:val="zh-CN"/>
                    </w:rPr>
                  </w:pPr>
                  <w:r>
                    <w:rPr>
                      <w:rFonts w:hint="eastAsia"/>
                      <w:sz w:val="21"/>
                      <w:szCs w:val="21"/>
                      <w:lang w:val="zh-CN"/>
                    </w:rPr>
                    <w:t>施工期扬尘</w:t>
                  </w:r>
                </w:p>
              </w:tc>
              <w:tc>
                <w:tcPr>
                  <w:tcW w:w="992" w:type="dxa"/>
                  <w:vMerge w:val="restart"/>
                  <w:vAlign w:val="center"/>
                </w:tcPr>
                <w:p>
                  <w:pPr>
                    <w:spacing w:line="240" w:lineRule="auto"/>
                    <w:ind w:firstLine="0" w:firstLineChars="0"/>
                    <w:jc w:val="center"/>
                    <w:rPr>
                      <w:sz w:val="21"/>
                      <w:szCs w:val="21"/>
                      <w:lang w:val="zh-CN"/>
                    </w:rPr>
                  </w:pPr>
                  <w:r>
                    <w:rPr>
                      <w:rFonts w:hint="eastAsia"/>
                      <w:sz w:val="21"/>
                      <w:szCs w:val="21"/>
                    </w:rPr>
                    <w:t>PM</w:t>
                  </w:r>
                  <w:r>
                    <w:rPr>
                      <w:rFonts w:hint="eastAsia"/>
                      <w:sz w:val="21"/>
                      <w:szCs w:val="21"/>
                      <w:vertAlign w:val="subscript"/>
                    </w:rPr>
                    <w:t>10</w:t>
                  </w:r>
                </w:p>
              </w:tc>
              <w:tc>
                <w:tcPr>
                  <w:tcW w:w="2639" w:type="dxa"/>
                  <w:gridSpan w:val="2"/>
                  <w:vAlign w:val="center"/>
                </w:tcPr>
                <w:p>
                  <w:pPr>
                    <w:pStyle w:val="28"/>
                    <w:spacing w:line="240" w:lineRule="auto"/>
                    <w:rPr>
                      <w:szCs w:val="21"/>
                    </w:rPr>
                  </w:pPr>
                  <w:r>
                    <w:rPr>
                      <w:rFonts w:hint="eastAsia"/>
                      <w:szCs w:val="21"/>
                    </w:rPr>
                    <w:t>监测点浓度限值</w:t>
                  </w:r>
                  <w:r>
                    <w:rPr>
                      <w:rFonts w:hint="eastAsia"/>
                      <w:szCs w:val="21"/>
                      <w:vertAlign w:val="superscript"/>
                    </w:rPr>
                    <w:t>①</w:t>
                  </w:r>
                  <w:r>
                    <w:rPr>
                      <w:rFonts w:hint="eastAsia"/>
                      <w:szCs w:val="21"/>
                    </w:rPr>
                    <w:t>80</w:t>
                  </w:r>
                  <w:r>
                    <w:rPr>
                      <w:szCs w:val="21"/>
                    </w:rPr>
                    <w:t>μ</w:t>
                  </w:r>
                  <w:r>
                    <w:rPr>
                      <w:rFonts w:hint="eastAsia"/>
                      <w:szCs w:val="21"/>
                    </w:rPr>
                    <w:t>g/m</w:t>
                  </w:r>
                  <w:r>
                    <w:rPr>
                      <w:rFonts w:hint="eastAsia"/>
                      <w:szCs w:val="21"/>
                      <w:vertAlign w:val="superscript"/>
                    </w:rPr>
                    <w:t>3</w:t>
                  </w:r>
                </w:p>
              </w:tc>
              <w:tc>
                <w:tcPr>
                  <w:tcW w:w="933" w:type="dxa"/>
                  <w:vAlign w:val="center"/>
                </w:tcPr>
                <w:p>
                  <w:pPr>
                    <w:spacing w:line="240" w:lineRule="auto"/>
                    <w:ind w:firstLine="0" w:firstLineChars="0"/>
                    <w:jc w:val="center"/>
                    <w:rPr>
                      <w:sz w:val="21"/>
                      <w:szCs w:val="21"/>
                      <w:lang w:val="zh-CN"/>
                    </w:rPr>
                  </w:pPr>
                  <w:r>
                    <w:rPr>
                      <w:rFonts w:hint="eastAsia"/>
                      <w:sz w:val="21"/>
                      <w:szCs w:val="21"/>
                      <w:lang w:val="zh-CN"/>
                    </w:rPr>
                    <w:t>—</w:t>
                  </w:r>
                </w:p>
              </w:tc>
              <w:tc>
                <w:tcPr>
                  <w:tcW w:w="3224" w:type="dxa"/>
                  <w:vMerge w:val="restart"/>
                  <w:vAlign w:val="center"/>
                </w:tcPr>
                <w:p>
                  <w:pPr>
                    <w:spacing w:line="240" w:lineRule="auto"/>
                    <w:ind w:firstLine="0" w:firstLineChars="0"/>
                    <w:jc w:val="center"/>
                    <w:rPr>
                      <w:sz w:val="21"/>
                      <w:szCs w:val="21"/>
                    </w:rPr>
                  </w:pPr>
                  <w:r>
                    <w:rPr>
                      <w:rFonts w:hint="eastAsia"/>
                      <w:sz w:val="21"/>
                      <w:szCs w:val="21"/>
                    </w:rPr>
                    <w:t>《施工场地扬尘排放标准》（DB13/2934-2019）表1、表3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82" w:type="dxa"/>
                  <w:vMerge w:val="continue"/>
                  <w:vAlign w:val="center"/>
                </w:tcPr>
                <w:p>
                  <w:pPr>
                    <w:spacing w:line="240" w:lineRule="auto"/>
                    <w:ind w:firstLine="0" w:firstLineChars="0"/>
                    <w:jc w:val="center"/>
                    <w:rPr>
                      <w:sz w:val="21"/>
                      <w:szCs w:val="21"/>
                      <w:lang w:val="zh-CN"/>
                    </w:rPr>
                  </w:pPr>
                </w:p>
              </w:tc>
              <w:tc>
                <w:tcPr>
                  <w:tcW w:w="992" w:type="dxa"/>
                  <w:vMerge w:val="continue"/>
                  <w:vAlign w:val="center"/>
                </w:tcPr>
                <w:p>
                  <w:pPr>
                    <w:spacing w:line="240" w:lineRule="auto"/>
                    <w:ind w:firstLine="0" w:firstLineChars="0"/>
                    <w:jc w:val="center"/>
                    <w:rPr>
                      <w:sz w:val="21"/>
                      <w:szCs w:val="21"/>
                      <w:lang w:val="zh-CN"/>
                    </w:rPr>
                  </w:pPr>
                </w:p>
              </w:tc>
              <w:tc>
                <w:tcPr>
                  <w:tcW w:w="2639" w:type="dxa"/>
                  <w:gridSpan w:val="2"/>
                  <w:vAlign w:val="center"/>
                </w:tcPr>
                <w:p>
                  <w:pPr>
                    <w:pStyle w:val="28"/>
                    <w:spacing w:line="240" w:lineRule="auto"/>
                    <w:rPr>
                      <w:szCs w:val="21"/>
                    </w:rPr>
                  </w:pPr>
                  <w:r>
                    <w:rPr>
                      <w:rFonts w:hint="eastAsia"/>
                      <w:szCs w:val="21"/>
                    </w:rPr>
                    <w:t>达标判定依据</w:t>
                  </w:r>
                  <w:r>
                    <w:rPr>
                      <w:rFonts w:hint="eastAsia" w:ascii="楷体" w:hAnsi="楷体" w:eastAsia="楷体"/>
                      <w:szCs w:val="21"/>
                    </w:rPr>
                    <w:t>≤</w:t>
                  </w:r>
                  <w:r>
                    <w:rPr>
                      <w:rFonts w:hint="eastAsia"/>
                      <w:szCs w:val="21"/>
                    </w:rPr>
                    <w:t>2次/天</w:t>
                  </w:r>
                </w:p>
              </w:tc>
              <w:tc>
                <w:tcPr>
                  <w:tcW w:w="933" w:type="dxa"/>
                  <w:vAlign w:val="center"/>
                </w:tcPr>
                <w:p>
                  <w:pPr>
                    <w:spacing w:line="240" w:lineRule="auto"/>
                    <w:ind w:firstLine="0" w:firstLineChars="0"/>
                    <w:jc w:val="center"/>
                    <w:rPr>
                      <w:sz w:val="21"/>
                      <w:szCs w:val="21"/>
                      <w:lang w:val="zh-CN"/>
                    </w:rPr>
                  </w:pPr>
                  <w:r>
                    <w:rPr>
                      <w:rFonts w:hint="eastAsia"/>
                      <w:sz w:val="21"/>
                      <w:szCs w:val="21"/>
                      <w:lang w:val="zh-CN"/>
                    </w:rPr>
                    <w:t>—</w:t>
                  </w:r>
                </w:p>
              </w:tc>
              <w:tc>
                <w:tcPr>
                  <w:tcW w:w="3224" w:type="dxa"/>
                  <w:vMerge w:val="continue"/>
                  <w:vAlign w:val="center"/>
                </w:tcPr>
                <w:p>
                  <w:pPr>
                    <w:spacing w:line="240" w:lineRule="auto"/>
                    <w:ind w:firstLine="0" w:firstLineChars="0"/>
                    <w:jc w:val="center"/>
                    <w:rPr>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82" w:type="dxa"/>
                  <w:vMerge w:val="continue"/>
                  <w:vAlign w:val="center"/>
                </w:tcPr>
                <w:p>
                  <w:pPr>
                    <w:spacing w:line="240" w:lineRule="auto"/>
                    <w:ind w:firstLine="0" w:firstLineChars="0"/>
                    <w:jc w:val="center"/>
                    <w:rPr>
                      <w:sz w:val="21"/>
                      <w:szCs w:val="21"/>
                      <w:lang w:val="zh-CN"/>
                    </w:rPr>
                  </w:pPr>
                </w:p>
              </w:tc>
              <w:tc>
                <w:tcPr>
                  <w:tcW w:w="992" w:type="dxa"/>
                  <w:vMerge w:val="continue"/>
                  <w:vAlign w:val="center"/>
                </w:tcPr>
                <w:p>
                  <w:pPr>
                    <w:spacing w:line="240" w:lineRule="auto"/>
                    <w:ind w:firstLine="0" w:firstLineChars="0"/>
                    <w:jc w:val="center"/>
                    <w:rPr>
                      <w:sz w:val="21"/>
                      <w:szCs w:val="21"/>
                      <w:lang w:val="zh-CN"/>
                    </w:rPr>
                  </w:pPr>
                </w:p>
              </w:tc>
              <w:tc>
                <w:tcPr>
                  <w:tcW w:w="2639" w:type="dxa"/>
                  <w:gridSpan w:val="2"/>
                  <w:vAlign w:val="center"/>
                </w:tcPr>
                <w:p>
                  <w:pPr>
                    <w:pStyle w:val="28"/>
                    <w:spacing w:line="240" w:lineRule="auto"/>
                    <w:rPr>
                      <w:szCs w:val="21"/>
                    </w:rPr>
                  </w:pPr>
                  <w:r>
                    <w:rPr>
                      <w:rFonts w:hint="eastAsia"/>
                      <w:szCs w:val="21"/>
                    </w:rPr>
                    <w:t>监测点个数</w:t>
                  </w:r>
                  <w:r>
                    <w:rPr>
                      <w:rFonts w:hint="eastAsia" w:ascii="楷体" w:hAnsi="楷体" w:eastAsia="楷体"/>
                      <w:szCs w:val="21"/>
                    </w:rPr>
                    <w:t>≥</w:t>
                  </w:r>
                  <w:r>
                    <w:rPr>
                      <w:rFonts w:hint="eastAsia"/>
                      <w:szCs w:val="21"/>
                    </w:rPr>
                    <w:t>4个</w:t>
                  </w:r>
                </w:p>
              </w:tc>
              <w:tc>
                <w:tcPr>
                  <w:tcW w:w="933" w:type="dxa"/>
                  <w:vAlign w:val="center"/>
                </w:tcPr>
                <w:p>
                  <w:pPr>
                    <w:spacing w:line="240" w:lineRule="auto"/>
                    <w:ind w:firstLine="0" w:firstLineChars="0"/>
                    <w:jc w:val="center"/>
                    <w:rPr>
                      <w:sz w:val="21"/>
                      <w:szCs w:val="21"/>
                      <w:lang w:val="zh-CN"/>
                    </w:rPr>
                  </w:pPr>
                  <w:r>
                    <w:rPr>
                      <w:rFonts w:hint="eastAsia"/>
                      <w:sz w:val="21"/>
                      <w:szCs w:val="21"/>
                      <w:lang w:val="zh-CN"/>
                    </w:rPr>
                    <w:t>—</w:t>
                  </w:r>
                </w:p>
              </w:tc>
              <w:tc>
                <w:tcPr>
                  <w:tcW w:w="3224" w:type="dxa"/>
                  <w:vMerge w:val="continue"/>
                  <w:vAlign w:val="center"/>
                </w:tcPr>
                <w:p>
                  <w:pPr>
                    <w:spacing w:line="240" w:lineRule="auto"/>
                    <w:ind w:firstLine="0" w:firstLineChars="0"/>
                    <w:jc w:val="center"/>
                    <w:rPr>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82" w:type="dxa"/>
                  <w:vAlign w:val="center"/>
                </w:tcPr>
                <w:p>
                  <w:pPr>
                    <w:spacing w:line="240" w:lineRule="auto"/>
                    <w:ind w:firstLine="0" w:firstLineChars="0"/>
                    <w:jc w:val="center"/>
                    <w:rPr>
                      <w:sz w:val="21"/>
                      <w:szCs w:val="21"/>
                      <w:lang w:val="zh-CN"/>
                    </w:rPr>
                  </w:pPr>
                  <w:r>
                    <w:rPr>
                      <w:rFonts w:hint="eastAsia"/>
                      <w:sz w:val="21"/>
                      <w:szCs w:val="21"/>
                    </w:rPr>
                    <w:t>NH</w:t>
                  </w:r>
                  <w:r>
                    <w:rPr>
                      <w:rFonts w:hint="eastAsia"/>
                      <w:sz w:val="21"/>
                      <w:szCs w:val="21"/>
                      <w:vertAlign w:val="subscript"/>
                    </w:rPr>
                    <w:t>3</w:t>
                  </w:r>
                </w:p>
              </w:tc>
              <w:tc>
                <w:tcPr>
                  <w:tcW w:w="992" w:type="dxa"/>
                  <w:vAlign w:val="center"/>
                </w:tcPr>
                <w:p>
                  <w:pPr>
                    <w:spacing w:line="240" w:lineRule="auto"/>
                    <w:ind w:firstLine="0" w:firstLineChars="0"/>
                    <w:jc w:val="center"/>
                    <w:rPr>
                      <w:sz w:val="21"/>
                      <w:szCs w:val="21"/>
                      <w:lang w:val="zh-CN"/>
                    </w:rPr>
                  </w:pPr>
                  <w:r>
                    <w:rPr>
                      <w:rFonts w:hint="eastAsia"/>
                      <w:sz w:val="21"/>
                      <w:szCs w:val="21"/>
                      <w:lang w:val="zh-CN"/>
                    </w:rPr>
                    <w:t>无组织</w:t>
                  </w:r>
                </w:p>
              </w:tc>
              <w:tc>
                <w:tcPr>
                  <w:tcW w:w="1573" w:type="dxa"/>
                  <w:vMerge w:val="restart"/>
                  <w:vAlign w:val="center"/>
                </w:tcPr>
                <w:p>
                  <w:pPr>
                    <w:spacing w:line="240" w:lineRule="auto"/>
                    <w:ind w:firstLine="0" w:firstLineChars="0"/>
                    <w:jc w:val="left"/>
                    <w:rPr>
                      <w:sz w:val="21"/>
                      <w:szCs w:val="21"/>
                    </w:rPr>
                  </w:pPr>
                  <w:r>
                    <w:rPr>
                      <w:rFonts w:hint="eastAsia"/>
                      <w:sz w:val="21"/>
                      <w:szCs w:val="21"/>
                    </w:rPr>
                    <w:t>污水处理站周边大气污染物最高允许排放浓度</w:t>
                  </w:r>
                </w:p>
              </w:tc>
              <w:tc>
                <w:tcPr>
                  <w:tcW w:w="1066" w:type="dxa"/>
                  <w:vAlign w:val="center"/>
                </w:tcPr>
                <w:p>
                  <w:pPr>
                    <w:spacing w:line="240" w:lineRule="auto"/>
                    <w:ind w:firstLine="0" w:firstLineChars="0"/>
                    <w:jc w:val="center"/>
                    <w:rPr>
                      <w:sz w:val="21"/>
                      <w:szCs w:val="21"/>
                    </w:rPr>
                  </w:pPr>
                  <w:r>
                    <w:rPr>
                      <w:rFonts w:hint="eastAsia"/>
                      <w:sz w:val="21"/>
                      <w:szCs w:val="21"/>
                    </w:rPr>
                    <w:t>1.0mg/m</w:t>
                  </w:r>
                  <w:r>
                    <w:rPr>
                      <w:rFonts w:hint="eastAsia"/>
                      <w:sz w:val="21"/>
                      <w:szCs w:val="21"/>
                      <w:vertAlign w:val="superscript"/>
                    </w:rPr>
                    <w:t>3</w:t>
                  </w:r>
                </w:p>
              </w:tc>
              <w:tc>
                <w:tcPr>
                  <w:tcW w:w="933" w:type="dxa"/>
                  <w:vAlign w:val="center"/>
                </w:tcPr>
                <w:p>
                  <w:pPr>
                    <w:spacing w:line="240" w:lineRule="auto"/>
                    <w:ind w:firstLine="0" w:firstLineChars="0"/>
                    <w:jc w:val="center"/>
                    <w:rPr>
                      <w:sz w:val="21"/>
                      <w:szCs w:val="21"/>
                      <w:lang w:val="zh-CN"/>
                    </w:rPr>
                  </w:pPr>
                  <w:r>
                    <w:rPr>
                      <w:rFonts w:hint="eastAsia"/>
                      <w:sz w:val="21"/>
                      <w:szCs w:val="21"/>
                      <w:lang w:val="zh-CN"/>
                    </w:rPr>
                    <w:t>—</w:t>
                  </w:r>
                </w:p>
              </w:tc>
              <w:tc>
                <w:tcPr>
                  <w:tcW w:w="3224" w:type="dxa"/>
                  <w:vMerge w:val="restart"/>
                  <w:vAlign w:val="center"/>
                </w:tcPr>
                <w:p>
                  <w:pPr>
                    <w:spacing w:line="240" w:lineRule="auto"/>
                    <w:ind w:firstLine="0" w:firstLineChars="0"/>
                    <w:jc w:val="center"/>
                    <w:rPr>
                      <w:sz w:val="21"/>
                      <w:szCs w:val="21"/>
                      <w:lang w:val="zh-CN"/>
                    </w:rPr>
                  </w:pPr>
                  <w:r>
                    <w:rPr>
                      <w:rFonts w:hint="eastAsia"/>
                      <w:sz w:val="21"/>
                      <w:szCs w:val="21"/>
                    </w:rPr>
                    <w:t>《医疗机构水污染物排放标准》（GB18466-2005）中表3标准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82" w:type="dxa"/>
                  <w:vAlign w:val="center"/>
                </w:tcPr>
                <w:p>
                  <w:pPr>
                    <w:spacing w:line="240" w:lineRule="auto"/>
                    <w:ind w:firstLine="0" w:firstLineChars="0"/>
                    <w:jc w:val="center"/>
                    <w:rPr>
                      <w:sz w:val="21"/>
                      <w:szCs w:val="21"/>
                      <w:lang w:val="zh-CN"/>
                    </w:rPr>
                  </w:pPr>
                  <w:r>
                    <w:rPr>
                      <w:rFonts w:hint="eastAsia"/>
                      <w:sz w:val="21"/>
                      <w:szCs w:val="21"/>
                    </w:rPr>
                    <w:t>H</w:t>
                  </w:r>
                  <w:r>
                    <w:rPr>
                      <w:rFonts w:hint="eastAsia"/>
                      <w:sz w:val="21"/>
                      <w:szCs w:val="21"/>
                      <w:vertAlign w:val="subscript"/>
                    </w:rPr>
                    <w:t>2</w:t>
                  </w:r>
                  <w:r>
                    <w:rPr>
                      <w:rFonts w:hint="eastAsia"/>
                      <w:sz w:val="21"/>
                      <w:szCs w:val="21"/>
                    </w:rPr>
                    <w:t>S</w:t>
                  </w:r>
                </w:p>
              </w:tc>
              <w:tc>
                <w:tcPr>
                  <w:tcW w:w="992" w:type="dxa"/>
                  <w:vAlign w:val="center"/>
                </w:tcPr>
                <w:p>
                  <w:pPr>
                    <w:spacing w:line="240" w:lineRule="auto"/>
                    <w:ind w:firstLine="0" w:firstLineChars="0"/>
                    <w:jc w:val="center"/>
                    <w:rPr>
                      <w:sz w:val="21"/>
                      <w:szCs w:val="21"/>
                      <w:lang w:val="zh-CN"/>
                    </w:rPr>
                  </w:pPr>
                  <w:r>
                    <w:rPr>
                      <w:rFonts w:hint="eastAsia"/>
                      <w:sz w:val="21"/>
                      <w:szCs w:val="21"/>
                      <w:lang w:val="zh-CN"/>
                    </w:rPr>
                    <w:t>无组织</w:t>
                  </w:r>
                </w:p>
              </w:tc>
              <w:tc>
                <w:tcPr>
                  <w:tcW w:w="1573" w:type="dxa"/>
                  <w:vMerge w:val="continue"/>
                  <w:vAlign w:val="center"/>
                </w:tcPr>
                <w:p>
                  <w:pPr>
                    <w:spacing w:line="240" w:lineRule="auto"/>
                    <w:ind w:firstLine="0" w:firstLineChars="0"/>
                    <w:jc w:val="center"/>
                    <w:rPr>
                      <w:sz w:val="21"/>
                      <w:szCs w:val="21"/>
                    </w:rPr>
                  </w:pPr>
                </w:p>
              </w:tc>
              <w:tc>
                <w:tcPr>
                  <w:tcW w:w="1066" w:type="dxa"/>
                  <w:vAlign w:val="center"/>
                </w:tcPr>
                <w:p>
                  <w:pPr>
                    <w:spacing w:line="240" w:lineRule="auto"/>
                    <w:ind w:firstLine="0" w:firstLineChars="0"/>
                    <w:jc w:val="center"/>
                    <w:rPr>
                      <w:sz w:val="21"/>
                      <w:szCs w:val="21"/>
                    </w:rPr>
                  </w:pPr>
                  <w:r>
                    <w:rPr>
                      <w:rFonts w:hint="eastAsia"/>
                      <w:sz w:val="21"/>
                      <w:szCs w:val="21"/>
                    </w:rPr>
                    <w:t>0.03mg/m</w:t>
                  </w:r>
                  <w:r>
                    <w:rPr>
                      <w:rFonts w:hint="eastAsia"/>
                      <w:sz w:val="21"/>
                      <w:szCs w:val="21"/>
                      <w:vertAlign w:val="superscript"/>
                    </w:rPr>
                    <w:t>3</w:t>
                  </w:r>
                </w:p>
              </w:tc>
              <w:tc>
                <w:tcPr>
                  <w:tcW w:w="933" w:type="dxa"/>
                  <w:vAlign w:val="center"/>
                </w:tcPr>
                <w:p>
                  <w:pPr>
                    <w:spacing w:line="240" w:lineRule="auto"/>
                    <w:ind w:firstLine="0" w:firstLineChars="0"/>
                    <w:jc w:val="center"/>
                    <w:rPr>
                      <w:sz w:val="21"/>
                      <w:szCs w:val="21"/>
                      <w:lang w:val="zh-CN"/>
                    </w:rPr>
                  </w:pPr>
                  <w:r>
                    <w:rPr>
                      <w:rFonts w:hint="eastAsia"/>
                      <w:sz w:val="21"/>
                      <w:szCs w:val="21"/>
                      <w:lang w:val="zh-CN"/>
                    </w:rPr>
                    <w:t>—</w:t>
                  </w:r>
                </w:p>
              </w:tc>
              <w:tc>
                <w:tcPr>
                  <w:tcW w:w="3224" w:type="dxa"/>
                  <w:vMerge w:val="continue"/>
                  <w:vAlign w:val="center"/>
                </w:tcPr>
                <w:p>
                  <w:pPr>
                    <w:spacing w:line="240" w:lineRule="auto"/>
                    <w:ind w:firstLine="0" w:firstLineChars="0"/>
                    <w:jc w:val="left"/>
                    <w:rPr>
                      <w:sz w:val="21"/>
                      <w:szCs w:val="21"/>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82" w:type="dxa"/>
                  <w:vAlign w:val="center"/>
                </w:tcPr>
                <w:p>
                  <w:pPr>
                    <w:spacing w:line="240" w:lineRule="auto"/>
                    <w:ind w:firstLine="0" w:firstLineChars="0"/>
                    <w:jc w:val="center"/>
                    <w:rPr>
                      <w:sz w:val="21"/>
                      <w:szCs w:val="21"/>
                    </w:rPr>
                  </w:pPr>
                  <w:r>
                    <w:rPr>
                      <w:rFonts w:hint="eastAsia"/>
                      <w:sz w:val="21"/>
                      <w:szCs w:val="21"/>
                    </w:rPr>
                    <w:t>臭气浓度</w:t>
                  </w:r>
                </w:p>
              </w:tc>
              <w:tc>
                <w:tcPr>
                  <w:tcW w:w="992" w:type="dxa"/>
                  <w:vAlign w:val="center"/>
                </w:tcPr>
                <w:p>
                  <w:pPr>
                    <w:spacing w:line="240" w:lineRule="auto"/>
                    <w:ind w:firstLine="0" w:firstLineChars="0"/>
                    <w:jc w:val="center"/>
                    <w:rPr>
                      <w:sz w:val="21"/>
                      <w:szCs w:val="21"/>
                      <w:lang w:val="zh-CN"/>
                    </w:rPr>
                  </w:pPr>
                  <w:r>
                    <w:rPr>
                      <w:rFonts w:hint="eastAsia"/>
                      <w:sz w:val="21"/>
                      <w:szCs w:val="21"/>
                      <w:lang w:val="zh-CN"/>
                    </w:rPr>
                    <w:t>无组织</w:t>
                  </w:r>
                </w:p>
              </w:tc>
              <w:tc>
                <w:tcPr>
                  <w:tcW w:w="1573" w:type="dxa"/>
                  <w:vMerge w:val="continue"/>
                  <w:vAlign w:val="center"/>
                </w:tcPr>
                <w:p>
                  <w:pPr>
                    <w:spacing w:line="240" w:lineRule="auto"/>
                    <w:ind w:firstLine="0" w:firstLineChars="0"/>
                    <w:jc w:val="center"/>
                    <w:rPr>
                      <w:sz w:val="21"/>
                      <w:szCs w:val="21"/>
                    </w:rPr>
                  </w:pPr>
                </w:p>
              </w:tc>
              <w:tc>
                <w:tcPr>
                  <w:tcW w:w="1066" w:type="dxa"/>
                  <w:vAlign w:val="center"/>
                </w:tcPr>
                <w:p>
                  <w:pPr>
                    <w:spacing w:line="240" w:lineRule="auto"/>
                    <w:ind w:firstLine="0" w:firstLineChars="0"/>
                    <w:jc w:val="center"/>
                    <w:rPr>
                      <w:sz w:val="21"/>
                      <w:szCs w:val="21"/>
                    </w:rPr>
                  </w:pPr>
                  <w:r>
                    <w:rPr>
                      <w:rFonts w:hint="eastAsia"/>
                      <w:sz w:val="21"/>
                      <w:szCs w:val="21"/>
                    </w:rPr>
                    <w:t>10（无量纲）</w:t>
                  </w:r>
                </w:p>
              </w:tc>
              <w:tc>
                <w:tcPr>
                  <w:tcW w:w="933" w:type="dxa"/>
                  <w:vAlign w:val="center"/>
                </w:tcPr>
                <w:p>
                  <w:pPr>
                    <w:spacing w:line="240" w:lineRule="auto"/>
                    <w:ind w:firstLine="0" w:firstLineChars="0"/>
                    <w:jc w:val="center"/>
                    <w:rPr>
                      <w:sz w:val="21"/>
                      <w:szCs w:val="21"/>
                      <w:lang w:val="zh-CN"/>
                    </w:rPr>
                  </w:pPr>
                  <w:r>
                    <w:rPr>
                      <w:rFonts w:hint="eastAsia"/>
                      <w:sz w:val="21"/>
                      <w:szCs w:val="21"/>
                      <w:lang w:val="zh-CN"/>
                    </w:rPr>
                    <w:t>—</w:t>
                  </w:r>
                </w:p>
              </w:tc>
              <w:tc>
                <w:tcPr>
                  <w:tcW w:w="3224" w:type="dxa"/>
                  <w:vMerge w:val="continue"/>
                  <w:vAlign w:val="center"/>
                </w:tcPr>
                <w:p>
                  <w:pPr>
                    <w:spacing w:line="240" w:lineRule="auto"/>
                    <w:ind w:firstLine="0" w:firstLineChars="0"/>
                    <w:jc w:val="left"/>
                    <w:rPr>
                      <w:sz w:val="21"/>
                      <w:szCs w:val="21"/>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82" w:type="dxa"/>
                  <w:vAlign w:val="center"/>
                </w:tcPr>
                <w:p>
                  <w:pPr>
                    <w:spacing w:line="240" w:lineRule="auto"/>
                    <w:ind w:firstLine="0" w:firstLineChars="0"/>
                    <w:jc w:val="center"/>
                    <w:rPr>
                      <w:sz w:val="21"/>
                      <w:szCs w:val="21"/>
                    </w:rPr>
                  </w:pPr>
                  <w:r>
                    <w:rPr>
                      <w:rFonts w:hint="eastAsia"/>
                      <w:sz w:val="21"/>
                      <w:szCs w:val="21"/>
                    </w:rPr>
                    <w:t>氯气</w:t>
                  </w:r>
                </w:p>
              </w:tc>
              <w:tc>
                <w:tcPr>
                  <w:tcW w:w="992" w:type="dxa"/>
                  <w:vAlign w:val="center"/>
                </w:tcPr>
                <w:p>
                  <w:pPr>
                    <w:spacing w:line="240" w:lineRule="auto"/>
                    <w:ind w:firstLine="0" w:firstLineChars="0"/>
                    <w:jc w:val="center"/>
                    <w:rPr>
                      <w:sz w:val="21"/>
                      <w:szCs w:val="21"/>
                      <w:lang w:val="zh-CN"/>
                    </w:rPr>
                  </w:pPr>
                  <w:r>
                    <w:rPr>
                      <w:rFonts w:hint="eastAsia"/>
                      <w:sz w:val="21"/>
                      <w:szCs w:val="21"/>
                      <w:lang w:val="zh-CN"/>
                    </w:rPr>
                    <w:t>无组织</w:t>
                  </w:r>
                </w:p>
              </w:tc>
              <w:tc>
                <w:tcPr>
                  <w:tcW w:w="1573" w:type="dxa"/>
                  <w:vMerge w:val="continue"/>
                  <w:vAlign w:val="center"/>
                </w:tcPr>
                <w:p>
                  <w:pPr>
                    <w:spacing w:line="240" w:lineRule="auto"/>
                    <w:ind w:firstLine="0" w:firstLineChars="0"/>
                    <w:jc w:val="center"/>
                    <w:rPr>
                      <w:sz w:val="21"/>
                      <w:szCs w:val="21"/>
                    </w:rPr>
                  </w:pPr>
                </w:p>
              </w:tc>
              <w:tc>
                <w:tcPr>
                  <w:tcW w:w="1066" w:type="dxa"/>
                  <w:vAlign w:val="center"/>
                </w:tcPr>
                <w:p>
                  <w:pPr>
                    <w:spacing w:line="240" w:lineRule="auto"/>
                    <w:ind w:firstLine="0" w:firstLineChars="0"/>
                    <w:jc w:val="center"/>
                    <w:rPr>
                      <w:sz w:val="21"/>
                      <w:szCs w:val="21"/>
                    </w:rPr>
                  </w:pPr>
                  <w:r>
                    <w:rPr>
                      <w:rFonts w:hint="eastAsia"/>
                      <w:sz w:val="21"/>
                      <w:szCs w:val="21"/>
                    </w:rPr>
                    <w:t>0.1mg/m</w:t>
                  </w:r>
                  <w:r>
                    <w:rPr>
                      <w:rFonts w:hint="eastAsia"/>
                      <w:sz w:val="21"/>
                      <w:szCs w:val="21"/>
                      <w:vertAlign w:val="superscript"/>
                    </w:rPr>
                    <w:t>3</w:t>
                  </w:r>
                </w:p>
              </w:tc>
              <w:tc>
                <w:tcPr>
                  <w:tcW w:w="933" w:type="dxa"/>
                  <w:vAlign w:val="center"/>
                </w:tcPr>
                <w:p>
                  <w:pPr>
                    <w:spacing w:line="240" w:lineRule="auto"/>
                    <w:ind w:firstLine="0" w:firstLineChars="0"/>
                    <w:jc w:val="center"/>
                    <w:rPr>
                      <w:sz w:val="21"/>
                      <w:szCs w:val="21"/>
                      <w:lang w:val="zh-CN"/>
                    </w:rPr>
                  </w:pPr>
                  <w:r>
                    <w:rPr>
                      <w:rFonts w:hint="eastAsia"/>
                      <w:sz w:val="21"/>
                      <w:szCs w:val="21"/>
                      <w:lang w:val="zh-CN"/>
                    </w:rPr>
                    <w:t>—</w:t>
                  </w:r>
                </w:p>
              </w:tc>
              <w:tc>
                <w:tcPr>
                  <w:tcW w:w="3224" w:type="dxa"/>
                  <w:vMerge w:val="continue"/>
                  <w:vAlign w:val="center"/>
                </w:tcPr>
                <w:p>
                  <w:pPr>
                    <w:spacing w:line="240" w:lineRule="auto"/>
                    <w:ind w:firstLine="0" w:firstLineChars="0"/>
                    <w:jc w:val="left"/>
                    <w:rPr>
                      <w:sz w:val="21"/>
                      <w:szCs w:val="21"/>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82" w:type="dxa"/>
                  <w:vAlign w:val="center"/>
                </w:tcPr>
                <w:p>
                  <w:pPr>
                    <w:spacing w:line="240" w:lineRule="auto"/>
                    <w:ind w:firstLine="0" w:firstLineChars="0"/>
                    <w:jc w:val="center"/>
                    <w:rPr>
                      <w:sz w:val="21"/>
                      <w:szCs w:val="21"/>
                    </w:rPr>
                  </w:pPr>
                  <w:r>
                    <w:rPr>
                      <w:rFonts w:hint="eastAsia"/>
                      <w:sz w:val="21"/>
                      <w:szCs w:val="21"/>
                    </w:rPr>
                    <w:t>甲烷</w:t>
                  </w:r>
                </w:p>
              </w:tc>
              <w:tc>
                <w:tcPr>
                  <w:tcW w:w="992" w:type="dxa"/>
                  <w:vAlign w:val="center"/>
                </w:tcPr>
                <w:p>
                  <w:pPr>
                    <w:spacing w:line="240" w:lineRule="auto"/>
                    <w:ind w:firstLine="0" w:firstLineChars="0"/>
                    <w:jc w:val="center"/>
                    <w:rPr>
                      <w:sz w:val="21"/>
                      <w:szCs w:val="21"/>
                      <w:lang w:val="zh-CN"/>
                    </w:rPr>
                  </w:pPr>
                  <w:r>
                    <w:rPr>
                      <w:rFonts w:hint="eastAsia"/>
                      <w:sz w:val="21"/>
                      <w:szCs w:val="21"/>
                      <w:lang w:val="zh-CN"/>
                    </w:rPr>
                    <w:t>无组织</w:t>
                  </w:r>
                </w:p>
              </w:tc>
              <w:tc>
                <w:tcPr>
                  <w:tcW w:w="1573" w:type="dxa"/>
                  <w:vMerge w:val="continue"/>
                  <w:vAlign w:val="center"/>
                </w:tcPr>
                <w:p>
                  <w:pPr>
                    <w:spacing w:line="240" w:lineRule="auto"/>
                    <w:ind w:firstLine="0" w:firstLineChars="0"/>
                    <w:jc w:val="center"/>
                    <w:rPr>
                      <w:sz w:val="21"/>
                      <w:szCs w:val="21"/>
                    </w:rPr>
                  </w:pPr>
                </w:p>
              </w:tc>
              <w:tc>
                <w:tcPr>
                  <w:tcW w:w="1066" w:type="dxa"/>
                  <w:vAlign w:val="center"/>
                </w:tcPr>
                <w:p>
                  <w:pPr>
                    <w:spacing w:line="240" w:lineRule="auto"/>
                    <w:ind w:firstLine="0" w:firstLineChars="0"/>
                    <w:jc w:val="center"/>
                    <w:rPr>
                      <w:sz w:val="21"/>
                      <w:szCs w:val="21"/>
                    </w:rPr>
                  </w:pPr>
                  <w:r>
                    <w:rPr>
                      <w:rFonts w:hint="eastAsia"/>
                      <w:sz w:val="21"/>
                      <w:szCs w:val="21"/>
                    </w:rPr>
                    <w:t>1%</w:t>
                  </w:r>
                </w:p>
              </w:tc>
              <w:tc>
                <w:tcPr>
                  <w:tcW w:w="933" w:type="dxa"/>
                  <w:vAlign w:val="center"/>
                </w:tcPr>
                <w:p>
                  <w:pPr>
                    <w:spacing w:line="240" w:lineRule="auto"/>
                    <w:ind w:firstLine="0" w:firstLineChars="0"/>
                    <w:jc w:val="center"/>
                    <w:rPr>
                      <w:sz w:val="21"/>
                      <w:szCs w:val="21"/>
                      <w:lang w:val="zh-CN"/>
                    </w:rPr>
                  </w:pPr>
                  <w:r>
                    <w:rPr>
                      <w:rFonts w:hint="eastAsia"/>
                      <w:sz w:val="21"/>
                      <w:szCs w:val="21"/>
                      <w:lang w:val="zh-CN"/>
                    </w:rPr>
                    <w:t>—</w:t>
                  </w:r>
                </w:p>
              </w:tc>
              <w:tc>
                <w:tcPr>
                  <w:tcW w:w="3224" w:type="dxa"/>
                  <w:vMerge w:val="continue"/>
                  <w:vAlign w:val="center"/>
                </w:tcPr>
                <w:p>
                  <w:pPr>
                    <w:spacing w:line="240" w:lineRule="auto"/>
                    <w:ind w:firstLine="0" w:firstLineChars="0"/>
                    <w:jc w:val="left"/>
                    <w:rPr>
                      <w:sz w:val="21"/>
                      <w:szCs w:val="21"/>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82" w:type="dxa"/>
                  <w:vAlign w:val="center"/>
                </w:tcPr>
                <w:p>
                  <w:pPr>
                    <w:spacing w:line="240" w:lineRule="auto"/>
                    <w:ind w:firstLine="0" w:firstLineChars="0"/>
                    <w:jc w:val="center"/>
                    <w:rPr>
                      <w:sz w:val="21"/>
                      <w:szCs w:val="21"/>
                      <w:lang w:val="zh-CN"/>
                    </w:rPr>
                  </w:pPr>
                  <w:r>
                    <w:rPr>
                      <w:rFonts w:hint="eastAsia"/>
                      <w:sz w:val="21"/>
                      <w:szCs w:val="21"/>
                    </w:rPr>
                    <w:t>NH</w:t>
                  </w:r>
                  <w:r>
                    <w:rPr>
                      <w:rFonts w:hint="eastAsia"/>
                      <w:sz w:val="21"/>
                      <w:szCs w:val="21"/>
                      <w:vertAlign w:val="subscript"/>
                    </w:rPr>
                    <w:t>3</w:t>
                  </w:r>
                </w:p>
              </w:tc>
              <w:tc>
                <w:tcPr>
                  <w:tcW w:w="992" w:type="dxa"/>
                  <w:vAlign w:val="center"/>
                </w:tcPr>
                <w:p>
                  <w:pPr>
                    <w:spacing w:line="240" w:lineRule="auto"/>
                    <w:ind w:firstLine="0" w:firstLineChars="0"/>
                    <w:jc w:val="center"/>
                    <w:rPr>
                      <w:sz w:val="21"/>
                      <w:szCs w:val="21"/>
                      <w:lang w:val="zh-CN"/>
                    </w:rPr>
                  </w:pPr>
                  <w:r>
                    <w:rPr>
                      <w:rFonts w:hint="eastAsia"/>
                      <w:sz w:val="21"/>
                      <w:szCs w:val="21"/>
                      <w:lang w:val="zh-CN"/>
                    </w:rPr>
                    <w:t>有组织</w:t>
                  </w:r>
                </w:p>
              </w:tc>
              <w:tc>
                <w:tcPr>
                  <w:tcW w:w="2639" w:type="dxa"/>
                  <w:gridSpan w:val="2"/>
                  <w:vAlign w:val="center"/>
                </w:tcPr>
                <w:p>
                  <w:pPr>
                    <w:spacing w:line="240" w:lineRule="auto"/>
                    <w:ind w:firstLine="0" w:firstLineChars="0"/>
                    <w:jc w:val="center"/>
                    <w:rPr>
                      <w:sz w:val="21"/>
                      <w:szCs w:val="21"/>
                    </w:rPr>
                  </w:pPr>
                  <w:r>
                    <w:rPr>
                      <w:rFonts w:hint="eastAsia"/>
                      <w:sz w:val="21"/>
                      <w:szCs w:val="21"/>
                    </w:rPr>
                    <w:t>15m排气筒：4.9kg/h</w:t>
                  </w:r>
                </w:p>
              </w:tc>
              <w:tc>
                <w:tcPr>
                  <w:tcW w:w="933" w:type="dxa"/>
                  <w:vAlign w:val="center"/>
                </w:tcPr>
                <w:p>
                  <w:pPr>
                    <w:spacing w:line="240" w:lineRule="auto"/>
                    <w:ind w:firstLine="0" w:firstLineChars="0"/>
                    <w:jc w:val="center"/>
                    <w:rPr>
                      <w:sz w:val="21"/>
                      <w:szCs w:val="21"/>
                      <w:lang w:val="zh-CN"/>
                    </w:rPr>
                  </w:pPr>
                  <w:r>
                    <w:rPr>
                      <w:rFonts w:hint="eastAsia"/>
                      <w:sz w:val="21"/>
                      <w:szCs w:val="21"/>
                      <w:lang w:val="zh-CN"/>
                    </w:rPr>
                    <w:t>—</w:t>
                  </w:r>
                </w:p>
              </w:tc>
              <w:tc>
                <w:tcPr>
                  <w:tcW w:w="3224" w:type="dxa"/>
                  <w:vMerge w:val="restart"/>
                  <w:vAlign w:val="center"/>
                </w:tcPr>
                <w:p>
                  <w:pPr>
                    <w:spacing w:line="240" w:lineRule="auto"/>
                    <w:ind w:firstLine="0" w:firstLineChars="0"/>
                    <w:jc w:val="center"/>
                    <w:rPr>
                      <w:sz w:val="21"/>
                      <w:szCs w:val="21"/>
                      <w:lang w:val="zh-CN"/>
                    </w:rPr>
                  </w:pPr>
                  <w:r>
                    <w:rPr>
                      <w:sz w:val="21"/>
                      <w:szCs w:val="21"/>
                    </w:rPr>
                    <w:t>《恶臭污染物排放标准》（GB14554-93）表2标准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82" w:type="dxa"/>
                  <w:vAlign w:val="center"/>
                </w:tcPr>
                <w:p>
                  <w:pPr>
                    <w:spacing w:line="240" w:lineRule="auto"/>
                    <w:ind w:firstLine="0" w:firstLineChars="0"/>
                    <w:jc w:val="center"/>
                    <w:rPr>
                      <w:sz w:val="21"/>
                      <w:szCs w:val="21"/>
                      <w:lang w:val="zh-CN"/>
                    </w:rPr>
                  </w:pPr>
                  <w:r>
                    <w:rPr>
                      <w:rFonts w:hint="eastAsia"/>
                      <w:sz w:val="21"/>
                      <w:szCs w:val="21"/>
                    </w:rPr>
                    <w:t>H</w:t>
                  </w:r>
                  <w:r>
                    <w:rPr>
                      <w:rFonts w:hint="eastAsia"/>
                      <w:sz w:val="21"/>
                      <w:szCs w:val="21"/>
                      <w:vertAlign w:val="subscript"/>
                    </w:rPr>
                    <w:t>2</w:t>
                  </w:r>
                  <w:r>
                    <w:rPr>
                      <w:rFonts w:hint="eastAsia"/>
                      <w:sz w:val="21"/>
                      <w:szCs w:val="21"/>
                    </w:rPr>
                    <w:t>S</w:t>
                  </w:r>
                </w:p>
              </w:tc>
              <w:tc>
                <w:tcPr>
                  <w:tcW w:w="992" w:type="dxa"/>
                  <w:vAlign w:val="center"/>
                </w:tcPr>
                <w:p>
                  <w:pPr>
                    <w:spacing w:line="240" w:lineRule="auto"/>
                    <w:ind w:firstLine="0" w:firstLineChars="0"/>
                    <w:jc w:val="center"/>
                    <w:rPr>
                      <w:sz w:val="21"/>
                      <w:szCs w:val="21"/>
                      <w:lang w:val="zh-CN"/>
                    </w:rPr>
                  </w:pPr>
                  <w:r>
                    <w:rPr>
                      <w:rFonts w:hint="eastAsia"/>
                      <w:sz w:val="21"/>
                      <w:szCs w:val="21"/>
                      <w:lang w:val="zh-CN"/>
                    </w:rPr>
                    <w:t>有组织</w:t>
                  </w:r>
                </w:p>
              </w:tc>
              <w:tc>
                <w:tcPr>
                  <w:tcW w:w="2639" w:type="dxa"/>
                  <w:gridSpan w:val="2"/>
                  <w:vAlign w:val="center"/>
                </w:tcPr>
                <w:p>
                  <w:pPr>
                    <w:spacing w:line="240" w:lineRule="auto"/>
                    <w:ind w:firstLine="0" w:firstLineChars="0"/>
                    <w:jc w:val="center"/>
                    <w:rPr>
                      <w:sz w:val="21"/>
                      <w:szCs w:val="21"/>
                    </w:rPr>
                  </w:pPr>
                  <w:r>
                    <w:rPr>
                      <w:rFonts w:hint="eastAsia"/>
                      <w:sz w:val="21"/>
                      <w:szCs w:val="21"/>
                    </w:rPr>
                    <w:t>15m排气筒：0.33kg/h</w:t>
                  </w:r>
                </w:p>
              </w:tc>
              <w:tc>
                <w:tcPr>
                  <w:tcW w:w="933" w:type="dxa"/>
                  <w:vAlign w:val="center"/>
                </w:tcPr>
                <w:p>
                  <w:pPr>
                    <w:spacing w:line="240" w:lineRule="auto"/>
                    <w:ind w:firstLine="0" w:firstLineChars="0"/>
                    <w:jc w:val="center"/>
                    <w:rPr>
                      <w:sz w:val="21"/>
                      <w:szCs w:val="21"/>
                      <w:lang w:val="zh-CN"/>
                    </w:rPr>
                  </w:pPr>
                  <w:r>
                    <w:rPr>
                      <w:rFonts w:hint="eastAsia"/>
                      <w:sz w:val="21"/>
                      <w:szCs w:val="21"/>
                      <w:lang w:val="zh-CN"/>
                    </w:rPr>
                    <w:t>—</w:t>
                  </w:r>
                </w:p>
              </w:tc>
              <w:tc>
                <w:tcPr>
                  <w:tcW w:w="3224" w:type="dxa"/>
                  <w:vMerge w:val="continue"/>
                  <w:vAlign w:val="center"/>
                </w:tcPr>
                <w:p>
                  <w:pPr>
                    <w:spacing w:line="240" w:lineRule="auto"/>
                    <w:ind w:firstLine="420"/>
                    <w:jc w:val="left"/>
                    <w:rPr>
                      <w:sz w:val="21"/>
                      <w:szCs w:val="21"/>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82" w:type="dxa"/>
                  <w:vAlign w:val="center"/>
                </w:tcPr>
                <w:p>
                  <w:pPr>
                    <w:spacing w:line="240" w:lineRule="auto"/>
                    <w:ind w:firstLine="0" w:firstLineChars="0"/>
                    <w:jc w:val="center"/>
                  </w:pPr>
                  <w:r>
                    <w:rPr>
                      <w:rFonts w:hint="eastAsia"/>
                      <w:sz w:val="21"/>
                      <w:szCs w:val="21"/>
                    </w:rPr>
                    <w:t>臭气浓度</w:t>
                  </w:r>
                </w:p>
              </w:tc>
              <w:tc>
                <w:tcPr>
                  <w:tcW w:w="992" w:type="dxa"/>
                  <w:vAlign w:val="center"/>
                </w:tcPr>
                <w:p>
                  <w:pPr>
                    <w:spacing w:line="240" w:lineRule="auto"/>
                    <w:ind w:firstLine="0" w:firstLineChars="0"/>
                    <w:jc w:val="center"/>
                    <w:rPr>
                      <w:sz w:val="21"/>
                      <w:szCs w:val="21"/>
                      <w:lang w:val="zh-CN"/>
                    </w:rPr>
                  </w:pPr>
                  <w:r>
                    <w:rPr>
                      <w:rFonts w:hint="eastAsia"/>
                      <w:sz w:val="21"/>
                      <w:szCs w:val="21"/>
                      <w:lang w:val="zh-CN"/>
                    </w:rPr>
                    <w:t>有组织</w:t>
                  </w:r>
                </w:p>
              </w:tc>
              <w:tc>
                <w:tcPr>
                  <w:tcW w:w="2639" w:type="dxa"/>
                  <w:gridSpan w:val="2"/>
                  <w:vAlign w:val="center"/>
                </w:tcPr>
                <w:p>
                  <w:pPr>
                    <w:spacing w:line="240" w:lineRule="auto"/>
                    <w:ind w:firstLine="0" w:firstLineChars="0"/>
                    <w:jc w:val="center"/>
                    <w:rPr>
                      <w:sz w:val="21"/>
                      <w:szCs w:val="21"/>
                    </w:rPr>
                  </w:pPr>
                  <w:r>
                    <w:rPr>
                      <w:rFonts w:hint="eastAsia"/>
                      <w:sz w:val="21"/>
                      <w:szCs w:val="21"/>
                    </w:rPr>
                    <w:t>2000（无量纲）</w:t>
                  </w:r>
                </w:p>
              </w:tc>
              <w:tc>
                <w:tcPr>
                  <w:tcW w:w="933" w:type="dxa"/>
                  <w:vAlign w:val="center"/>
                </w:tcPr>
                <w:p>
                  <w:pPr>
                    <w:spacing w:line="240" w:lineRule="auto"/>
                    <w:ind w:firstLine="0" w:firstLineChars="0"/>
                    <w:jc w:val="center"/>
                    <w:rPr>
                      <w:sz w:val="21"/>
                      <w:szCs w:val="21"/>
                      <w:lang w:val="zh-CN"/>
                    </w:rPr>
                  </w:pPr>
                  <w:r>
                    <w:rPr>
                      <w:rFonts w:hint="eastAsia"/>
                      <w:sz w:val="21"/>
                      <w:szCs w:val="21"/>
                      <w:lang w:val="zh-CN"/>
                    </w:rPr>
                    <w:t>—</w:t>
                  </w:r>
                </w:p>
              </w:tc>
              <w:tc>
                <w:tcPr>
                  <w:tcW w:w="3224" w:type="dxa"/>
                  <w:vMerge w:val="continue"/>
                  <w:vAlign w:val="center"/>
                </w:tcPr>
                <w:p>
                  <w:pPr>
                    <w:spacing w:line="240" w:lineRule="auto"/>
                    <w:ind w:firstLine="0" w:firstLineChars="0"/>
                    <w:jc w:val="left"/>
                    <w:rPr>
                      <w:sz w:val="21"/>
                      <w:szCs w:val="21"/>
                      <w:lang w:val="zh-CN"/>
                    </w:rPr>
                  </w:pPr>
                </w:p>
              </w:tc>
            </w:tr>
          </w:tbl>
          <w:p>
            <w:pPr>
              <w:ind w:right="46" w:rightChars="19" w:firstLine="0" w:firstLineChars="0"/>
              <w:jc w:val="left"/>
              <w:rPr>
                <w:b/>
              </w:rPr>
            </w:pPr>
            <w:r>
              <w:rPr>
                <w:rFonts w:hint="eastAsia"/>
                <w:b/>
              </w:rPr>
              <w:t>2、废水</w:t>
            </w:r>
          </w:p>
          <w:p>
            <w:pPr>
              <w:ind w:right="46" w:rightChars="19" w:firstLine="480"/>
              <w:jc w:val="left"/>
            </w:pPr>
            <w:r>
              <w:rPr>
                <w:rFonts w:hint="eastAsia"/>
              </w:rPr>
              <w:t>污水排放执行《医疗机构水污染物排放标准》（GB18466-2005）表2中预处理标准，同时满足与石家庄高新技术产业开发区供水排水公司签订的污水排放协议要求。</w:t>
            </w:r>
          </w:p>
          <w:p>
            <w:pPr>
              <w:pStyle w:val="14"/>
            </w:pPr>
            <w:r>
              <w:t>表</w:t>
            </w:r>
            <w:r>
              <w:rPr>
                <w:rFonts w:hint="eastAsia"/>
              </w:rPr>
              <w:t>16</w:t>
            </w:r>
            <w:r>
              <w:t xml:space="preserve">   </w:t>
            </w:r>
            <w:r>
              <w:rPr>
                <w:rFonts w:hint="eastAsia"/>
              </w:rPr>
              <w:t>医院污水排放执行标准</w:t>
            </w:r>
            <w:r>
              <w:t>要求</w:t>
            </w:r>
          </w:p>
          <w:tbl>
            <w:tblPr>
              <w:tblStyle w:val="16"/>
              <w:tblW w:w="499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462"/>
              <w:gridCol w:w="1417"/>
              <w:gridCol w:w="653"/>
              <w:gridCol w:w="2362"/>
              <w:gridCol w:w="2127"/>
              <w:gridCol w:w="17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9" w:hRule="atLeast"/>
                <w:jc w:val="center"/>
              </w:trPr>
              <w:tc>
                <w:tcPr>
                  <w:tcW w:w="265" w:type="pct"/>
                  <w:vAlign w:val="center"/>
                </w:tcPr>
                <w:p>
                  <w:pPr>
                    <w:spacing w:line="240" w:lineRule="auto"/>
                    <w:ind w:firstLine="0" w:firstLineChars="0"/>
                    <w:jc w:val="center"/>
                    <w:rPr>
                      <w:sz w:val="21"/>
                      <w:szCs w:val="21"/>
                    </w:rPr>
                  </w:pPr>
                  <w:r>
                    <w:rPr>
                      <w:sz w:val="21"/>
                      <w:szCs w:val="21"/>
                    </w:rPr>
                    <w:t>序</w:t>
                  </w:r>
                  <w:r>
                    <w:rPr>
                      <w:rFonts w:hint="eastAsia"/>
                      <w:sz w:val="21"/>
                      <w:szCs w:val="21"/>
                    </w:rPr>
                    <w:t>号</w:t>
                  </w:r>
                </w:p>
              </w:tc>
              <w:tc>
                <w:tcPr>
                  <w:tcW w:w="812" w:type="pct"/>
                  <w:vAlign w:val="center"/>
                </w:tcPr>
                <w:p>
                  <w:pPr>
                    <w:spacing w:line="240" w:lineRule="auto"/>
                    <w:ind w:firstLine="0" w:firstLineChars="0"/>
                    <w:jc w:val="center"/>
                    <w:rPr>
                      <w:sz w:val="21"/>
                      <w:szCs w:val="21"/>
                    </w:rPr>
                  </w:pPr>
                  <w:r>
                    <w:rPr>
                      <w:sz w:val="21"/>
                      <w:szCs w:val="21"/>
                    </w:rPr>
                    <w:t>控制项目</w:t>
                  </w:r>
                </w:p>
              </w:tc>
              <w:tc>
                <w:tcPr>
                  <w:tcW w:w="374" w:type="pct"/>
                  <w:vAlign w:val="center"/>
                </w:tcPr>
                <w:p>
                  <w:pPr>
                    <w:spacing w:line="240" w:lineRule="auto"/>
                    <w:ind w:firstLine="0" w:firstLineChars="0"/>
                    <w:jc w:val="center"/>
                    <w:rPr>
                      <w:sz w:val="21"/>
                      <w:szCs w:val="21"/>
                    </w:rPr>
                  </w:pPr>
                  <w:r>
                    <w:rPr>
                      <w:sz w:val="21"/>
                      <w:szCs w:val="21"/>
                    </w:rPr>
                    <w:t>单位</w:t>
                  </w:r>
                </w:p>
              </w:tc>
              <w:tc>
                <w:tcPr>
                  <w:tcW w:w="1354" w:type="pct"/>
                  <w:vAlign w:val="center"/>
                </w:tcPr>
                <w:p>
                  <w:pPr>
                    <w:spacing w:line="240" w:lineRule="auto"/>
                    <w:ind w:firstLine="0" w:firstLineChars="0"/>
                    <w:jc w:val="center"/>
                    <w:rPr>
                      <w:sz w:val="21"/>
                      <w:szCs w:val="21"/>
                    </w:rPr>
                  </w:pPr>
                  <w:r>
                    <w:rPr>
                      <w:sz w:val="21"/>
                      <w:szCs w:val="21"/>
                    </w:rPr>
                    <w:t>《医疗机构水污染物排放标准》(GB18466-2005)表2预处理标准</w:t>
                  </w:r>
                </w:p>
              </w:tc>
              <w:tc>
                <w:tcPr>
                  <w:tcW w:w="1219" w:type="pct"/>
                  <w:vAlign w:val="center"/>
                </w:tcPr>
                <w:p>
                  <w:pPr>
                    <w:spacing w:line="240" w:lineRule="auto"/>
                    <w:ind w:firstLine="0" w:firstLineChars="0"/>
                    <w:jc w:val="center"/>
                    <w:rPr>
                      <w:sz w:val="21"/>
                      <w:szCs w:val="21"/>
                    </w:rPr>
                  </w:pPr>
                  <w:r>
                    <w:rPr>
                      <w:rFonts w:hint="eastAsia"/>
                      <w:bCs/>
                      <w:sz w:val="21"/>
                      <w:szCs w:val="21"/>
                    </w:rPr>
                    <w:t>石家庄高新技术产业开发区污水处理厂排水协议指标要求</w:t>
                  </w:r>
                </w:p>
              </w:tc>
              <w:tc>
                <w:tcPr>
                  <w:tcW w:w="976" w:type="pct"/>
                  <w:vAlign w:val="center"/>
                </w:tcPr>
                <w:p>
                  <w:pPr>
                    <w:spacing w:line="240" w:lineRule="auto"/>
                    <w:ind w:firstLine="0" w:firstLineChars="0"/>
                    <w:jc w:val="center"/>
                    <w:rPr>
                      <w:sz w:val="21"/>
                      <w:szCs w:val="21"/>
                    </w:rPr>
                  </w:pPr>
                  <w:r>
                    <w:rPr>
                      <w:rFonts w:hint="eastAsia"/>
                      <w:sz w:val="21"/>
                      <w:szCs w:val="21"/>
                    </w:rPr>
                    <w:t>本项目</w:t>
                  </w:r>
                  <w:r>
                    <w:rPr>
                      <w:sz w:val="21"/>
                      <w:szCs w:val="21"/>
                    </w:rPr>
                    <w:t>执行标准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9" w:hRule="atLeast"/>
                <w:jc w:val="center"/>
              </w:trPr>
              <w:tc>
                <w:tcPr>
                  <w:tcW w:w="265" w:type="pct"/>
                  <w:vAlign w:val="center"/>
                </w:tcPr>
                <w:p>
                  <w:pPr>
                    <w:spacing w:line="240" w:lineRule="auto"/>
                    <w:ind w:firstLine="0" w:firstLineChars="0"/>
                    <w:jc w:val="center"/>
                    <w:rPr>
                      <w:sz w:val="21"/>
                      <w:szCs w:val="21"/>
                    </w:rPr>
                  </w:pPr>
                  <w:r>
                    <w:rPr>
                      <w:sz w:val="21"/>
                      <w:szCs w:val="21"/>
                    </w:rPr>
                    <w:t>1</w:t>
                  </w:r>
                </w:p>
              </w:tc>
              <w:tc>
                <w:tcPr>
                  <w:tcW w:w="812" w:type="pct"/>
                  <w:vAlign w:val="center"/>
                </w:tcPr>
                <w:p>
                  <w:pPr>
                    <w:spacing w:line="240" w:lineRule="auto"/>
                    <w:ind w:firstLine="0" w:firstLineChars="0"/>
                    <w:jc w:val="center"/>
                    <w:rPr>
                      <w:sz w:val="21"/>
                      <w:szCs w:val="21"/>
                    </w:rPr>
                  </w:pPr>
                  <w:r>
                    <w:rPr>
                      <w:rFonts w:hint="eastAsia"/>
                      <w:sz w:val="21"/>
                      <w:szCs w:val="21"/>
                    </w:rPr>
                    <w:t>色度</w:t>
                  </w:r>
                </w:p>
              </w:tc>
              <w:tc>
                <w:tcPr>
                  <w:tcW w:w="374" w:type="pct"/>
                  <w:vAlign w:val="center"/>
                </w:tcPr>
                <w:p>
                  <w:pPr>
                    <w:spacing w:line="240" w:lineRule="auto"/>
                    <w:ind w:firstLine="0" w:firstLineChars="0"/>
                    <w:jc w:val="center"/>
                    <w:rPr>
                      <w:sz w:val="21"/>
                      <w:szCs w:val="21"/>
                    </w:rPr>
                  </w:pPr>
                  <w:r>
                    <w:rPr>
                      <w:rFonts w:hint="eastAsia"/>
                      <w:sz w:val="21"/>
                      <w:szCs w:val="21"/>
                    </w:rPr>
                    <w:t>倍</w:t>
                  </w:r>
                </w:p>
              </w:tc>
              <w:tc>
                <w:tcPr>
                  <w:tcW w:w="1354" w:type="pct"/>
                  <w:vAlign w:val="center"/>
                </w:tcPr>
                <w:p>
                  <w:pPr>
                    <w:spacing w:line="240" w:lineRule="auto"/>
                    <w:ind w:firstLine="0" w:firstLineChars="0"/>
                    <w:jc w:val="center"/>
                    <w:rPr>
                      <w:sz w:val="21"/>
                      <w:szCs w:val="21"/>
                    </w:rPr>
                  </w:pPr>
                  <w:r>
                    <w:rPr>
                      <w:rFonts w:hint="eastAsia"/>
                      <w:sz w:val="21"/>
                      <w:szCs w:val="21"/>
                    </w:rPr>
                    <w:t>30</w:t>
                  </w:r>
                </w:p>
              </w:tc>
              <w:tc>
                <w:tcPr>
                  <w:tcW w:w="1219" w:type="pct"/>
                  <w:vAlign w:val="center"/>
                </w:tcPr>
                <w:p>
                  <w:pPr>
                    <w:spacing w:line="240" w:lineRule="auto"/>
                    <w:ind w:firstLine="0" w:firstLineChars="0"/>
                    <w:jc w:val="center"/>
                    <w:rPr>
                      <w:sz w:val="21"/>
                      <w:szCs w:val="21"/>
                    </w:rPr>
                  </w:pPr>
                  <w:r>
                    <w:rPr>
                      <w:rFonts w:hint="eastAsia"/>
                      <w:sz w:val="21"/>
                      <w:szCs w:val="21"/>
                    </w:rPr>
                    <w:t>120</w:t>
                  </w:r>
                </w:p>
              </w:tc>
              <w:tc>
                <w:tcPr>
                  <w:tcW w:w="976" w:type="pct"/>
                  <w:vAlign w:val="center"/>
                </w:tcPr>
                <w:p>
                  <w:pPr>
                    <w:spacing w:line="240" w:lineRule="auto"/>
                    <w:ind w:firstLine="0" w:firstLineChars="0"/>
                    <w:jc w:val="center"/>
                    <w:rPr>
                      <w:sz w:val="21"/>
                      <w:szCs w:val="21"/>
                    </w:rPr>
                  </w:pPr>
                  <w:r>
                    <w:rPr>
                      <w:rFonts w:hint="eastAsia"/>
                      <w:sz w:val="21"/>
                      <w:szCs w:val="21"/>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9" w:hRule="atLeast"/>
                <w:jc w:val="center"/>
              </w:trPr>
              <w:tc>
                <w:tcPr>
                  <w:tcW w:w="265" w:type="pct"/>
                  <w:vAlign w:val="center"/>
                </w:tcPr>
                <w:p>
                  <w:pPr>
                    <w:spacing w:line="240" w:lineRule="auto"/>
                    <w:ind w:firstLine="0" w:firstLineChars="0"/>
                    <w:jc w:val="center"/>
                    <w:rPr>
                      <w:sz w:val="21"/>
                      <w:szCs w:val="21"/>
                    </w:rPr>
                  </w:pPr>
                  <w:r>
                    <w:rPr>
                      <w:sz w:val="21"/>
                      <w:szCs w:val="21"/>
                    </w:rPr>
                    <w:t>2</w:t>
                  </w:r>
                </w:p>
              </w:tc>
              <w:tc>
                <w:tcPr>
                  <w:tcW w:w="812" w:type="pct"/>
                  <w:vAlign w:val="center"/>
                </w:tcPr>
                <w:p>
                  <w:pPr>
                    <w:spacing w:line="240" w:lineRule="auto"/>
                    <w:ind w:firstLine="0" w:firstLineChars="0"/>
                    <w:jc w:val="center"/>
                    <w:rPr>
                      <w:sz w:val="21"/>
                      <w:szCs w:val="21"/>
                    </w:rPr>
                  </w:pPr>
                  <w:r>
                    <w:rPr>
                      <w:sz w:val="21"/>
                      <w:szCs w:val="21"/>
                    </w:rPr>
                    <w:t>pH</w:t>
                  </w:r>
                </w:p>
              </w:tc>
              <w:tc>
                <w:tcPr>
                  <w:tcW w:w="374" w:type="pct"/>
                  <w:vAlign w:val="center"/>
                </w:tcPr>
                <w:p>
                  <w:pPr>
                    <w:spacing w:line="240" w:lineRule="auto"/>
                    <w:ind w:firstLine="0" w:firstLineChars="0"/>
                    <w:jc w:val="center"/>
                    <w:rPr>
                      <w:sz w:val="21"/>
                      <w:szCs w:val="21"/>
                    </w:rPr>
                  </w:pPr>
                  <w:r>
                    <w:rPr>
                      <w:sz w:val="21"/>
                      <w:szCs w:val="21"/>
                    </w:rPr>
                    <w:t>--</w:t>
                  </w:r>
                </w:p>
              </w:tc>
              <w:tc>
                <w:tcPr>
                  <w:tcW w:w="1354" w:type="pct"/>
                  <w:vAlign w:val="center"/>
                </w:tcPr>
                <w:p>
                  <w:pPr>
                    <w:spacing w:line="240" w:lineRule="auto"/>
                    <w:ind w:firstLine="0" w:firstLineChars="0"/>
                    <w:jc w:val="center"/>
                    <w:rPr>
                      <w:sz w:val="21"/>
                      <w:szCs w:val="21"/>
                    </w:rPr>
                  </w:pPr>
                  <w:r>
                    <w:rPr>
                      <w:sz w:val="21"/>
                      <w:szCs w:val="21"/>
                    </w:rPr>
                    <w:t>6-9</w:t>
                  </w:r>
                </w:p>
              </w:tc>
              <w:tc>
                <w:tcPr>
                  <w:tcW w:w="1219" w:type="pct"/>
                  <w:vAlign w:val="center"/>
                </w:tcPr>
                <w:p>
                  <w:pPr>
                    <w:spacing w:line="240" w:lineRule="auto"/>
                    <w:ind w:firstLine="0" w:firstLineChars="0"/>
                    <w:jc w:val="center"/>
                    <w:rPr>
                      <w:sz w:val="21"/>
                      <w:szCs w:val="21"/>
                    </w:rPr>
                  </w:pPr>
                  <w:r>
                    <w:rPr>
                      <w:sz w:val="21"/>
                      <w:szCs w:val="21"/>
                    </w:rPr>
                    <w:t>6-9</w:t>
                  </w:r>
                </w:p>
              </w:tc>
              <w:tc>
                <w:tcPr>
                  <w:tcW w:w="976" w:type="pct"/>
                  <w:vAlign w:val="center"/>
                </w:tcPr>
                <w:p>
                  <w:pPr>
                    <w:spacing w:line="240" w:lineRule="auto"/>
                    <w:ind w:firstLine="0" w:firstLineChars="0"/>
                    <w:jc w:val="center"/>
                    <w:rPr>
                      <w:sz w:val="21"/>
                      <w:szCs w:val="21"/>
                    </w:rPr>
                  </w:pPr>
                  <w:r>
                    <w:rPr>
                      <w:sz w:val="21"/>
                      <w:szCs w:val="21"/>
                    </w:rPr>
                    <w:t>6-9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9" w:hRule="atLeast"/>
                <w:jc w:val="center"/>
              </w:trPr>
              <w:tc>
                <w:tcPr>
                  <w:tcW w:w="265" w:type="pct"/>
                  <w:vMerge w:val="restart"/>
                  <w:vAlign w:val="center"/>
                </w:tcPr>
                <w:p>
                  <w:pPr>
                    <w:spacing w:line="240" w:lineRule="auto"/>
                    <w:ind w:firstLine="0" w:firstLineChars="0"/>
                    <w:jc w:val="center"/>
                    <w:rPr>
                      <w:sz w:val="21"/>
                      <w:szCs w:val="21"/>
                    </w:rPr>
                  </w:pPr>
                  <w:r>
                    <w:rPr>
                      <w:sz w:val="21"/>
                      <w:szCs w:val="21"/>
                    </w:rPr>
                    <w:t>3</w:t>
                  </w:r>
                </w:p>
              </w:tc>
              <w:tc>
                <w:tcPr>
                  <w:tcW w:w="812" w:type="pct"/>
                  <w:vMerge w:val="restart"/>
                  <w:vAlign w:val="center"/>
                </w:tcPr>
                <w:p>
                  <w:pPr>
                    <w:spacing w:line="240" w:lineRule="auto"/>
                    <w:ind w:firstLine="0" w:firstLineChars="0"/>
                    <w:jc w:val="center"/>
                    <w:rPr>
                      <w:sz w:val="21"/>
                      <w:szCs w:val="21"/>
                    </w:rPr>
                  </w:pPr>
                  <w:r>
                    <w:rPr>
                      <w:rFonts w:hint="eastAsia"/>
                      <w:sz w:val="21"/>
                      <w:szCs w:val="21"/>
                    </w:rPr>
                    <w:t>C</w:t>
                  </w:r>
                  <w:r>
                    <w:rPr>
                      <w:sz w:val="21"/>
                      <w:szCs w:val="21"/>
                    </w:rPr>
                    <w:t>OD</w:t>
                  </w:r>
                </w:p>
              </w:tc>
              <w:tc>
                <w:tcPr>
                  <w:tcW w:w="374" w:type="pct"/>
                  <w:vMerge w:val="restart"/>
                  <w:vAlign w:val="center"/>
                </w:tcPr>
                <w:p>
                  <w:pPr>
                    <w:spacing w:line="240" w:lineRule="auto"/>
                    <w:ind w:firstLine="0" w:firstLineChars="0"/>
                    <w:jc w:val="center"/>
                    <w:rPr>
                      <w:sz w:val="21"/>
                      <w:szCs w:val="21"/>
                    </w:rPr>
                  </w:pPr>
                  <w:r>
                    <w:rPr>
                      <w:sz w:val="21"/>
                      <w:szCs w:val="21"/>
                    </w:rPr>
                    <w:t>mg/L</w:t>
                  </w:r>
                </w:p>
              </w:tc>
              <w:tc>
                <w:tcPr>
                  <w:tcW w:w="1354" w:type="pct"/>
                  <w:vAlign w:val="center"/>
                </w:tcPr>
                <w:p>
                  <w:pPr>
                    <w:spacing w:line="240" w:lineRule="auto"/>
                    <w:ind w:firstLine="0" w:firstLineChars="0"/>
                    <w:jc w:val="center"/>
                    <w:rPr>
                      <w:sz w:val="21"/>
                      <w:szCs w:val="21"/>
                    </w:rPr>
                  </w:pPr>
                  <w:r>
                    <w:rPr>
                      <w:sz w:val="21"/>
                      <w:szCs w:val="21"/>
                    </w:rPr>
                    <w:t>250</w:t>
                  </w:r>
                </w:p>
              </w:tc>
              <w:tc>
                <w:tcPr>
                  <w:tcW w:w="1219" w:type="pct"/>
                  <w:vAlign w:val="center"/>
                </w:tcPr>
                <w:p>
                  <w:pPr>
                    <w:spacing w:line="240" w:lineRule="auto"/>
                    <w:ind w:firstLine="0" w:firstLineChars="0"/>
                    <w:jc w:val="center"/>
                    <w:rPr>
                      <w:sz w:val="21"/>
                      <w:szCs w:val="21"/>
                    </w:rPr>
                  </w:pPr>
                  <w:r>
                    <w:rPr>
                      <w:rFonts w:hint="eastAsia"/>
                      <w:sz w:val="21"/>
                      <w:szCs w:val="21"/>
                    </w:rPr>
                    <w:t>360</w:t>
                  </w:r>
                </w:p>
              </w:tc>
              <w:tc>
                <w:tcPr>
                  <w:tcW w:w="976" w:type="pct"/>
                  <w:vAlign w:val="center"/>
                </w:tcPr>
                <w:p>
                  <w:pPr>
                    <w:spacing w:line="240" w:lineRule="auto"/>
                    <w:ind w:firstLine="0" w:firstLineChars="0"/>
                    <w:jc w:val="center"/>
                    <w:rPr>
                      <w:sz w:val="21"/>
                      <w:szCs w:val="21"/>
                    </w:rPr>
                  </w:pPr>
                  <w:r>
                    <w:rPr>
                      <w:sz w:val="21"/>
                      <w:szCs w:val="21"/>
                    </w:rPr>
                    <w:t>250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09" w:hRule="atLeast"/>
                <w:jc w:val="center"/>
              </w:trPr>
              <w:tc>
                <w:tcPr>
                  <w:tcW w:w="265" w:type="pct"/>
                  <w:vMerge w:val="continue"/>
                  <w:vAlign w:val="center"/>
                </w:tcPr>
                <w:p>
                  <w:pPr>
                    <w:spacing w:line="240" w:lineRule="auto"/>
                    <w:ind w:firstLine="0" w:firstLineChars="0"/>
                    <w:jc w:val="center"/>
                    <w:rPr>
                      <w:sz w:val="21"/>
                      <w:szCs w:val="21"/>
                    </w:rPr>
                  </w:pPr>
                </w:p>
              </w:tc>
              <w:tc>
                <w:tcPr>
                  <w:tcW w:w="812" w:type="pct"/>
                  <w:vMerge w:val="continue"/>
                  <w:vAlign w:val="center"/>
                </w:tcPr>
                <w:p>
                  <w:pPr>
                    <w:spacing w:line="240" w:lineRule="auto"/>
                    <w:ind w:firstLine="0" w:firstLineChars="0"/>
                    <w:jc w:val="center"/>
                    <w:rPr>
                      <w:sz w:val="21"/>
                      <w:szCs w:val="21"/>
                    </w:rPr>
                  </w:pPr>
                </w:p>
              </w:tc>
              <w:tc>
                <w:tcPr>
                  <w:tcW w:w="374" w:type="pct"/>
                  <w:vMerge w:val="continue"/>
                  <w:vAlign w:val="center"/>
                </w:tcPr>
                <w:p>
                  <w:pPr>
                    <w:spacing w:line="240" w:lineRule="auto"/>
                    <w:ind w:firstLine="0" w:firstLineChars="0"/>
                    <w:jc w:val="center"/>
                    <w:rPr>
                      <w:sz w:val="21"/>
                      <w:szCs w:val="21"/>
                    </w:rPr>
                  </w:pPr>
                </w:p>
              </w:tc>
              <w:tc>
                <w:tcPr>
                  <w:tcW w:w="1354" w:type="pct"/>
                  <w:vAlign w:val="center"/>
                </w:tcPr>
                <w:p>
                  <w:pPr>
                    <w:spacing w:line="240" w:lineRule="auto"/>
                    <w:ind w:firstLine="0" w:firstLineChars="0"/>
                    <w:jc w:val="left"/>
                    <w:rPr>
                      <w:sz w:val="21"/>
                      <w:szCs w:val="21"/>
                    </w:rPr>
                  </w:pPr>
                  <w:r>
                    <w:rPr>
                      <w:sz w:val="21"/>
                      <w:szCs w:val="21"/>
                    </w:rPr>
                    <w:t>最高允许排放负荷250g/（床位·d）</w:t>
                  </w:r>
                </w:p>
              </w:tc>
              <w:tc>
                <w:tcPr>
                  <w:tcW w:w="1219" w:type="pct"/>
                  <w:vAlign w:val="center"/>
                </w:tcPr>
                <w:p>
                  <w:pPr>
                    <w:spacing w:line="240" w:lineRule="auto"/>
                    <w:ind w:firstLine="0" w:firstLineChars="0"/>
                    <w:jc w:val="center"/>
                    <w:rPr>
                      <w:sz w:val="21"/>
                      <w:szCs w:val="21"/>
                    </w:rPr>
                  </w:pPr>
                  <w:r>
                    <w:rPr>
                      <w:sz w:val="21"/>
                      <w:szCs w:val="21"/>
                    </w:rPr>
                    <w:t>--</w:t>
                  </w:r>
                </w:p>
              </w:tc>
              <w:tc>
                <w:tcPr>
                  <w:tcW w:w="976" w:type="pct"/>
                  <w:vAlign w:val="center"/>
                </w:tcPr>
                <w:p>
                  <w:pPr>
                    <w:spacing w:line="240" w:lineRule="auto"/>
                    <w:ind w:firstLine="0" w:firstLineChars="0"/>
                    <w:jc w:val="center"/>
                    <w:rPr>
                      <w:sz w:val="21"/>
                      <w:szCs w:val="21"/>
                    </w:rPr>
                  </w:pPr>
                  <w:r>
                    <w:rPr>
                      <w:sz w:val="21"/>
                      <w:szCs w:val="21"/>
                    </w:rPr>
                    <w:t>最高允许排放负荷250g/（床位·d）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5" w:hRule="atLeast"/>
                <w:jc w:val="center"/>
              </w:trPr>
              <w:tc>
                <w:tcPr>
                  <w:tcW w:w="265" w:type="pct"/>
                  <w:vMerge w:val="restart"/>
                  <w:vAlign w:val="center"/>
                </w:tcPr>
                <w:p>
                  <w:pPr>
                    <w:spacing w:line="240" w:lineRule="auto"/>
                    <w:ind w:firstLine="0" w:firstLineChars="0"/>
                    <w:jc w:val="center"/>
                    <w:rPr>
                      <w:sz w:val="21"/>
                      <w:szCs w:val="21"/>
                    </w:rPr>
                  </w:pPr>
                  <w:r>
                    <w:rPr>
                      <w:sz w:val="21"/>
                      <w:szCs w:val="21"/>
                    </w:rPr>
                    <w:t>4</w:t>
                  </w:r>
                </w:p>
              </w:tc>
              <w:tc>
                <w:tcPr>
                  <w:tcW w:w="812" w:type="pct"/>
                  <w:vMerge w:val="restart"/>
                  <w:vAlign w:val="center"/>
                </w:tcPr>
                <w:p>
                  <w:pPr>
                    <w:spacing w:line="240" w:lineRule="auto"/>
                    <w:ind w:firstLine="0" w:firstLineChars="0"/>
                    <w:jc w:val="center"/>
                    <w:rPr>
                      <w:sz w:val="21"/>
                      <w:szCs w:val="21"/>
                    </w:rPr>
                  </w:pPr>
                  <w:r>
                    <w:rPr>
                      <w:rFonts w:hint="eastAsia"/>
                      <w:sz w:val="21"/>
                      <w:szCs w:val="21"/>
                    </w:rPr>
                    <w:t>B</w:t>
                  </w:r>
                  <w:r>
                    <w:rPr>
                      <w:sz w:val="21"/>
                      <w:szCs w:val="21"/>
                    </w:rPr>
                    <w:t>OD</w:t>
                  </w:r>
                  <w:r>
                    <w:rPr>
                      <w:sz w:val="21"/>
                      <w:szCs w:val="21"/>
                      <w:vertAlign w:val="subscript"/>
                    </w:rPr>
                    <w:t>5</w:t>
                  </w:r>
                </w:p>
              </w:tc>
              <w:tc>
                <w:tcPr>
                  <w:tcW w:w="374" w:type="pct"/>
                  <w:vMerge w:val="restart"/>
                  <w:vAlign w:val="center"/>
                </w:tcPr>
                <w:p>
                  <w:pPr>
                    <w:spacing w:line="240" w:lineRule="auto"/>
                    <w:ind w:firstLine="0" w:firstLineChars="0"/>
                    <w:jc w:val="center"/>
                    <w:rPr>
                      <w:sz w:val="21"/>
                      <w:szCs w:val="21"/>
                    </w:rPr>
                  </w:pPr>
                  <w:r>
                    <w:rPr>
                      <w:sz w:val="21"/>
                      <w:szCs w:val="21"/>
                    </w:rPr>
                    <w:t>mg/L</w:t>
                  </w:r>
                </w:p>
              </w:tc>
              <w:tc>
                <w:tcPr>
                  <w:tcW w:w="1354" w:type="pct"/>
                  <w:vAlign w:val="center"/>
                </w:tcPr>
                <w:p>
                  <w:pPr>
                    <w:spacing w:line="240" w:lineRule="auto"/>
                    <w:ind w:firstLine="0" w:firstLineChars="0"/>
                    <w:jc w:val="center"/>
                    <w:rPr>
                      <w:sz w:val="21"/>
                      <w:szCs w:val="21"/>
                    </w:rPr>
                  </w:pPr>
                  <w:r>
                    <w:rPr>
                      <w:sz w:val="21"/>
                      <w:szCs w:val="21"/>
                    </w:rPr>
                    <w:t>100</w:t>
                  </w:r>
                </w:p>
              </w:tc>
              <w:tc>
                <w:tcPr>
                  <w:tcW w:w="1219" w:type="pct"/>
                  <w:vAlign w:val="center"/>
                </w:tcPr>
                <w:p>
                  <w:pPr>
                    <w:spacing w:line="240" w:lineRule="auto"/>
                    <w:ind w:firstLine="0" w:firstLineChars="0"/>
                    <w:jc w:val="center"/>
                    <w:rPr>
                      <w:sz w:val="21"/>
                      <w:szCs w:val="21"/>
                    </w:rPr>
                  </w:pPr>
                  <w:r>
                    <w:rPr>
                      <w:rFonts w:hint="eastAsia"/>
                      <w:sz w:val="21"/>
                      <w:szCs w:val="21"/>
                    </w:rPr>
                    <w:t>180</w:t>
                  </w:r>
                </w:p>
              </w:tc>
              <w:tc>
                <w:tcPr>
                  <w:tcW w:w="976" w:type="pct"/>
                  <w:vAlign w:val="center"/>
                </w:tcPr>
                <w:p>
                  <w:pPr>
                    <w:spacing w:line="240" w:lineRule="auto"/>
                    <w:ind w:firstLine="0" w:firstLineChars="0"/>
                    <w:jc w:val="center"/>
                    <w:rPr>
                      <w:sz w:val="21"/>
                      <w:szCs w:val="21"/>
                    </w:rPr>
                  </w:pPr>
                  <w:r>
                    <w:rPr>
                      <w:sz w:val="21"/>
                      <w:szCs w:val="21"/>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05" w:hRule="atLeast"/>
                <w:jc w:val="center"/>
              </w:trPr>
              <w:tc>
                <w:tcPr>
                  <w:tcW w:w="265" w:type="pct"/>
                  <w:vMerge w:val="continue"/>
                  <w:vAlign w:val="center"/>
                </w:tcPr>
                <w:p>
                  <w:pPr>
                    <w:spacing w:line="240" w:lineRule="auto"/>
                    <w:ind w:firstLine="0" w:firstLineChars="0"/>
                    <w:jc w:val="center"/>
                    <w:rPr>
                      <w:sz w:val="21"/>
                      <w:szCs w:val="21"/>
                    </w:rPr>
                  </w:pPr>
                </w:p>
              </w:tc>
              <w:tc>
                <w:tcPr>
                  <w:tcW w:w="812" w:type="pct"/>
                  <w:vMerge w:val="continue"/>
                  <w:vAlign w:val="center"/>
                </w:tcPr>
                <w:p>
                  <w:pPr>
                    <w:spacing w:line="240" w:lineRule="auto"/>
                    <w:ind w:firstLine="0" w:firstLineChars="0"/>
                    <w:jc w:val="center"/>
                    <w:rPr>
                      <w:sz w:val="21"/>
                      <w:szCs w:val="21"/>
                    </w:rPr>
                  </w:pPr>
                </w:p>
              </w:tc>
              <w:tc>
                <w:tcPr>
                  <w:tcW w:w="374" w:type="pct"/>
                  <w:vMerge w:val="continue"/>
                  <w:vAlign w:val="center"/>
                </w:tcPr>
                <w:p>
                  <w:pPr>
                    <w:spacing w:line="240" w:lineRule="auto"/>
                    <w:ind w:firstLine="0" w:firstLineChars="0"/>
                    <w:jc w:val="center"/>
                    <w:rPr>
                      <w:sz w:val="21"/>
                      <w:szCs w:val="21"/>
                    </w:rPr>
                  </w:pPr>
                </w:p>
              </w:tc>
              <w:tc>
                <w:tcPr>
                  <w:tcW w:w="1354" w:type="pct"/>
                  <w:vAlign w:val="center"/>
                </w:tcPr>
                <w:p>
                  <w:pPr>
                    <w:spacing w:line="240" w:lineRule="auto"/>
                    <w:ind w:firstLine="0" w:firstLineChars="0"/>
                    <w:jc w:val="left"/>
                    <w:rPr>
                      <w:sz w:val="21"/>
                      <w:szCs w:val="21"/>
                    </w:rPr>
                  </w:pPr>
                  <w:r>
                    <w:rPr>
                      <w:sz w:val="21"/>
                      <w:szCs w:val="21"/>
                    </w:rPr>
                    <w:t>最高允许排放负荷100g/（床位·d）</w:t>
                  </w:r>
                </w:p>
              </w:tc>
              <w:tc>
                <w:tcPr>
                  <w:tcW w:w="1219" w:type="pct"/>
                  <w:vAlign w:val="center"/>
                </w:tcPr>
                <w:p>
                  <w:pPr>
                    <w:spacing w:line="240" w:lineRule="auto"/>
                    <w:ind w:firstLine="0" w:firstLineChars="0"/>
                    <w:jc w:val="center"/>
                    <w:rPr>
                      <w:sz w:val="21"/>
                      <w:szCs w:val="21"/>
                    </w:rPr>
                  </w:pPr>
                  <w:r>
                    <w:rPr>
                      <w:sz w:val="21"/>
                      <w:szCs w:val="21"/>
                    </w:rPr>
                    <w:t>--</w:t>
                  </w:r>
                </w:p>
              </w:tc>
              <w:tc>
                <w:tcPr>
                  <w:tcW w:w="976" w:type="pct"/>
                  <w:vAlign w:val="center"/>
                </w:tcPr>
                <w:p>
                  <w:pPr>
                    <w:spacing w:line="240" w:lineRule="auto"/>
                    <w:ind w:firstLine="0" w:firstLineChars="0"/>
                    <w:jc w:val="center"/>
                    <w:rPr>
                      <w:sz w:val="21"/>
                      <w:szCs w:val="21"/>
                    </w:rPr>
                  </w:pPr>
                  <w:r>
                    <w:rPr>
                      <w:sz w:val="21"/>
                      <w:szCs w:val="21"/>
                    </w:rPr>
                    <w:t>最高允许排放负荷100g/（床位·d）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11" w:hRule="atLeast"/>
                <w:jc w:val="center"/>
              </w:trPr>
              <w:tc>
                <w:tcPr>
                  <w:tcW w:w="265" w:type="pct"/>
                  <w:vMerge w:val="restart"/>
                  <w:vAlign w:val="center"/>
                </w:tcPr>
                <w:p>
                  <w:pPr>
                    <w:spacing w:line="240" w:lineRule="auto"/>
                    <w:ind w:firstLine="0" w:firstLineChars="0"/>
                    <w:jc w:val="center"/>
                    <w:rPr>
                      <w:sz w:val="21"/>
                      <w:szCs w:val="21"/>
                    </w:rPr>
                  </w:pPr>
                  <w:r>
                    <w:rPr>
                      <w:sz w:val="21"/>
                      <w:szCs w:val="21"/>
                    </w:rPr>
                    <w:t>5</w:t>
                  </w:r>
                </w:p>
              </w:tc>
              <w:tc>
                <w:tcPr>
                  <w:tcW w:w="812" w:type="pct"/>
                  <w:vMerge w:val="restart"/>
                  <w:vAlign w:val="center"/>
                </w:tcPr>
                <w:p>
                  <w:pPr>
                    <w:spacing w:line="240" w:lineRule="auto"/>
                    <w:ind w:firstLine="0" w:firstLineChars="0"/>
                    <w:jc w:val="center"/>
                    <w:rPr>
                      <w:sz w:val="21"/>
                      <w:szCs w:val="21"/>
                    </w:rPr>
                  </w:pPr>
                  <w:r>
                    <w:rPr>
                      <w:rFonts w:hint="eastAsia"/>
                      <w:sz w:val="21"/>
                      <w:szCs w:val="21"/>
                    </w:rPr>
                    <w:t>S</w:t>
                  </w:r>
                  <w:r>
                    <w:rPr>
                      <w:sz w:val="21"/>
                      <w:szCs w:val="21"/>
                    </w:rPr>
                    <w:t>S</w:t>
                  </w:r>
                </w:p>
              </w:tc>
              <w:tc>
                <w:tcPr>
                  <w:tcW w:w="374" w:type="pct"/>
                  <w:vMerge w:val="restart"/>
                  <w:vAlign w:val="center"/>
                </w:tcPr>
                <w:p>
                  <w:pPr>
                    <w:spacing w:line="240" w:lineRule="auto"/>
                    <w:ind w:firstLine="0" w:firstLineChars="0"/>
                    <w:jc w:val="center"/>
                    <w:rPr>
                      <w:sz w:val="21"/>
                      <w:szCs w:val="21"/>
                    </w:rPr>
                  </w:pPr>
                  <w:r>
                    <w:rPr>
                      <w:sz w:val="21"/>
                      <w:szCs w:val="21"/>
                    </w:rPr>
                    <w:t>mg/L</w:t>
                  </w:r>
                </w:p>
              </w:tc>
              <w:tc>
                <w:tcPr>
                  <w:tcW w:w="1354" w:type="pct"/>
                  <w:vAlign w:val="center"/>
                </w:tcPr>
                <w:p>
                  <w:pPr>
                    <w:spacing w:line="240" w:lineRule="auto"/>
                    <w:ind w:firstLine="0" w:firstLineChars="0"/>
                    <w:jc w:val="center"/>
                    <w:rPr>
                      <w:sz w:val="21"/>
                      <w:szCs w:val="21"/>
                    </w:rPr>
                  </w:pPr>
                  <w:r>
                    <w:rPr>
                      <w:sz w:val="21"/>
                      <w:szCs w:val="21"/>
                    </w:rPr>
                    <w:t>60</w:t>
                  </w:r>
                </w:p>
              </w:tc>
              <w:tc>
                <w:tcPr>
                  <w:tcW w:w="1219" w:type="pct"/>
                  <w:vAlign w:val="center"/>
                </w:tcPr>
                <w:p>
                  <w:pPr>
                    <w:spacing w:line="240" w:lineRule="auto"/>
                    <w:ind w:firstLine="0" w:firstLineChars="0"/>
                    <w:jc w:val="center"/>
                    <w:rPr>
                      <w:sz w:val="21"/>
                      <w:szCs w:val="21"/>
                    </w:rPr>
                  </w:pPr>
                  <w:r>
                    <w:rPr>
                      <w:rFonts w:hint="eastAsia"/>
                      <w:sz w:val="21"/>
                      <w:szCs w:val="21"/>
                    </w:rPr>
                    <w:t>250</w:t>
                  </w:r>
                </w:p>
              </w:tc>
              <w:tc>
                <w:tcPr>
                  <w:tcW w:w="976" w:type="pct"/>
                  <w:vAlign w:val="center"/>
                </w:tcPr>
                <w:p>
                  <w:pPr>
                    <w:spacing w:line="240" w:lineRule="auto"/>
                    <w:ind w:firstLine="0" w:firstLineChars="0"/>
                    <w:jc w:val="center"/>
                    <w:rPr>
                      <w:sz w:val="21"/>
                      <w:szCs w:val="21"/>
                    </w:rPr>
                  </w:pPr>
                  <w:r>
                    <w:rPr>
                      <w:sz w:val="21"/>
                      <w:szCs w:val="21"/>
                    </w:rPr>
                    <w:t>60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11" w:hRule="atLeast"/>
                <w:jc w:val="center"/>
              </w:trPr>
              <w:tc>
                <w:tcPr>
                  <w:tcW w:w="265" w:type="pct"/>
                  <w:vMerge w:val="continue"/>
                  <w:vAlign w:val="center"/>
                </w:tcPr>
                <w:p>
                  <w:pPr>
                    <w:spacing w:line="240" w:lineRule="auto"/>
                    <w:ind w:firstLine="0" w:firstLineChars="0"/>
                    <w:jc w:val="center"/>
                    <w:rPr>
                      <w:sz w:val="21"/>
                      <w:szCs w:val="21"/>
                    </w:rPr>
                  </w:pPr>
                </w:p>
              </w:tc>
              <w:tc>
                <w:tcPr>
                  <w:tcW w:w="812" w:type="pct"/>
                  <w:vMerge w:val="continue"/>
                  <w:vAlign w:val="center"/>
                </w:tcPr>
                <w:p>
                  <w:pPr>
                    <w:spacing w:line="240" w:lineRule="auto"/>
                    <w:ind w:firstLine="0" w:firstLineChars="0"/>
                    <w:jc w:val="center"/>
                    <w:rPr>
                      <w:sz w:val="21"/>
                      <w:szCs w:val="21"/>
                    </w:rPr>
                  </w:pPr>
                </w:p>
              </w:tc>
              <w:tc>
                <w:tcPr>
                  <w:tcW w:w="374" w:type="pct"/>
                  <w:vMerge w:val="continue"/>
                  <w:vAlign w:val="center"/>
                </w:tcPr>
                <w:p>
                  <w:pPr>
                    <w:spacing w:line="240" w:lineRule="auto"/>
                    <w:ind w:firstLine="0" w:firstLineChars="0"/>
                    <w:jc w:val="center"/>
                    <w:rPr>
                      <w:sz w:val="21"/>
                      <w:szCs w:val="21"/>
                    </w:rPr>
                  </w:pPr>
                </w:p>
              </w:tc>
              <w:tc>
                <w:tcPr>
                  <w:tcW w:w="1354" w:type="pct"/>
                  <w:vAlign w:val="center"/>
                </w:tcPr>
                <w:p>
                  <w:pPr>
                    <w:spacing w:line="240" w:lineRule="auto"/>
                    <w:ind w:firstLine="0" w:firstLineChars="0"/>
                    <w:jc w:val="center"/>
                    <w:rPr>
                      <w:sz w:val="21"/>
                      <w:szCs w:val="21"/>
                    </w:rPr>
                  </w:pPr>
                  <w:r>
                    <w:rPr>
                      <w:sz w:val="21"/>
                      <w:szCs w:val="21"/>
                    </w:rPr>
                    <w:t>最高允许排放负荷60g/（床位·d）</w:t>
                  </w:r>
                </w:p>
              </w:tc>
              <w:tc>
                <w:tcPr>
                  <w:tcW w:w="1219" w:type="pct"/>
                  <w:vAlign w:val="center"/>
                </w:tcPr>
                <w:p>
                  <w:pPr>
                    <w:spacing w:line="240" w:lineRule="auto"/>
                    <w:ind w:firstLine="0" w:firstLineChars="0"/>
                    <w:jc w:val="center"/>
                    <w:rPr>
                      <w:sz w:val="21"/>
                      <w:szCs w:val="21"/>
                    </w:rPr>
                  </w:pPr>
                  <w:r>
                    <w:rPr>
                      <w:sz w:val="21"/>
                      <w:szCs w:val="21"/>
                    </w:rPr>
                    <w:t>--</w:t>
                  </w:r>
                </w:p>
              </w:tc>
              <w:tc>
                <w:tcPr>
                  <w:tcW w:w="976" w:type="pct"/>
                  <w:vAlign w:val="center"/>
                </w:tcPr>
                <w:p>
                  <w:pPr>
                    <w:spacing w:line="240" w:lineRule="auto"/>
                    <w:ind w:firstLine="0" w:firstLineChars="0"/>
                    <w:jc w:val="center"/>
                    <w:rPr>
                      <w:sz w:val="21"/>
                      <w:szCs w:val="21"/>
                    </w:rPr>
                  </w:pPr>
                  <w:r>
                    <w:rPr>
                      <w:sz w:val="21"/>
                      <w:szCs w:val="21"/>
                    </w:rPr>
                    <w:t>最高允许排放负荷60g/（床位·d）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30" w:hRule="atLeast"/>
                <w:jc w:val="center"/>
              </w:trPr>
              <w:tc>
                <w:tcPr>
                  <w:tcW w:w="265" w:type="pct"/>
                  <w:vAlign w:val="center"/>
                </w:tcPr>
                <w:p>
                  <w:pPr>
                    <w:spacing w:line="240" w:lineRule="auto"/>
                    <w:ind w:firstLine="0" w:firstLineChars="0"/>
                    <w:jc w:val="center"/>
                    <w:rPr>
                      <w:sz w:val="21"/>
                      <w:szCs w:val="21"/>
                    </w:rPr>
                  </w:pPr>
                  <w:r>
                    <w:rPr>
                      <w:sz w:val="21"/>
                      <w:szCs w:val="21"/>
                    </w:rPr>
                    <w:t>6</w:t>
                  </w:r>
                </w:p>
              </w:tc>
              <w:tc>
                <w:tcPr>
                  <w:tcW w:w="812" w:type="pct"/>
                  <w:vAlign w:val="center"/>
                </w:tcPr>
                <w:p>
                  <w:pPr>
                    <w:spacing w:line="240" w:lineRule="auto"/>
                    <w:ind w:firstLine="0" w:firstLineChars="0"/>
                    <w:jc w:val="center"/>
                    <w:rPr>
                      <w:sz w:val="21"/>
                      <w:szCs w:val="21"/>
                    </w:rPr>
                  </w:pPr>
                  <w:r>
                    <w:rPr>
                      <w:rFonts w:hint="eastAsia"/>
                      <w:sz w:val="21"/>
                      <w:szCs w:val="21"/>
                    </w:rPr>
                    <w:t>N</w:t>
                  </w:r>
                  <w:r>
                    <w:rPr>
                      <w:sz w:val="21"/>
                      <w:szCs w:val="21"/>
                    </w:rPr>
                    <w:t>H</w:t>
                  </w:r>
                  <w:r>
                    <w:rPr>
                      <w:sz w:val="21"/>
                      <w:szCs w:val="21"/>
                      <w:vertAlign w:val="subscript"/>
                    </w:rPr>
                    <w:t>3</w:t>
                  </w:r>
                  <w:r>
                    <w:rPr>
                      <w:sz w:val="21"/>
                      <w:szCs w:val="21"/>
                    </w:rPr>
                    <w:t>-N</w:t>
                  </w:r>
                </w:p>
              </w:tc>
              <w:tc>
                <w:tcPr>
                  <w:tcW w:w="374" w:type="pct"/>
                  <w:vAlign w:val="center"/>
                </w:tcPr>
                <w:p>
                  <w:pPr>
                    <w:spacing w:line="240" w:lineRule="auto"/>
                    <w:ind w:firstLine="0" w:firstLineChars="0"/>
                    <w:jc w:val="center"/>
                    <w:rPr>
                      <w:sz w:val="21"/>
                      <w:szCs w:val="21"/>
                    </w:rPr>
                  </w:pPr>
                  <w:r>
                    <w:rPr>
                      <w:sz w:val="21"/>
                      <w:szCs w:val="21"/>
                    </w:rPr>
                    <w:t>mg/L</w:t>
                  </w:r>
                </w:p>
              </w:tc>
              <w:tc>
                <w:tcPr>
                  <w:tcW w:w="1354" w:type="pct"/>
                  <w:vAlign w:val="center"/>
                </w:tcPr>
                <w:p>
                  <w:pPr>
                    <w:spacing w:line="240" w:lineRule="auto"/>
                    <w:ind w:firstLine="0" w:firstLineChars="0"/>
                    <w:jc w:val="center"/>
                    <w:rPr>
                      <w:sz w:val="21"/>
                      <w:szCs w:val="21"/>
                    </w:rPr>
                  </w:pPr>
                  <w:r>
                    <w:rPr>
                      <w:sz w:val="21"/>
                      <w:szCs w:val="21"/>
                    </w:rPr>
                    <w:t>--</w:t>
                  </w:r>
                </w:p>
              </w:tc>
              <w:tc>
                <w:tcPr>
                  <w:tcW w:w="1219" w:type="pct"/>
                  <w:vAlign w:val="center"/>
                </w:tcPr>
                <w:p>
                  <w:pPr>
                    <w:spacing w:line="240" w:lineRule="auto"/>
                    <w:ind w:firstLine="0" w:firstLineChars="0"/>
                    <w:jc w:val="center"/>
                    <w:rPr>
                      <w:sz w:val="21"/>
                      <w:szCs w:val="21"/>
                    </w:rPr>
                  </w:pPr>
                  <w:r>
                    <w:rPr>
                      <w:rFonts w:hint="eastAsia"/>
                      <w:sz w:val="21"/>
                      <w:szCs w:val="21"/>
                    </w:rPr>
                    <w:t>40</w:t>
                  </w:r>
                </w:p>
              </w:tc>
              <w:tc>
                <w:tcPr>
                  <w:tcW w:w="976" w:type="pct"/>
                  <w:vAlign w:val="center"/>
                </w:tcPr>
                <w:p>
                  <w:pPr>
                    <w:spacing w:line="240" w:lineRule="auto"/>
                    <w:ind w:firstLine="0" w:firstLineChars="0"/>
                    <w:jc w:val="center"/>
                    <w:rPr>
                      <w:sz w:val="21"/>
                      <w:szCs w:val="21"/>
                    </w:rPr>
                  </w:pPr>
                  <w:r>
                    <w:rPr>
                      <w:rFonts w:hint="eastAsia"/>
                      <w:sz w:val="21"/>
                      <w:szCs w:val="21"/>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0" w:hRule="atLeast"/>
                <w:jc w:val="center"/>
              </w:trPr>
              <w:tc>
                <w:tcPr>
                  <w:tcW w:w="265" w:type="pct"/>
                  <w:vAlign w:val="center"/>
                </w:tcPr>
                <w:p>
                  <w:pPr>
                    <w:spacing w:line="240" w:lineRule="auto"/>
                    <w:ind w:firstLine="0" w:firstLineChars="0"/>
                    <w:jc w:val="center"/>
                    <w:rPr>
                      <w:sz w:val="21"/>
                      <w:szCs w:val="21"/>
                    </w:rPr>
                  </w:pPr>
                  <w:r>
                    <w:rPr>
                      <w:sz w:val="21"/>
                      <w:szCs w:val="21"/>
                    </w:rPr>
                    <w:t>7</w:t>
                  </w:r>
                </w:p>
              </w:tc>
              <w:tc>
                <w:tcPr>
                  <w:tcW w:w="812" w:type="pct"/>
                  <w:vAlign w:val="center"/>
                </w:tcPr>
                <w:p>
                  <w:pPr>
                    <w:spacing w:line="240" w:lineRule="auto"/>
                    <w:ind w:firstLine="0" w:firstLineChars="0"/>
                    <w:jc w:val="center"/>
                    <w:rPr>
                      <w:sz w:val="21"/>
                      <w:szCs w:val="21"/>
                    </w:rPr>
                  </w:pPr>
                  <w:r>
                    <w:rPr>
                      <w:rFonts w:hint="eastAsia"/>
                      <w:sz w:val="21"/>
                      <w:szCs w:val="21"/>
                    </w:rPr>
                    <w:t>TP</w:t>
                  </w:r>
                </w:p>
              </w:tc>
              <w:tc>
                <w:tcPr>
                  <w:tcW w:w="374" w:type="pct"/>
                  <w:vAlign w:val="center"/>
                </w:tcPr>
                <w:p>
                  <w:pPr>
                    <w:spacing w:line="240" w:lineRule="auto"/>
                    <w:ind w:firstLine="0" w:firstLineChars="0"/>
                    <w:jc w:val="center"/>
                    <w:rPr>
                      <w:sz w:val="21"/>
                      <w:szCs w:val="21"/>
                    </w:rPr>
                  </w:pPr>
                  <w:r>
                    <w:rPr>
                      <w:sz w:val="21"/>
                      <w:szCs w:val="21"/>
                    </w:rPr>
                    <w:t>mg/L</w:t>
                  </w:r>
                </w:p>
              </w:tc>
              <w:tc>
                <w:tcPr>
                  <w:tcW w:w="1354" w:type="pct"/>
                  <w:vAlign w:val="center"/>
                </w:tcPr>
                <w:p>
                  <w:pPr>
                    <w:spacing w:line="240" w:lineRule="auto"/>
                    <w:ind w:firstLine="0" w:firstLineChars="0"/>
                    <w:jc w:val="center"/>
                    <w:rPr>
                      <w:sz w:val="21"/>
                      <w:szCs w:val="21"/>
                    </w:rPr>
                  </w:pPr>
                  <w:r>
                    <w:rPr>
                      <w:sz w:val="21"/>
                      <w:szCs w:val="21"/>
                    </w:rPr>
                    <w:t>--</w:t>
                  </w:r>
                </w:p>
              </w:tc>
              <w:tc>
                <w:tcPr>
                  <w:tcW w:w="1219" w:type="pct"/>
                  <w:vAlign w:val="center"/>
                </w:tcPr>
                <w:p>
                  <w:pPr>
                    <w:spacing w:line="240" w:lineRule="auto"/>
                    <w:ind w:firstLine="0" w:firstLineChars="0"/>
                    <w:jc w:val="center"/>
                    <w:rPr>
                      <w:sz w:val="21"/>
                      <w:szCs w:val="21"/>
                    </w:rPr>
                  </w:pPr>
                  <w:r>
                    <w:rPr>
                      <w:rFonts w:hint="eastAsia"/>
                      <w:sz w:val="21"/>
                      <w:szCs w:val="21"/>
                    </w:rPr>
                    <w:t>5</w:t>
                  </w:r>
                </w:p>
              </w:tc>
              <w:tc>
                <w:tcPr>
                  <w:tcW w:w="976" w:type="pct"/>
                  <w:vAlign w:val="center"/>
                </w:tcPr>
                <w:p>
                  <w:pPr>
                    <w:spacing w:line="240" w:lineRule="auto"/>
                    <w:ind w:firstLine="0" w:firstLineChars="0"/>
                    <w:jc w:val="center"/>
                    <w:rPr>
                      <w:sz w:val="21"/>
                      <w:szCs w:val="21"/>
                    </w:rPr>
                  </w:pPr>
                  <w:r>
                    <w:rPr>
                      <w:rFonts w:hint="eastAsia"/>
                      <w:sz w:val="21"/>
                      <w:szCs w:val="21"/>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30" w:hRule="atLeast"/>
                <w:jc w:val="center"/>
              </w:trPr>
              <w:tc>
                <w:tcPr>
                  <w:tcW w:w="265" w:type="pct"/>
                  <w:vAlign w:val="center"/>
                </w:tcPr>
                <w:p>
                  <w:pPr>
                    <w:spacing w:line="240" w:lineRule="auto"/>
                    <w:ind w:firstLine="0" w:firstLineChars="0"/>
                    <w:jc w:val="center"/>
                    <w:rPr>
                      <w:sz w:val="21"/>
                      <w:szCs w:val="21"/>
                    </w:rPr>
                  </w:pPr>
                  <w:r>
                    <w:rPr>
                      <w:rFonts w:hint="eastAsia"/>
                      <w:sz w:val="21"/>
                      <w:szCs w:val="21"/>
                    </w:rPr>
                    <w:t>8</w:t>
                  </w:r>
                </w:p>
              </w:tc>
              <w:tc>
                <w:tcPr>
                  <w:tcW w:w="812" w:type="pct"/>
                  <w:vAlign w:val="center"/>
                </w:tcPr>
                <w:p>
                  <w:pPr>
                    <w:spacing w:line="240" w:lineRule="auto"/>
                    <w:ind w:firstLine="0" w:firstLineChars="0"/>
                    <w:jc w:val="center"/>
                    <w:rPr>
                      <w:sz w:val="21"/>
                      <w:szCs w:val="21"/>
                    </w:rPr>
                  </w:pPr>
                  <w:r>
                    <w:rPr>
                      <w:rFonts w:hint="eastAsia"/>
                      <w:sz w:val="21"/>
                      <w:szCs w:val="21"/>
                    </w:rPr>
                    <w:t>TN</w:t>
                  </w:r>
                </w:p>
              </w:tc>
              <w:tc>
                <w:tcPr>
                  <w:tcW w:w="374" w:type="pct"/>
                  <w:vAlign w:val="center"/>
                </w:tcPr>
                <w:p>
                  <w:pPr>
                    <w:spacing w:line="240" w:lineRule="auto"/>
                    <w:ind w:firstLine="0" w:firstLineChars="0"/>
                    <w:jc w:val="center"/>
                    <w:rPr>
                      <w:sz w:val="21"/>
                      <w:szCs w:val="21"/>
                    </w:rPr>
                  </w:pPr>
                  <w:r>
                    <w:rPr>
                      <w:sz w:val="21"/>
                      <w:szCs w:val="21"/>
                    </w:rPr>
                    <w:t>mg/L</w:t>
                  </w:r>
                </w:p>
              </w:tc>
              <w:tc>
                <w:tcPr>
                  <w:tcW w:w="1354" w:type="pct"/>
                  <w:vAlign w:val="center"/>
                </w:tcPr>
                <w:p>
                  <w:pPr>
                    <w:spacing w:line="240" w:lineRule="auto"/>
                    <w:ind w:firstLine="0" w:firstLineChars="0"/>
                    <w:jc w:val="center"/>
                    <w:rPr>
                      <w:sz w:val="21"/>
                      <w:szCs w:val="21"/>
                    </w:rPr>
                  </w:pPr>
                  <w:r>
                    <w:rPr>
                      <w:sz w:val="21"/>
                      <w:szCs w:val="21"/>
                    </w:rPr>
                    <w:t>--</w:t>
                  </w:r>
                </w:p>
              </w:tc>
              <w:tc>
                <w:tcPr>
                  <w:tcW w:w="1219" w:type="pct"/>
                  <w:vAlign w:val="center"/>
                </w:tcPr>
                <w:p>
                  <w:pPr>
                    <w:spacing w:line="240" w:lineRule="auto"/>
                    <w:ind w:firstLine="0" w:firstLineChars="0"/>
                    <w:jc w:val="center"/>
                    <w:rPr>
                      <w:sz w:val="21"/>
                      <w:szCs w:val="21"/>
                    </w:rPr>
                  </w:pPr>
                  <w:r>
                    <w:rPr>
                      <w:rFonts w:hint="eastAsia"/>
                      <w:sz w:val="21"/>
                      <w:szCs w:val="21"/>
                    </w:rPr>
                    <w:t>40</w:t>
                  </w:r>
                </w:p>
              </w:tc>
              <w:tc>
                <w:tcPr>
                  <w:tcW w:w="976" w:type="pct"/>
                  <w:vAlign w:val="center"/>
                </w:tcPr>
                <w:p>
                  <w:pPr>
                    <w:spacing w:line="240" w:lineRule="auto"/>
                    <w:ind w:firstLine="0" w:firstLineChars="0"/>
                    <w:jc w:val="center"/>
                    <w:rPr>
                      <w:sz w:val="21"/>
                      <w:szCs w:val="21"/>
                    </w:rPr>
                  </w:pPr>
                  <w:r>
                    <w:rPr>
                      <w:rFonts w:hint="eastAsia"/>
                      <w:sz w:val="21"/>
                      <w:szCs w:val="21"/>
                    </w:rPr>
                    <w:t>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209" w:hRule="atLeast"/>
                <w:jc w:val="center"/>
              </w:trPr>
              <w:tc>
                <w:tcPr>
                  <w:tcW w:w="265" w:type="pct"/>
                  <w:tcBorders>
                    <w:top w:val="single" w:color="auto" w:sz="4" w:space="0"/>
                    <w:left w:val="single" w:color="auto" w:sz="4" w:space="0"/>
                    <w:bottom w:val="single" w:color="auto" w:sz="4" w:space="0"/>
                    <w:right w:val="single" w:color="auto" w:sz="4" w:space="0"/>
                  </w:tcBorders>
                  <w:vAlign w:val="center"/>
                </w:tcPr>
                <w:p>
                  <w:pPr>
                    <w:spacing w:line="240" w:lineRule="auto"/>
                    <w:ind w:firstLine="0" w:firstLineChars="0"/>
                    <w:jc w:val="center"/>
                    <w:rPr>
                      <w:sz w:val="21"/>
                      <w:szCs w:val="21"/>
                    </w:rPr>
                  </w:pPr>
                  <w:r>
                    <w:rPr>
                      <w:rFonts w:hint="eastAsia"/>
                      <w:sz w:val="21"/>
                      <w:szCs w:val="21"/>
                    </w:rPr>
                    <w:t>9</w:t>
                  </w:r>
                </w:p>
              </w:tc>
              <w:tc>
                <w:tcPr>
                  <w:tcW w:w="812" w:type="pct"/>
                  <w:tcBorders>
                    <w:top w:val="single" w:color="auto" w:sz="4" w:space="0"/>
                    <w:left w:val="single" w:color="auto" w:sz="4" w:space="0"/>
                    <w:bottom w:val="single" w:color="auto" w:sz="4" w:space="0"/>
                    <w:right w:val="single" w:color="auto" w:sz="4" w:space="0"/>
                  </w:tcBorders>
                  <w:vAlign w:val="center"/>
                </w:tcPr>
                <w:p>
                  <w:pPr>
                    <w:spacing w:line="240" w:lineRule="auto"/>
                    <w:ind w:firstLine="0" w:firstLineChars="0"/>
                    <w:jc w:val="center"/>
                    <w:rPr>
                      <w:sz w:val="21"/>
                      <w:szCs w:val="21"/>
                    </w:rPr>
                  </w:pPr>
                  <w:r>
                    <w:rPr>
                      <w:rFonts w:hint="eastAsia"/>
                      <w:sz w:val="21"/>
                      <w:szCs w:val="21"/>
                    </w:rPr>
                    <w:t>氯化物</w:t>
                  </w:r>
                </w:p>
              </w:tc>
              <w:tc>
                <w:tcPr>
                  <w:tcW w:w="374" w:type="pct"/>
                  <w:tcBorders>
                    <w:top w:val="single" w:color="auto" w:sz="4" w:space="0"/>
                    <w:left w:val="single" w:color="auto" w:sz="4" w:space="0"/>
                    <w:bottom w:val="single" w:color="auto" w:sz="4" w:space="0"/>
                    <w:right w:val="single" w:color="auto" w:sz="4" w:space="0"/>
                  </w:tcBorders>
                  <w:vAlign w:val="center"/>
                </w:tcPr>
                <w:p>
                  <w:pPr>
                    <w:spacing w:line="240" w:lineRule="auto"/>
                    <w:ind w:firstLine="0" w:firstLineChars="0"/>
                    <w:jc w:val="center"/>
                    <w:rPr>
                      <w:sz w:val="21"/>
                      <w:szCs w:val="21"/>
                    </w:rPr>
                  </w:pPr>
                  <w:r>
                    <w:rPr>
                      <w:sz w:val="21"/>
                      <w:szCs w:val="21"/>
                    </w:rPr>
                    <w:t>mg/L</w:t>
                  </w:r>
                </w:p>
              </w:tc>
              <w:tc>
                <w:tcPr>
                  <w:tcW w:w="1354" w:type="pct"/>
                  <w:tcBorders>
                    <w:top w:val="single" w:color="auto" w:sz="4" w:space="0"/>
                    <w:left w:val="single" w:color="auto" w:sz="4" w:space="0"/>
                    <w:bottom w:val="single" w:color="auto" w:sz="4" w:space="0"/>
                    <w:right w:val="single" w:color="auto" w:sz="4" w:space="0"/>
                  </w:tcBorders>
                  <w:vAlign w:val="center"/>
                </w:tcPr>
                <w:p>
                  <w:pPr>
                    <w:spacing w:line="240" w:lineRule="auto"/>
                    <w:ind w:firstLine="0" w:firstLineChars="0"/>
                    <w:jc w:val="center"/>
                    <w:rPr>
                      <w:sz w:val="21"/>
                      <w:szCs w:val="21"/>
                    </w:rPr>
                  </w:pPr>
                  <w:r>
                    <w:rPr>
                      <w:sz w:val="21"/>
                      <w:szCs w:val="21"/>
                    </w:rPr>
                    <w:t>--</w:t>
                  </w:r>
                </w:p>
              </w:tc>
              <w:tc>
                <w:tcPr>
                  <w:tcW w:w="1219" w:type="pct"/>
                  <w:tcBorders>
                    <w:top w:val="single" w:color="auto" w:sz="4" w:space="0"/>
                    <w:left w:val="single" w:color="auto" w:sz="4" w:space="0"/>
                    <w:bottom w:val="single" w:color="auto" w:sz="4" w:space="0"/>
                    <w:right w:val="single" w:color="auto" w:sz="4" w:space="0"/>
                  </w:tcBorders>
                  <w:vAlign w:val="center"/>
                </w:tcPr>
                <w:p>
                  <w:pPr>
                    <w:spacing w:line="240" w:lineRule="auto"/>
                    <w:ind w:firstLine="0" w:firstLineChars="0"/>
                    <w:jc w:val="center"/>
                    <w:rPr>
                      <w:sz w:val="21"/>
                      <w:szCs w:val="21"/>
                    </w:rPr>
                  </w:pPr>
                  <w:r>
                    <w:rPr>
                      <w:rFonts w:hint="eastAsia"/>
                      <w:sz w:val="21"/>
                      <w:szCs w:val="21"/>
                    </w:rPr>
                    <w:t>300</w:t>
                  </w:r>
                </w:p>
              </w:tc>
              <w:tc>
                <w:tcPr>
                  <w:tcW w:w="976" w:type="pct"/>
                  <w:tcBorders>
                    <w:top w:val="single" w:color="auto" w:sz="4" w:space="0"/>
                    <w:left w:val="single" w:color="auto" w:sz="4" w:space="0"/>
                    <w:bottom w:val="single" w:color="auto" w:sz="4" w:space="0"/>
                    <w:right w:val="single" w:color="auto" w:sz="4" w:space="0"/>
                  </w:tcBorders>
                  <w:vAlign w:val="center"/>
                </w:tcPr>
                <w:p>
                  <w:pPr>
                    <w:spacing w:line="240" w:lineRule="auto"/>
                    <w:ind w:firstLine="0" w:firstLineChars="0"/>
                    <w:jc w:val="center"/>
                    <w:rPr>
                      <w:sz w:val="21"/>
                      <w:szCs w:val="21"/>
                    </w:rPr>
                  </w:pPr>
                  <w:r>
                    <w:rPr>
                      <w:rFonts w:hint="eastAsia"/>
                      <w:sz w:val="21"/>
                      <w:szCs w:val="21"/>
                    </w:rP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209" w:hRule="atLeast"/>
                <w:jc w:val="center"/>
              </w:trPr>
              <w:tc>
                <w:tcPr>
                  <w:tcW w:w="265" w:type="pct"/>
                  <w:tcBorders>
                    <w:top w:val="single" w:color="auto" w:sz="4" w:space="0"/>
                    <w:left w:val="single" w:color="auto" w:sz="4" w:space="0"/>
                    <w:bottom w:val="single" w:color="auto" w:sz="4" w:space="0"/>
                    <w:right w:val="single" w:color="auto" w:sz="4" w:space="0"/>
                  </w:tcBorders>
                  <w:vAlign w:val="center"/>
                </w:tcPr>
                <w:p>
                  <w:pPr>
                    <w:spacing w:line="240" w:lineRule="auto"/>
                    <w:ind w:firstLine="0" w:firstLineChars="0"/>
                    <w:jc w:val="center"/>
                    <w:rPr>
                      <w:sz w:val="21"/>
                      <w:szCs w:val="21"/>
                    </w:rPr>
                  </w:pPr>
                  <w:r>
                    <w:rPr>
                      <w:rFonts w:hint="eastAsia"/>
                      <w:sz w:val="21"/>
                      <w:szCs w:val="21"/>
                    </w:rPr>
                    <w:t>10</w:t>
                  </w:r>
                </w:p>
              </w:tc>
              <w:tc>
                <w:tcPr>
                  <w:tcW w:w="812" w:type="pct"/>
                  <w:tcBorders>
                    <w:top w:val="single" w:color="auto" w:sz="4" w:space="0"/>
                    <w:left w:val="single" w:color="auto" w:sz="4" w:space="0"/>
                    <w:bottom w:val="single" w:color="auto" w:sz="4" w:space="0"/>
                    <w:right w:val="single" w:color="auto" w:sz="4" w:space="0"/>
                  </w:tcBorders>
                  <w:vAlign w:val="center"/>
                </w:tcPr>
                <w:p>
                  <w:pPr>
                    <w:spacing w:line="240" w:lineRule="auto"/>
                    <w:ind w:firstLine="0" w:firstLineChars="0"/>
                    <w:jc w:val="center"/>
                    <w:rPr>
                      <w:sz w:val="21"/>
                      <w:szCs w:val="21"/>
                    </w:rPr>
                  </w:pPr>
                  <w:r>
                    <w:rPr>
                      <w:sz w:val="21"/>
                      <w:szCs w:val="21"/>
                    </w:rPr>
                    <w:t>动植物油</w:t>
                  </w:r>
                </w:p>
              </w:tc>
              <w:tc>
                <w:tcPr>
                  <w:tcW w:w="374" w:type="pct"/>
                  <w:tcBorders>
                    <w:top w:val="single" w:color="auto" w:sz="4" w:space="0"/>
                    <w:left w:val="single" w:color="auto" w:sz="4" w:space="0"/>
                    <w:bottom w:val="single" w:color="auto" w:sz="4" w:space="0"/>
                    <w:right w:val="single" w:color="auto" w:sz="4" w:space="0"/>
                  </w:tcBorders>
                  <w:vAlign w:val="center"/>
                </w:tcPr>
                <w:p>
                  <w:pPr>
                    <w:spacing w:line="240" w:lineRule="auto"/>
                    <w:ind w:firstLine="0" w:firstLineChars="0"/>
                    <w:jc w:val="center"/>
                    <w:rPr>
                      <w:sz w:val="21"/>
                      <w:szCs w:val="21"/>
                    </w:rPr>
                  </w:pPr>
                  <w:r>
                    <w:rPr>
                      <w:sz w:val="21"/>
                      <w:szCs w:val="21"/>
                    </w:rPr>
                    <w:t>mg/L</w:t>
                  </w:r>
                </w:p>
              </w:tc>
              <w:tc>
                <w:tcPr>
                  <w:tcW w:w="1354" w:type="pct"/>
                  <w:tcBorders>
                    <w:top w:val="single" w:color="auto" w:sz="4" w:space="0"/>
                    <w:left w:val="single" w:color="auto" w:sz="4" w:space="0"/>
                    <w:bottom w:val="single" w:color="auto" w:sz="4" w:space="0"/>
                    <w:right w:val="single" w:color="auto" w:sz="4" w:space="0"/>
                  </w:tcBorders>
                  <w:vAlign w:val="center"/>
                </w:tcPr>
                <w:p>
                  <w:pPr>
                    <w:spacing w:line="240" w:lineRule="auto"/>
                    <w:ind w:firstLine="0" w:firstLineChars="0"/>
                    <w:jc w:val="center"/>
                    <w:rPr>
                      <w:sz w:val="21"/>
                      <w:szCs w:val="21"/>
                    </w:rPr>
                  </w:pPr>
                  <w:r>
                    <w:rPr>
                      <w:sz w:val="21"/>
                      <w:szCs w:val="21"/>
                    </w:rPr>
                    <w:t>20</w:t>
                  </w:r>
                </w:p>
              </w:tc>
              <w:tc>
                <w:tcPr>
                  <w:tcW w:w="1219" w:type="pct"/>
                  <w:tcBorders>
                    <w:top w:val="single" w:color="auto" w:sz="4" w:space="0"/>
                    <w:left w:val="single" w:color="auto" w:sz="4" w:space="0"/>
                    <w:bottom w:val="single" w:color="auto" w:sz="4" w:space="0"/>
                    <w:right w:val="single" w:color="auto" w:sz="4" w:space="0"/>
                  </w:tcBorders>
                  <w:vAlign w:val="center"/>
                </w:tcPr>
                <w:p>
                  <w:pPr>
                    <w:spacing w:line="240" w:lineRule="auto"/>
                    <w:ind w:firstLine="0" w:firstLineChars="0"/>
                    <w:jc w:val="center"/>
                    <w:rPr>
                      <w:sz w:val="21"/>
                      <w:szCs w:val="21"/>
                    </w:rPr>
                  </w:pPr>
                  <w:r>
                    <w:rPr>
                      <w:rFonts w:hint="eastAsia"/>
                      <w:sz w:val="21"/>
                      <w:szCs w:val="21"/>
                    </w:rPr>
                    <w:t>100</w:t>
                  </w:r>
                </w:p>
              </w:tc>
              <w:tc>
                <w:tcPr>
                  <w:tcW w:w="976" w:type="pct"/>
                  <w:tcBorders>
                    <w:top w:val="single" w:color="auto" w:sz="4" w:space="0"/>
                    <w:left w:val="single" w:color="auto" w:sz="4" w:space="0"/>
                    <w:bottom w:val="single" w:color="auto" w:sz="4" w:space="0"/>
                    <w:right w:val="single" w:color="auto" w:sz="4" w:space="0"/>
                  </w:tcBorders>
                  <w:vAlign w:val="center"/>
                </w:tcPr>
                <w:p>
                  <w:pPr>
                    <w:spacing w:line="240" w:lineRule="auto"/>
                    <w:ind w:firstLine="0" w:firstLineChars="0"/>
                    <w:jc w:val="center"/>
                    <w:rPr>
                      <w:sz w:val="21"/>
                      <w:szCs w:val="21"/>
                    </w:rPr>
                  </w:pPr>
                  <w:r>
                    <w:rPr>
                      <w:sz w:val="21"/>
                      <w:szCs w:val="21"/>
                    </w:rPr>
                    <w:t>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209" w:hRule="atLeast"/>
                <w:jc w:val="center"/>
              </w:trPr>
              <w:tc>
                <w:tcPr>
                  <w:tcW w:w="265" w:type="pct"/>
                  <w:tcBorders>
                    <w:top w:val="single" w:color="auto" w:sz="4" w:space="0"/>
                    <w:left w:val="single" w:color="auto" w:sz="4" w:space="0"/>
                    <w:bottom w:val="single" w:color="auto" w:sz="4" w:space="0"/>
                    <w:right w:val="single" w:color="auto" w:sz="4" w:space="0"/>
                  </w:tcBorders>
                  <w:vAlign w:val="center"/>
                </w:tcPr>
                <w:p>
                  <w:pPr>
                    <w:spacing w:line="240" w:lineRule="auto"/>
                    <w:ind w:firstLine="0" w:firstLineChars="0"/>
                    <w:jc w:val="center"/>
                    <w:rPr>
                      <w:sz w:val="21"/>
                      <w:szCs w:val="21"/>
                    </w:rPr>
                  </w:pPr>
                  <w:r>
                    <w:rPr>
                      <w:rFonts w:hint="eastAsia"/>
                      <w:sz w:val="21"/>
                      <w:szCs w:val="21"/>
                    </w:rPr>
                    <w:t>11</w:t>
                  </w:r>
                </w:p>
              </w:tc>
              <w:tc>
                <w:tcPr>
                  <w:tcW w:w="812" w:type="pct"/>
                  <w:tcBorders>
                    <w:top w:val="single" w:color="auto" w:sz="4" w:space="0"/>
                    <w:left w:val="single" w:color="auto" w:sz="4" w:space="0"/>
                    <w:bottom w:val="single" w:color="auto" w:sz="4" w:space="0"/>
                    <w:right w:val="single" w:color="auto" w:sz="4" w:space="0"/>
                  </w:tcBorders>
                  <w:vAlign w:val="center"/>
                </w:tcPr>
                <w:p>
                  <w:pPr>
                    <w:spacing w:line="240" w:lineRule="auto"/>
                    <w:ind w:firstLine="0" w:firstLineChars="0"/>
                    <w:jc w:val="center"/>
                    <w:rPr>
                      <w:sz w:val="21"/>
                      <w:szCs w:val="21"/>
                    </w:rPr>
                  </w:pPr>
                  <w:r>
                    <w:rPr>
                      <w:rFonts w:hint="eastAsia"/>
                      <w:sz w:val="21"/>
                      <w:szCs w:val="21"/>
                    </w:rPr>
                    <w:t>挥发酚</w:t>
                  </w:r>
                </w:p>
              </w:tc>
              <w:tc>
                <w:tcPr>
                  <w:tcW w:w="374" w:type="pct"/>
                  <w:tcBorders>
                    <w:top w:val="single" w:color="auto" w:sz="4" w:space="0"/>
                    <w:left w:val="single" w:color="auto" w:sz="4" w:space="0"/>
                    <w:bottom w:val="single" w:color="auto" w:sz="4" w:space="0"/>
                    <w:right w:val="single" w:color="auto" w:sz="4" w:space="0"/>
                  </w:tcBorders>
                  <w:vAlign w:val="center"/>
                </w:tcPr>
                <w:p>
                  <w:pPr>
                    <w:spacing w:line="240" w:lineRule="auto"/>
                    <w:ind w:firstLine="0" w:firstLineChars="0"/>
                    <w:jc w:val="center"/>
                    <w:rPr>
                      <w:sz w:val="21"/>
                      <w:szCs w:val="21"/>
                    </w:rPr>
                  </w:pPr>
                  <w:r>
                    <w:rPr>
                      <w:sz w:val="21"/>
                      <w:szCs w:val="21"/>
                    </w:rPr>
                    <w:t>mg/L</w:t>
                  </w:r>
                </w:p>
              </w:tc>
              <w:tc>
                <w:tcPr>
                  <w:tcW w:w="1354" w:type="pct"/>
                  <w:tcBorders>
                    <w:top w:val="single" w:color="auto" w:sz="4" w:space="0"/>
                    <w:left w:val="single" w:color="auto" w:sz="4" w:space="0"/>
                    <w:bottom w:val="single" w:color="auto" w:sz="4" w:space="0"/>
                    <w:right w:val="single" w:color="auto" w:sz="4" w:space="0"/>
                  </w:tcBorders>
                  <w:vAlign w:val="center"/>
                </w:tcPr>
                <w:p>
                  <w:pPr>
                    <w:spacing w:line="240" w:lineRule="auto"/>
                    <w:ind w:firstLine="0" w:firstLineChars="0"/>
                    <w:jc w:val="center"/>
                    <w:rPr>
                      <w:sz w:val="21"/>
                      <w:szCs w:val="21"/>
                    </w:rPr>
                  </w:pPr>
                  <w:r>
                    <w:rPr>
                      <w:rFonts w:hint="eastAsia"/>
                      <w:sz w:val="21"/>
                      <w:szCs w:val="21"/>
                    </w:rPr>
                    <w:t>1.0</w:t>
                  </w:r>
                </w:p>
              </w:tc>
              <w:tc>
                <w:tcPr>
                  <w:tcW w:w="1219" w:type="pct"/>
                  <w:tcBorders>
                    <w:top w:val="single" w:color="auto" w:sz="4" w:space="0"/>
                    <w:left w:val="single" w:color="auto" w:sz="4" w:space="0"/>
                    <w:bottom w:val="single" w:color="auto" w:sz="4" w:space="0"/>
                    <w:right w:val="single" w:color="auto" w:sz="4" w:space="0"/>
                  </w:tcBorders>
                  <w:vAlign w:val="center"/>
                </w:tcPr>
                <w:p>
                  <w:pPr>
                    <w:spacing w:line="240" w:lineRule="auto"/>
                    <w:ind w:firstLine="0" w:firstLineChars="0"/>
                    <w:jc w:val="center"/>
                    <w:rPr>
                      <w:sz w:val="21"/>
                      <w:szCs w:val="21"/>
                    </w:rPr>
                  </w:pPr>
                  <w:r>
                    <w:rPr>
                      <w:rFonts w:hint="eastAsia"/>
                      <w:sz w:val="21"/>
                      <w:szCs w:val="21"/>
                    </w:rPr>
                    <w:t>--</w:t>
                  </w:r>
                </w:p>
              </w:tc>
              <w:tc>
                <w:tcPr>
                  <w:tcW w:w="976" w:type="pct"/>
                  <w:tcBorders>
                    <w:top w:val="single" w:color="auto" w:sz="4" w:space="0"/>
                    <w:left w:val="single" w:color="auto" w:sz="4" w:space="0"/>
                    <w:bottom w:val="single" w:color="auto" w:sz="4" w:space="0"/>
                    <w:right w:val="single" w:color="auto" w:sz="4" w:space="0"/>
                  </w:tcBorders>
                  <w:vAlign w:val="center"/>
                </w:tcPr>
                <w:p>
                  <w:pPr>
                    <w:spacing w:line="240" w:lineRule="auto"/>
                    <w:ind w:firstLine="0" w:firstLineChars="0"/>
                    <w:jc w:val="center"/>
                    <w:rPr>
                      <w:sz w:val="21"/>
                      <w:szCs w:val="21"/>
                    </w:rPr>
                  </w:pPr>
                  <w:r>
                    <w:rPr>
                      <w:rFonts w:hint="eastAsia"/>
                      <w:sz w:val="21"/>
                      <w:szCs w:val="21"/>
                    </w:rPr>
                    <w:t>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209" w:hRule="atLeast"/>
                <w:jc w:val="center"/>
              </w:trPr>
              <w:tc>
                <w:tcPr>
                  <w:tcW w:w="265" w:type="pct"/>
                  <w:tcBorders>
                    <w:top w:val="single" w:color="auto" w:sz="4" w:space="0"/>
                    <w:left w:val="single" w:color="auto" w:sz="4" w:space="0"/>
                    <w:bottom w:val="single" w:color="auto" w:sz="4" w:space="0"/>
                    <w:right w:val="single" w:color="auto" w:sz="4" w:space="0"/>
                  </w:tcBorders>
                  <w:vAlign w:val="center"/>
                </w:tcPr>
                <w:p>
                  <w:pPr>
                    <w:spacing w:line="240" w:lineRule="auto"/>
                    <w:ind w:firstLine="0" w:firstLineChars="0"/>
                    <w:jc w:val="center"/>
                    <w:rPr>
                      <w:sz w:val="21"/>
                      <w:szCs w:val="21"/>
                    </w:rPr>
                  </w:pPr>
                  <w:r>
                    <w:rPr>
                      <w:rFonts w:hint="eastAsia"/>
                      <w:sz w:val="21"/>
                      <w:szCs w:val="21"/>
                    </w:rPr>
                    <w:t>12</w:t>
                  </w:r>
                </w:p>
              </w:tc>
              <w:tc>
                <w:tcPr>
                  <w:tcW w:w="812" w:type="pct"/>
                  <w:tcBorders>
                    <w:top w:val="single" w:color="auto" w:sz="4" w:space="0"/>
                    <w:left w:val="single" w:color="auto" w:sz="4" w:space="0"/>
                    <w:bottom w:val="single" w:color="auto" w:sz="4" w:space="0"/>
                    <w:right w:val="single" w:color="auto" w:sz="4" w:space="0"/>
                  </w:tcBorders>
                  <w:vAlign w:val="center"/>
                </w:tcPr>
                <w:p>
                  <w:pPr>
                    <w:spacing w:line="240" w:lineRule="auto"/>
                    <w:ind w:firstLine="0" w:firstLineChars="0"/>
                    <w:jc w:val="center"/>
                    <w:rPr>
                      <w:sz w:val="21"/>
                      <w:szCs w:val="21"/>
                    </w:rPr>
                  </w:pPr>
                  <w:r>
                    <w:rPr>
                      <w:rFonts w:hint="eastAsia"/>
                      <w:sz w:val="21"/>
                      <w:szCs w:val="21"/>
                    </w:rPr>
                    <w:t>LAS</w:t>
                  </w:r>
                </w:p>
              </w:tc>
              <w:tc>
                <w:tcPr>
                  <w:tcW w:w="374" w:type="pct"/>
                  <w:tcBorders>
                    <w:top w:val="single" w:color="auto" w:sz="4" w:space="0"/>
                    <w:left w:val="single" w:color="auto" w:sz="4" w:space="0"/>
                    <w:bottom w:val="single" w:color="auto" w:sz="4" w:space="0"/>
                    <w:right w:val="single" w:color="auto" w:sz="4" w:space="0"/>
                  </w:tcBorders>
                  <w:vAlign w:val="center"/>
                </w:tcPr>
                <w:p>
                  <w:pPr>
                    <w:spacing w:line="240" w:lineRule="auto"/>
                    <w:ind w:firstLine="0" w:firstLineChars="0"/>
                    <w:jc w:val="center"/>
                    <w:rPr>
                      <w:sz w:val="21"/>
                      <w:szCs w:val="21"/>
                    </w:rPr>
                  </w:pPr>
                  <w:r>
                    <w:rPr>
                      <w:sz w:val="21"/>
                      <w:szCs w:val="21"/>
                    </w:rPr>
                    <w:t>mg/L</w:t>
                  </w:r>
                </w:p>
              </w:tc>
              <w:tc>
                <w:tcPr>
                  <w:tcW w:w="1354" w:type="pct"/>
                  <w:tcBorders>
                    <w:top w:val="single" w:color="auto" w:sz="4" w:space="0"/>
                    <w:left w:val="single" w:color="auto" w:sz="4" w:space="0"/>
                    <w:bottom w:val="single" w:color="auto" w:sz="4" w:space="0"/>
                    <w:right w:val="single" w:color="auto" w:sz="4" w:space="0"/>
                  </w:tcBorders>
                  <w:vAlign w:val="center"/>
                </w:tcPr>
                <w:p>
                  <w:pPr>
                    <w:spacing w:line="240" w:lineRule="auto"/>
                    <w:ind w:firstLine="0" w:firstLineChars="0"/>
                    <w:jc w:val="center"/>
                    <w:rPr>
                      <w:sz w:val="21"/>
                      <w:szCs w:val="21"/>
                    </w:rPr>
                  </w:pPr>
                  <w:r>
                    <w:rPr>
                      <w:rFonts w:hint="eastAsia"/>
                      <w:sz w:val="21"/>
                      <w:szCs w:val="21"/>
                    </w:rPr>
                    <w:t>10</w:t>
                  </w:r>
                </w:p>
              </w:tc>
              <w:tc>
                <w:tcPr>
                  <w:tcW w:w="1219" w:type="pct"/>
                  <w:tcBorders>
                    <w:top w:val="single" w:color="auto" w:sz="4" w:space="0"/>
                    <w:left w:val="single" w:color="auto" w:sz="4" w:space="0"/>
                    <w:bottom w:val="single" w:color="auto" w:sz="4" w:space="0"/>
                    <w:right w:val="single" w:color="auto" w:sz="4" w:space="0"/>
                  </w:tcBorders>
                  <w:vAlign w:val="center"/>
                </w:tcPr>
                <w:p>
                  <w:pPr>
                    <w:spacing w:line="240" w:lineRule="auto"/>
                    <w:ind w:firstLine="0" w:firstLineChars="0"/>
                    <w:jc w:val="center"/>
                    <w:rPr>
                      <w:sz w:val="21"/>
                      <w:szCs w:val="21"/>
                    </w:rPr>
                  </w:pPr>
                  <w:r>
                    <w:rPr>
                      <w:rFonts w:hint="eastAsia"/>
                      <w:sz w:val="21"/>
                      <w:szCs w:val="21"/>
                    </w:rPr>
                    <w:t>10</w:t>
                  </w:r>
                </w:p>
              </w:tc>
              <w:tc>
                <w:tcPr>
                  <w:tcW w:w="976" w:type="pct"/>
                  <w:tcBorders>
                    <w:top w:val="single" w:color="auto" w:sz="4" w:space="0"/>
                    <w:left w:val="single" w:color="auto" w:sz="4" w:space="0"/>
                    <w:bottom w:val="single" w:color="auto" w:sz="4" w:space="0"/>
                    <w:right w:val="single" w:color="auto" w:sz="4" w:space="0"/>
                  </w:tcBorders>
                  <w:vAlign w:val="center"/>
                </w:tcPr>
                <w:p>
                  <w:pPr>
                    <w:spacing w:line="240" w:lineRule="auto"/>
                    <w:ind w:firstLine="0" w:firstLineChars="0"/>
                    <w:jc w:val="center"/>
                    <w:rPr>
                      <w:sz w:val="21"/>
                      <w:szCs w:val="21"/>
                    </w:rPr>
                  </w:pPr>
                  <w:r>
                    <w:rPr>
                      <w:rFonts w:hint="eastAsia"/>
                      <w:sz w:val="21"/>
                      <w:szCs w:val="21"/>
                    </w:rPr>
                    <w:t>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209" w:hRule="atLeast"/>
                <w:jc w:val="center"/>
              </w:trPr>
              <w:tc>
                <w:tcPr>
                  <w:tcW w:w="265" w:type="pct"/>
                  <w:tcBorders>
                    <w:top w:val="single" w:color="auto" w:sz="4" w:space="0"/>
                    <w:left w:val="single" w:color="auto" w:sz="4" w:space="0"/>
                    <w:bottom w:val="single" w:color="auto" w:sz="4" w:space="0"/>
                    <w:right w:val="single" w:color="auto" w:sz="4" w:space="0"/>
                  </w:tcBorders>
                  <w:vAlign w:val="center"/>
                </w:tcPr>
                <w:p>
                  <w:pPr>
                    <w:spacing w:line="240" w:lineRule="auto"/>
                    <w:ind w:firstLine="0" w:firstLineChars="0"/>
                    <w:jc w:val="center"/>
                    <w:rPr>
                      <w:sz w:val="21"/>
                      <w:szCs w:val="21"/>
                    </w:rPr>
                  </w:pPr>
                  <w:r>
                    <w:rPr>
                      <w:rFonts w:hint="eastAsia"/>
                      <w:sz w:val="21"/>
                      <w:szCs w:val="21"/>
                    </w:rPr>
                    <w:t>13</w:t>
                  </w:r>
                </w:p>
              </w:tc>
              <w:tc>
                <w:tcPr>
                  <w:tcW w:w="812" w:type="pct"/>
                  <w:tcBorders>
                    <w:top w:val="single" w:color="auto" w:sz="4" w:space="0"/>
                    <w:left w:val="single" w:color="auto" w:sz="4" w:space="0"/>
                    <w:bottom w:val="single" w:color="auto" w:sz="4" w:space="0"/>
                    <w:right w:val="single" w:color="auto" w:sz="4" w:space="0"/>
                  </w:tcBorders>
                  <w:vAlign w:val="center"/>
                </w:tcPr>
                <w:p>
                  <w:pPr>
                    <w:spacing w:line="240" w:lineRule="auto"/>
                    <w:ind w:firstLine="0" w:firstLineChars="0"/>
                    <w:jc w:val="center"/>
                    <w:rPr>
                      <w:sz w:val="21"/>
                      <w:szCs w:val="21"/>
                    </w:rPr>
                  </w:pPr>
                  <w:r>
                    <w:rPr>
                      <w:rFonts w:hint="eastAsia"/>
                      <w:sz w:val="21"/>
                      <w:szCs w:val="21"/>
                    </w:rPr>
                    <w:t>粪大肠菌群数</w:t>
                  </w:r>
                </w:p>
              </w:tc>
              <w:tc>
                <w:tcPr>
                  <w:tcW w:w="374" w:type="pct"/>
                  <w:tcBorders>
                    <w:top w:val="single" w:color="auto" w:sz="4" w:space="0"/>
                    <w:left w:val="single" w:color="auto" w:sz="4" w:space="0"/>
                    <w:bottom w:val="single" w:color="auto" w:sz="4" w:space="0"/>
                    <w:right w:val="single" w:color="auto" w:sz="4" w:space="0"/>
                  </w:tcBorders>
                  <w:vAlign w:val="center"/>
                </w:tcPr>
                <w:p>
                  <w:pPr>
                    <w:spacing w:line="240" w:lineRule="auto"/>
                    <w:ind w:firstLine="0" w:firstLineChars="0"/>
                    <w:jc w:val="center"/>
                    <w:rPr>
                      <w:sz w:val="21"/>
                      <w:szCs w:val="21"/>
                    </w:rPr>
                  </w:pPr>
                  <w:r>
                    <w:rPr>
                      <w:sz w:val="21"/>
                      <w:szCs w:val="21"/>
                    </w:rPr>
                    <w:t>MPN/L</w:t>
                  </w:r>
                </w:p>
              </w:tc>
              <w:tc>
                <w:tcPr>
                  <w:tcW w:w="1354" w:type="pct"/>
                  <w:tcBorders>
                    <w:top w:val="single" w:color="auto" w:sz="4" w:space="0"/>
                    <w:left w:val="single" w:color="auto" w:sz="4" w:space="0"/>
                    <w:bottom w:val="single" w:color="auto" w:sz="4" w:space="0"/>
                    <w:right w:val="single" w:color="auto" w:sz="4" w:space="0"/>
                  </w:tcBorders>
                  <w:vAlign w:val="center"/>
                </w:tcPr>
                <w:p>
                  <w:pPr>
                    <w:spacing w:line="240" w:lineRule="auto"/>
                    <w:ind w:firstLine="0" w:firstLineChars="0"/>
                    <w:jc w:val="center"/>
                    <w:rPr>
                      <w:sz w:val="21"/>
                      <w:szCs w:val="21"/>
                    </w:rPr>
                  </w:pPr>
                  <w:r>
                    <w:rPr>
                      <w:rFonts w:hint="eastAsia"/>
                      <w:sz w:val="21"/>
                      <w:szCs w:val="21"/>
                    </w:rPr>
                    <w:t>5000</w:t>
                  </w:r>
                </w:p>
              </w:tc>
              <w:tc>
                <w:tcPr>
                  <w:tcW w:w="1219" w:type="pct"/>
                  <w:tcBorders>
                    <w:top w:val="single" w:color="auto" w:sz="4" w:space="0"/>
                    <w:left w:val="single" w:color="auto" w:sz="4" w:space="0"/>
                    <w:bottom w:val="single" w:color="auto" w:sz="4" w:space="0"/>
                    <w:right w:val="single" w:color="auto" w:sz="4" w:space="0"/>
                  </w:tcBorders>
                  <w:vAlign w:val="center"/>
                </w:tcPr>
                <w:p>
                  <w:pPr>
                    <w:spacing w:line="240" w:lineRule="auto"/>
                    <w:ind w:firstLine="0" w:firstLineChars="0"/>
                    <w:jc w:val="center"/>
                    <w:rPr>
                      <w:sz w:val="21"/>
                      <w:szCs w:val="21"/>
                    </w:rPr>
                  </w:pPr>
                  <w:r>
                    <w:rPr>
                      <w:rFonts w:hint="eastAsia"/>
                      <w:sz w:val="21"/>
                      <w:szCs w:val="21"/>
                    </w:rPr>
                    <w:t>--</w:t>
                  </w:r>
                </w:p>
              </w:tc>
              <w:tc>
                <w:tcPr>
                  <w:tcW w:w="976" w:type="pct"/>
                  <w:tcBorders>
                    <w:top w:val="single" w:color="auto" w:sz="4" w:space="0"/>
                    <w:left w:val="single" w:color="auto" w:sz="4" w:space="0"/>
                    <w:bottom w:val="single" w:color="auto" w:sz="4" w:space="0"/>
                    <w:right w:val="single" w:color="auto" w:sz="4" w:space="0"/>
                  </w:tcBorders>
                  <w:vAlign w:val="center"/>
                </w:tcPr>
                <w:p>
                  <w:pPr>
                    <w:spacing w:line="240" w:lineRule="auto"/>
                    <w:ind w:firstLine="0" w:firstLineChars="0"/>
                    <w:jc w:val="center"/>
                    <w:rPr>
                      <w:sz w:val="21"/>
                      <w:szCs w:val="21"/>
                    </w:rPr>
                  </w:pPr>
                  <w:r>
                    <w:rPr>
                      <w:rFonts w:hint="eastAsia"/>
                      <w:sz w:val="21"/>
                      <w:szCs w:val="21"/>
                    </w:rPr>
                    <w:t>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209" w:hRule="atLeast"/>
                <w:jc w:val="center"/>
              </w:trPr>
              <w:tc>
                <w:tcPr>
                  <w:tcW w:w="5000" w:type="pct"/>
                  <w:gridSpan w:val="6"/>
                  <w:tcBorders>
                    <w:top w:val="single" w:color="auto" w:sz="4" w:space="0"/>
                    <w:left w:val="single" w:color="auto" w:sz="4" w:space="0"/>
                    <w:bottom w:val="single" w:color="auto" w:sz="4" w:space="0"/>
                    <w:right w:val="single" w:color="auto" w:sz="4" w:space="0"/>
                  </w:tcBorders>
                  <w:vAlign w:val="center"/>
                </w:tcPr>
                <w:p>
                  <w:pPr>
                    <w:spacing w:line="240" w:lineRule="auto"/>
                    <w:ind w:firstLine="0" w:firstLineChars="0"/>
                    <w:jc w:val="left"/>
                    <w:rPr>
                      <w:sz w:val="21"/>
                      <w:szCs w:val="21"/>
                      <w:highlight w:val="yellow"/>
                    </w:rPr>
                  </w:pPr>
                </w:p>
              </w:tc>
            </w:tr>
          </w:tbl>
          <w:p>
            <w:pPr>
              <w:ind w:right="46" w:rightChars="19" w:firstLine="0" w:firstLineChars="0"/>
              <w:jc w:val="left"/>
              <w:rPr>
                <w:b/>
              </w:rPr>
            </w:pPr>
            <w:r>
              <w:rPr>
                <w:b/>
              </w:rPr>
              <w:t>3、噪声</w:t>
            </w:r>
          </w:p>
          <w:p>
            <w:pPr>
              <w:ind w:right="46" w:rightChars="19" w:firstLine="480"/>
              <w:jc w:val="left"/>
            </w:pPr>
            <w:r>
              <w:rPr>
                <w:rFonts w:hint="eastAsia"/>
              </w:rPr>
              <w:t>施工期噪声执行《建筑施工场界环境噪声排放标准》（GB 12523-2011）标准；</w:t>
            </w:r>
          </w:p>
          <w:p>
            <w:pPr>
              <w:ind w:right="46" w:rightChars="19" w:firstLine="480"/>
              <w:jc w:val="left"/>
            </w:pPr>
            <w:r>
              <w:rPr>
                <w:rFonts w:hint="eastAsia"/>
              </w:rPr>
              <w:t>运营期噪声：根据《石家庄市长安区、桥西区、新华区、裕华区、藁城区、鹿泉区、栾城区、高新技术产业开发区、循环化工园区声环境功能区划分方案》及其补充说明，本项目所在地位于高新区1类声功能区片区：石德线一昆仑大街一闽江道一祁连街一珠江大道一珠峰大街一学苑路一祁连街一仓丰东路一复兴大街一石德线，北、南、东厂界噪声执行《工业企业厂界环境噪声排放标准》（GB12348-2008）1类标准；西厂界临近封龙大街，西厂界噪声执行《工业企业厂界环境噪声排放标准》（GB12348-2008）4类标准。</w:t>
            </w:r>
          </w:p>
          <w:p>
            <w:pPr>
              <w:pStyle w:val="14"/>
            </w:pPr>
            <w:r>
              <w:t>表</w:t>
            </w:r>
            <w:r>
              <w:rPr>
                <w:rFonts w:hint="eastAsia"/>
              </w:rPr>
              <w:t>17</w:t>
            </w:r>
            <w:r>
              <w:t xml:space="preserve">  本项目噪声排放标准</w:t>
            </w:r>
          </w:p>
          <w:tbl>
            <w:tblPr>
              <w:tblStyle w:val="16"/>
              <w:tblW w:w="494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08"/>
              <w:gridCol w:w="1006"/>
              <w:gridCol w:w="1561"/>
              <w:gridCol w:w="1559"/>
              <w:gridCol w:w="35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583" w:type="pct"/>
                  <w:tcBorders>
                    <w:top w:val="single" w:color="auto" w:sz="4" w:space="0"/>
                    <w:left w:val="single" w:color="auto" w:sz="4" w:space="0"/>
                    <w:bottom w:val="single" w:color="auto" w:sz="4" w:space="0"/>
                    <w:right w:val="single" w:color="auto" w:sz="4" w:space="0"/>
                  </w:tcBorders>
                  <w:tcMar>
                    <w:top w:w="0" w:type="dxa"/>
                    <w:left w:w="0" w:type="dxa"/>
                    <w:bottom w:w="0" w:type="dxa"/>
                    <w:right w:w="0" w:type="dxa"/>
                  </w:tcMar>
                  <w:vAlign w:val="center"/>
                </w:tcPr>
                <w:p>
                  <w:pPr>
                    <w:pStyle w:val="28"/>
                    <w:spacing w:line="240" w:lineRule="auto"/>
                    <w:ind w:right="46" w:rightChars="19"/>
                  </w:pPr>
                  <w:r>
                    <w:t>时段</w:t>
                  </w:r>
                </w:p>
              </w:tc>
              <w:tc>
                <w:tcPr>
                  <w:tcW w:w="582" w:type="pct"/>
                  <w:tcBorders>
                    <w:top w:val="single" w:color="auto" w:sz="4" w:space="0"/>
                    <w:left w:val="single" w:color="auto" w:sz="4" w:space="0"/>
                    <w:bottom w:val="single" w:color="auto" w:sz="4" w:space="0"/>
                    <w:right w:val="single" w:color="auto" w:sz="4" w:space="0"/>
                  </w:tcBorders>
                  <w:tcMar>
                    <w:top w:w="0" w:type="dxa"/>
                    <w:left w:w="0" w:type="dxa"/>
                    <w:bottom w:w="0" w:type="dxa"/>
                    <w:right w:w="0" w:type="dxa"/>
                  </w:tcMar>
                  <w:vAlign w:val="center"/>
                </w:tcPr>
                <w:p>
                  <w:pPr>
                    <w:pStyle w:val="28"/>
                    <w:spacing w:line="240" w:lineRule="auto"/>
                    <w:ind w:right="46" w:rightChars="19"/>
                  </w:pPr>
                  <w:r>
                    <w:t>项目</w:t>
                  </w:r>
                </w:p>
              </w:tc>
              <w:tc>
                <w:tcPr>
                  <w:tcW w:w="903" w:type="pct"/>
                  <w:tcBorders>
                    <w:top w:val="single" w:color="auto" w:sz="4" w:space="0"/>
                    <w:left w:val="single" w:color="auto" w:sz="4" w:space="0"/>
                    <w:bottom w:val="single" w:color="auto" w:sz="4" w:space="0"/>
                    <w:right w:val="single" w:color="auto" w:sz="4" w:space="0"/>
                  </w:tcBorders>
                  <w:tcMar>
                    <w:top w:w="0" w:type="dxa"/>
                    <w:left w:w="0" w:type="dxa"/>
                    <w:bottom w:w="0" w:type="dxa"/>
                    <w:right w:w="0" w:type="dxa"/>
                  </w:tcMar>
                  <w:vAlign w:val="center"/>
                </w:tcPr>
                <w:p>
                  <w:pPr>
                    <w:pStyle w:val="28"/>
                    <w:spacing w:line="240" w:lineRule="auto"/>
                    <w:ind w:right="46" w:rightChars="19"/>
                  </w:pPr>
                  <w:r>
                    <w:t>昼间</w:t>
                  </w:r>
                </w:p>
              </w:tc>
              <w:tc>
                <w:tcPr>
                  <w:tcW w:w="902" w:type="pct"/>
                  <w:tcBorders>
                    <w:top w:val="single" w:color="auto" w:sz="4" w:space="0"/>
                    <w:left w:val="single" w:color="auto" w:sz="4" w:space="0"/>
                    <w:bottom w:val="single" w:color="auto" w:sz="4" w:space="0"/>
                    <w:right w:val="single" w:color="auto" w:sz="4" w:space="0"/>
                  </w:tcBorders>
                  <w:tcMar>
                    <w:top w:w="0" w:type="dxa"/>
                    <w:left w:w="0" w:type="dxa"/>
                    <w:bottom w:w="0" w:type="dxa"/>
                    <w:right w:w="0" w:type="dxa"/>
                  </w:tcMar>
                  <w:vAlign w:val="center"/>
                </w:tcPr>
                <w:p>
                  <w:pPr>
                    <w:pStyle w:val="28"/>
                    <w:spacing w:line="240" w:lineRule="auto"/>
                    <w:ind w:right="46" w:rightChars="19"/>
                  </w:pPr>
                  <w:r>
                    <w:t>夜间</w:t>
                  </w:r>
                </w:p>
              </w:tc>
              <w:tc>
                <w:tcPr>
                  <w:tcW w:w="2029" w:type="pct"/>
                  <w:tcBorders>
                    <w:top w:val="single" w:color="auto" w:sz="4" w:space="0"/>
                    <w:left w:val="single" w:color="auto" w:sz="4" w:space="0"/>
                    <w:bottom w:val="single" w:color="auto" w:sz="4" w:space="0"/>
                    <w:right w:val="single" w:color="auto" w:sz="4" w:space="0"/>
                  </w:tcBorders>
                  <w:tcMar>
                    <w:top w:w="0" w:type="dxa"/>
                    <w:left w:w="0" w:type="dxa"/>
                    <w:bottom w:w="0" w:type="dxa"/>
                    <w:right w:w="0" w:type="dxa"/>
                  </w:tcMar>
                  <w:vAlign w:val="center"/>
                </w:tcPr>
                <w:p>
                  <w:pPr>
                    <w:pStyle w:val="28"/>
                    <w:spacing w:line="240" w:lineRule="auto"/>
                    <w:ind w:right="46" w:rightChars="19"/>
                  </w:pPr>
                  <w:r>
                    <w:t>标准来源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583" w:type="pct"/>
                  <w:tcBorders>
                    <w:top w:val="single" w:color="auto" w:sz="4" w:space="0"/>
                    <w:left w:val="single" w:color="auto" w:sz="4" w:space="0"/>
                    <w:bottom w:val="single" w:color="auto" w:sz="4" w:space="0"/>
                    <w:right w:val="single" w:color="auto" w:sz="4" w:space="0"/>
                  </w:tcBorders>
                  <w:tcMar>
                    <w:top w:w="0" w:type="dxa"/>
                    <w:left w:w="0" w:type="dxa"/>
                    <w:bottom w:w="0" w:type="dxa"/>
                    <w:right w:w="0" w:type="dxa"/>
                  </w:tcMar>
                  <w:vAlign w:val="center"/>
                </w:tcPr>
                <w:p>
                  <w:pPr>
                    <w:pStyle w:val="28"/>
                    <w:spacing w:line="240" w:lineRule="auto"/>
                    <w:ind w:right="46" w:rightChars="19"/>
                  </w:pPr>
                  <w:r>
                    <w:rPr>
                      <w:rFonts w:hint="eastAsia"/>
                    </w:rPr>
                    <w:t>施工期</w:t>
                  </w:r>
                </w:p>
              </w:tc>
              <w:tc>
                <w:tcPr>
                  <w:tcW w:w="582" w:type="pct"/>
                  <w:tcBorders>
                    <w:top w:val="single" w:color="auto" w:sz="4" w:space="0"/>
                    <w:left w:val="single" w:color="auto" w:sz="4" w:space="0"/>
                    <w:bottom w:val="single" w:color="auto" w:sz="4" w:space="0"/>
                    <w:right w:val="single" w:color="auto" w:sz="4" w:space="0"/>
                  </w:tcBorders>
                  <w:tcMar>
                    <w:top w:w="0" w:type="dxa"/>
                    <w:left w:w="0" w:type="dxa"/>
                    <w:bottom w:w="0" w:type="dxa"/>
                    <w:right w:w="0" w:type="dxa"/>
                  </w:tcMar>
                  <w:vAlign w:val="center"/>
                </w:tcPr>
                <w:p>
                  <w:pPr>
                    <w:pStyle w:val="28"/>
                    <w:spacing w:line="240" w:lineRule="auto"/>
                    <w:ind w:right="46" w:rightChars="19"/>
                  </w:pPr>
                  <w:r>
                    <w:rPr>
                      <w:rFonts w:hint="eastAsia"/>
                    </w:rPr>
                    <w:t>厂界</w:t>
                  </w:r>
                </w:p>
              </w:tc>
              <w:tc>
                <w:tcPr>
                  <w:tcW w:w="903" w:type="pct"/>
                  <w:tcBorders>
                    <w:top w:val="single" w:color="auto" w:sz="4" w:space="0"/>
                    <w:left w:val="single" w:color="auto" w:sz="4" w:space="0"/>
                    <w:bottom w:val="single" w:color="auto" w:sz="4" w:space="0"/>
                    <w:right w:val="single" w:color="auto" w:sz="4" w:space="0"/>
                  </w:tcBorders>
                  <w:tcMar>
                    <w:top w:w="0" w:type="dxa"/>
                    <w:left w:w="0" w:type="dxa"/>
                    <w:bottom w:w="0" w:type="dxa"/>
                    <w:right w:w="0" w:type="dxa"/>
                  </w:tcMar>
                  <w:vAlign w:val="center"/>
                </w:tcPr>
                <w:p>
                  <w:pPr>
                    <w:pStyle w:val="28"/>
                  </w:pPr>
                  <w:r>
                    <w:rPr>
                      <w:rFonts w:hint="eastAsia"/>
                    </w:rPr>
                    <w:t>70</w:t>
                  </w:r>
                  <w:r>
                    <w:t>dB（A）</w:t>
                  </w:r>
                </w:p>
              </w:tc>
              <w:tc>
                <w:tcPr>
                  <w:tcW w:w="902" w:type="pct"/>
                  <w:tcBorders>
                    <w:top w:val="single" w:color="auto" w:sz="4" w:space="0"/>
                    <w:left w:val="single" w:color="auto" w:sz="4" w:space="0"/>
                    <w:bottom w:val="single" w:color="auto" w:sz="4" w:space="0"/>
                    <w:right w:val="single" w:color="auto" w:sz="4" w:space="0"/>
                  </w:tcBorders>
                  <w:tcMar>
                    <w:top w:w="0" w:type="dxa"/>
                    <w:left w:w="0" w:type="dxa"/>
                    <w:bottom w:w="0" w:type="dxa"/>
                    <w:right w:w="0" w:type="dxa"/>
                  </w:tcMar>
                  <w:vAlign w:val="center"/>
                </w:tcPr>
                <w:p>
                  <w:pPr>
                    <w:pStyle w:val="28"/>
                  </w:pPr>
                  <w:r>
                    <w:rPr>
                      <w:rFonts w:hint="eastAsia"/>
                    </w:rPr>
                    <w:t>55</w:t>
                  </w:r>
                  <w:r>
                    <w:t>dB（A）</w:t>
                  </w:r>
                </w:p>
              </w:tc>
              <w:tc>
                <w:tcPr>
                  <w:tcW w:w="2029" w:type="pct"/>
                  <w:tcBorders>
                    <w:top w:val="single" w:color="auto" w:sz="4" w:space="0"/>
                    <w:left w:val="single" w:color="auto" w:sz="4" w:space="0"/>
                    <w:bottom w:val="single" w:color="auto" w:sz="4" w:space="0"/>
                    <w:right w:val="single" w:color="auto" w:sz="4" w:space="0"/>
                  </w:tcBorders>
                  <w:tcMar>
                    <w:top w:w="0" w:type="dxa"/>
                    <w:left w:w="0" w:type="dxa"/>
                    <w:bottom w:w="0" w:type="dxa"/>
                    <w:right w:w="0" w:type="dxa"/>
                  </w:tcMar>
                  <w:vAlign w:val="center"/>
                </w:tcPr>
                <w:p>
                  <w:pPr>
                    <w:pStyle w:val="28"/>
                  </w:pPr>
                  <w:r>
                    <w:rPr>
                      <w:rFonts w:hint="eastAsia"/>
                    </w:rPr>
                    <w:t>《建筑施工厂界环境噪声排放标准》（GB12523-2011）中排放限值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583" w:type="pct"/>
                  <w:vMerge w:val="restart"/>
                  <w:tcBorders>
                    <w:top w:val="single" w:color="auto" w:sz="4" w:space="0"/>
                    <w:left w:val="single" w:color="auto" w:sz="4" w:space="0"/>
                    <w:right w:val="single" w:color="auto" w:sz="4" w:space="0"/>
                  </w:tcBorders>
                  <w:tcMar>
                    <w:top w:w="0" w:type="dxa"/>
                    <w:left w:w="0" w:type="dxa"/>
                    <w:bottom w:w="0" w:type="dxa"/>
                    <w:right w:w="0" w:type="dxa"/>
                  </w:tcMar>
                  <w:vAlign w:val="center"/>
                </w:tcPr>
                <w:p>
                  <w:pPr>
                    <w:pStyle w:val="28"/>
                    <w:spacing w:line="240" w:lineRule="auto"/>
                    <w:ind w:right="46" w:rightChars="19"/>
                  </w:pPr>
                  <w:r>
                    <w:t>运营期</w:t>
                  </w:r>
                </w:p>
              </w:tc>
              <w:tc>
                <w:tcPr>
                  <w:tcW w:w="582" w:type="pct"/>
                  <w:tcBorders>
                    <w:left w:val="single" w:color="auto" w:sz="4" w:space="0"/>
                    <w:right w:val="single" w:color="auto" w:sz="4" w:space="0"/>
                  </w:tcBorders>
                  <w:tcMar>
                    <w:top w:w="0" w:type="dxa"/>
                    <w:left w:w="0" w:type="dxa"/>
                    <w:bottom w:w="0" w:type="dxa"/>
                    <w:right w:w="0" w:type="dxa"/>
                  </w:tcMar>
                  <w:vAlign w:val="center"/>
                </w:tcPr>
                <w:p>
                  <w:pPr>
                    <w:pStyle w:val="28"/>
                    <w:spacing w:line="240" w:lineRule="auto"/>
                    <w:ind w:right="46" w:rightChars="19"/>
                  </w:pPr>
                  <w:r>
                    <w:rPr>
                      <w:rFonts w:hint="eastAsia"/>
                    </w:rPr>
                    <w:t>北、南、东厂界</w:t>
                  </w:r>
                </w:p>
              </w:tc>
              <w:tc>
                <w:tcPr>
                  <w:tcW w:w="903" w:type="pct"/>
                  <w:tcBorders>
                    <w:top w:val="single" w:color="auto" w:sz="4" w:space="0"/>
                    <w:left w:val="single" w:color="auto" w:sz="4" w:space="0"/>
                    <w:bottom w:val="single" w:color="auto" w:sz="4" w:space="0"/>
                    <w:right w:val="single" w:color="auto" w:sz="4" w:space="0"/>
                  </w:tcBorders>
                  <w:tcMar>
                    <w:top w:w="0" w:type="dxa"/>
                    <w:left w:w="0" w:type="dxa"/>
                    <w:bottom w:w="0" w:type="dxa"/>
                    <w:right w:w="0" w:type="dxa"/>
                  </w:tcMar>
                  <w:vAlign w:val="center"/>
                </w:tcPr>
                <w:p>
                  <w:pPr>
                    <w:pStyle w:val="28"/>
                    <w:spacing w:line="240" w:lineRule="auto"/>
                    <w:ind w:right="46" w:rightChars="19"/>
                  </w:pPr>
                  <w:r>
                    <w:rPr>
                      <w:rFonts w:hint="eastAsia"/>
                    </w:rPr>
                    <w:t>55</w:t>
                  </w:r>
                  <w:r>
                    <w:t>dB（A）</w:t>
                  </w:r>
                </w:p>
              </w:tc>
              <w:tc>
                <w:tcPr>
                  <w:tcW w:w="902" w:type="pct"/>
                  <w:tcBorders>
                    <w:top w:val="single" w:color="auto" w:sz="4" w:space="0"/>
                    <w:left w:val="single" w:color="auto" w:sz="4" w:space="0"/>
                    <w:bottom w:val="single" w:color="auto" w:sz="4" w:space="0"/>
                    <w:right w:val="single" w:color="auto" w:sz="4" w:space="0"/>
                  </w:tcBorders>
                  <w:tcMar>
                    <w:top w:w="0" w:type="dxa"/>
                    <w:left w:w="0" w:type="dxa"/>
                    <w:bottom w:w="0" w:type="dxa"/>
                    <w:right w:w="0" w:type="dxa"/>
                  </w:tcMar>
                  <w:vAlign w:val="center"/>
                </w:tcPr>
                <w:p>
                  <w:pPr>
                    <w:pStyle w:val="28"/>
                    <w:spacing w:line="240" w:lineRule="auto"/>
                    <w:ind w:right="46" w:rightChars="19"/>
                  </w:pPr>
                  <w:r>
                    <w:rPr>
                      <w:rFonts w:hint="eastAsia"/>
                    </w:rPr>
                    <w:t>4</w:t>
                  </w:r>
                  <w:r>
                    <w:t>5dB（A）</w:t>
                  </w:r>
                </w:p>
              </w:tc>
              <w:tc>
                <w:tcPr>
                  <w:tcW w:w="2029" w:type="pct"/>
                  <w:tcBorders>
                    <w:top w:val="single" w:color="auto" w:sz="4" w:space="0"/>
                    <w:left w:val="single" w:color="auto" w:sz="4" w:space="0"/>
                    <w:bottom w:val="single" w:color="auto" w:sz="4" w:space="0"/>
                    <w:right w:val="single" w:color="auto" w:sz="4" w:space="0"/>
                  </w:tcBorders>
                  <w:tcMar>
                    <w:top w:w="0" w:type="dxa"/>
                    <w:left w:w="0" w:type="dxa"/>
                    <w:bottom w:w="0" w:type="dxa"/>
                    <w:right w:w="0" w:type="dxa"/>
                  </w:tcMar>
                  <w:vAlign w:val="center"/>
                </w:tcPr>
                <w:p>
                  <w:pPr>
                    <w:pStyle w:val="28"/>
                    <w:spacing w:line="240" w:lineRule="auto"/>
                    <w:ind w:right="46" w:rightChars="19"/>
                  </w:pPr>
                  <w:r>
                    <w:t>《工业企业厂界环境噪声排放标准》（GB12348-2008）中</w:t>
                  </w:r>
                  <w:r>
                    <w:rPr>
                      <w:rFonts w:hint="eastAsia"/>
                    </w:rPr>
                    <w:t>1</w:t>
                  </w:r>
                  <w:r>
                    <w:t>类功能区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583" w:type="pct"/>
                  <w:vMerge w:val="continue"/>
                  <w:tcBorders>
                    <w:left w:val="single" w:color="auto" w:sz="4" w:space="0"/>
                    <w:right w:val="single" w:color="auto" w:sz="4" w:space="0"/>
                  </w:tcBorders>
                  <w:tcMar>
                    <w:top w:w="0" w:type="dxa"/>
                    <w:left w:w="0" w:type="dxa"/>
                    <w:bottom w:w="0" w:type="dxa"/>
                    <w:right w:w="0" w:type="dxa"/>
                  </w:tcMar>
                  <w:vAlign w:val="center"/>
                </w:tcPr>
                <w:p>
                  <w:pPr>
                    <w:pStyle w:val="28"/>
                    <w:spacing w:line="240" w:lineRule="auto"/>
                    <w:ind w:right="46" w:rightChars="19"/>
                  </w:pPr>
                </w:p>
              </w:tc>
              <w:tc>
                <w:tcPr>
                  <w:tcW w:w="582" w:type="pct"/>
                  <w:tcBorders>
                    <w:left w:val="single" w:color="auto" w:sz="4" w:space="0"/>
                    <w:right w:val="single" w:color="auto" w:sz="4" w:space="0"/>
                  </w:tcBorders>
                  <w:tcMar>
                    <w:top w:w="0" w:type="dxa"/>
                    <w:left w:w="0" w:type="dxa"/>
                    <w:bottom w:w="0" w:type="dxa"/>
                    <w:right w:w="0" w:type="dxa"/>
                  </w:tcMar>
                  <w:vAlign w:val="center"/>
                </w:tcPr>
                <w:p>
                  <w:pPr>
                    <w:pStyle w:val="28"/>
                    <w:spacing w:line="240" w:lineRule="auto"/>
                    <w:ind w:right="46" w:rightChars="19"/>
                  </w:pPr>
                  <w:r>
                    <w:rPr>
                      <w:rFonts w:hint="eastAsia"/>
                    </w:rPr>
                    <w:t>西厂界</w:t>
                  </w:r>
                </w:p>
              </w:tc>
              <w:tc>
                <w:tcPr>
                  <w:tcW w:w="903" w:type="pct"/>
                  <w:tcBorders>
                    <w:top w:val="single" w:color="auto" w:sz="4" w:space="0"/>
                    <w:left w:val="single" w:color="auto" w:sz="4" w:space="0"/>
                    <w:bottom w:val="single" w:color="auto" w:sz="4" w:space="0"/>
                    <w:right w:val="single" w:color="auto" w:sz="4" w:space="0"/>
                  </w:tcBorders>
                  <w:tcMar>
                    <w:top w:w="0" w:type="dxa"/>
                    <w:left w:w="0" w:type="dxa"/>
                    <w:bottom w:w="0" w:type="dxa"/>
                    <w:right w:w="0" w:type="dxa"/>
                  </w:tcMar>
                  <w:vAlign w:val="center"/>
                </w:tcPr>
                <w:p>
                  <w:pPr>
                    <w:pStyle w:val="28"/>
                    <w:spacing w:line="240" w:lineRule="auto"/>
                    <w:ind w:right="46" w:rightChars="19"/>
                  </w:pPr>
                  <w:r>
                    <w:rPr>
                      <w:rFonts w:hint="eastAsia"/>
                    </w:rPr>
                    <w:t>70</w:t>
                  </w:r>
                  <w:r>
                    <w:t>dB（A）</w:t>
                  </w:r>
                </w:p>
              </w:tc>
              <w:tc>
                <w:tcPr>
                  <w:tcW w:w="902" w:type="pct"/>
                  <w:tcBorders>
                    <w:top w:val="single" w:color="auto" w:sz="4" w:space="0"/>
                    <w:left w:val="single" w:color="auto" w:sz="4" w:space="0"/>
                    <w:bottom w:val="single" w:color="auto" w:sz="4" w:space="0"/>
                    <w:right w:val="single" w:color="auto" w:sz="4" w:space="0"/>
                  </w:tcBorders>
                  <w:tcMar>
                    <w:top w:w="0" w:type="dxa"/>
                    <w:left w:w="0" w:type="dxa"/>
                    <w:bottom w:w="0" w:type="dxa"/>
                    <w:right w:w="0" w:type="dxa"/>
                  </w:tcMar>
                  <w:vAlign w:val="center"/>
                </w:tcPr>
                <w:p>
                  <w:pPr>
                    <w:pStyle w:val="28"/>
                    <w:spacing w:line="240" w:lineRule="auto"/>
                    <w:ind w:right="46" w:rightChars="19"/>
                  </w:pPr>
                  <w:r>
                    <w:rPr>
                      <w:rFonts w:hint="eastAsia"/>
                    </w:rPr>
                    <w:t>5</w:t>
                  </w:r>
                  <w:r>
                    <w:t>5dB（A）</w:t>
                  </w:r>
                </w:p>
              </w:tc>
              <w:tc>
                <w:tcPr>
                  <w:tcW w:w="2029" w:type="pct"/>
                  <w:tcBorders>
                    <w:top w:val="single" w:color="auto" w:sz="4" w:space="0"/>
                    <w:left w:val="single" w:color="auto" w:sz="4" w:space="0"/>
                    <w:bottom w:val="single" w:color="auto" w:sz="4" w:space="0"/>
                    <w:right w:val="single" w:color="auto" w:sz="4" w:space="0"/>
                  </w:tcBorders>
                  <w:tcMar>
                    <w:top w:w="0" w:type="dxa"/>
                    <w:left w:w="0" w:type="dxa"/>
                    <w:bottom w:w="0" w:type="dxa"/>
                    <w:right w:w="0" w:type="dxa"/>
                  </w:tcMar>
                  <w:vAlign w:val="center"/>
                </w:tcPr>
                <w:p>
                  <w:pPr>
                    <w:pStyle w:val="28"/>
                    <w:spacing w:line="240" w:lineRule="auto"/>
                    <w:ind w:right="46" w:rightChars="19"/>
                  </w:pPr>
                  <w:r>
                    <w:t>《工业企业厂界环境噪声排放标准》（GB12348-2008）中</w:t>
                  </w:r>
                  <w:r>
                    <w:rPr>
                      <w:rFonts w:hint="eastAsia"/>
                    </w:rPr>
                    <w:t>4</w:t>
                  </w:r>
                  <w:r>
                    <w:t>类功能区</w:t>
                  </w:r>
                </w:p>
              </w:tc>
            </w:tr>
          </w:tbl>
          <w:p>
            <w:pPr>
              <w:ind w:right="46" w:rightChars="19" w:firstLine="0" w:firstLineChars="0"/>
              <w:jc w:val="left"/>
              <w:rPr>
                <w:b/>
              </w:rPr>
            </w:pPr>
            <w:r>
              <w:rPr>
                <w:rFonts w:hint="eastAsia"/>
                <w:b/>
              </w:rPr>
              <w:t>4、固废</w:t>
            </w:r>
          </w:p>
          <w:p>
            <w:pPr>
              <w:ind w:right="46" w:rightChars="19" w:firstLine="480"/>
              <w:jc w:val="left"/>
            </w:pPr>
            <w:r>
              <w:rPr>
                <w:rFonts w:hint="eastAsia"/>
              </w:rPr>
              <w:t>本项目产生的一般固体废物执行《一般工业固体废物贮存和填埋污染控制标准》（GB18599-2020）相关要求；医疗废物及危险废物的暂时贮存执行《危险废物贮存污染控制标准》（</w:t>
            </w:r>
            <w:r>
              <w:t>GB 18597</w:t>
            </w:r>
            <w:r>
              <w:rPr>
                <w:rFonts w:hint="eastAsia"/>
              </w:rPr>
              <w:t>-</w:t>
            </w:r>
            <w:r>
              <w:t>2023</w:t>
            </w:r>
            <w:r>
              <w:rPr>
                <w:rFonts w:hint="eastAsia"/>
              </w:rPr>
              <w:t>）中的相关规定；生活垃圾参照执行《河北省固体废物污染环境防治条例》（2022年12月1日）“第四章 生活垃圾”中相关要求；污泥执行《医疗机构水污染排放标准》（GB18466-2005）表4医疗机构污泥控制标准。</w:t>
            </w:r>
          </w:p>
          <w:p>
            <w:pPr>
              <w:pStyle w:val="14"/>
            </w:pPr>
            <w:r>
              <w:t>表</w:t>
            </w:r>
            <w:r>
              <w:rPr>
                <w:rFonts w:hint="eastAsia"/>
              </w:rPr>
              <w:t>18</w:t>
            </w:r>
            <w:r>
              <w:t xml:space="preserve">  </w:t>
            </w:r>
            <w:r>
              <w:rPr>
                <w:rFonts w:hint="eastAsia"/>
              </w:rPr>
              <w:t>医疗机构污泥控制标准</w:t>
            </w:r>
          </w:p>
          <w:tbl>
            <w:tblPr>
              <w:tblStyle w:val="1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1702"/>
              <w:gridCol w:w="1701"/>
              <w:gridCol w:w="1559"/>
              <w:gridCol w:w="1418"/>
              <w:gridCol w:w="1134"/>
              <w:gridCol w:w="10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702" w:type="dxa"/>
                  <w:vAlign w:val="center"/>
                </w:tcPr>
                <w:p>
                  <w:pPr>
                    <w:spacing w:line="240" w:lineRule="auto"/>
                    <w:ind w:right="46" w:rightChars="19" w:firstLine="0" w:firstLineChars="0"/>
                    <w:jc w:val="center"/>
                    <w:rPr>
                      <w:sz w:val="21"/>
                      <w:szCs w:val="21"/>
                    </w:rPr>
                  </w:pPr>
                  <w:r>
                    <w:rPr>
                      <w:rFonts w:hint="eastAsia"/>
                      <w:sz w:val="21"/>
                      <w:szCs w:val="21"/>
                    </w:rPr>
                    <w:t>医疗机构类别</w:t>
                  </w:r>
                </w:p>
              </w:tc>
              <w:tc>
                <w:tcPr>
                  <w:tcW w:w="1701" w:type="dxa"/>
                  <w:vAlign w:val="center"/>
                </w:tcPr>
                <w:p>
                  <w:pPr>
                    <w:spacing w:line="240" w:lineRule="auto"/>
                    <w:ind w:right="46" w:rightChars="19" w:firstLine="0" w:firstLineChars="0"/>
                    <w:jc w:val="center"/>
                    <w:rPr>
                      <w:sz w:val="21"/>
                      <w:szCs w:val="21"/>
                    </w:rPr>
                  </w:pPr>
                  <w:r>
                    <w:rPr>
                      <w:rFonts w:hint="eastAsia"/>
                      <w:sz w:val="21"/>
                      <w:szCs w:val="21"/>
                    </w:rPr>
                    <w:t>粪大肠菌群数（MPN/g）</w:t>
                  </w:r>
                </w:p>
              </w:tc>
              <w:tc>
                <w:tcPr>
                  <w:tcW w:w="1559" w:type="dxa"/>
                  <w:vAlign w:val="center"/>
                </w:tcPr>
                <w:p>
                  <w:pPr>
                    <w:spacing w:line="240" w:lineRule="auto"/>
                    <w:ind w:right="46" w:rightChars="19" w:firstLine="0" w:firstLineChars="0"/>
                    <w:jc w:val="center"/>
                    <w:rPr>
                      <w:sz w:val="21"/>
                      <w:szCs w:val="21"/>
                    </w:rPr>
                  </w:pPr>
                  <w:r>
                    <w:rPr>
                      <w:rFonts w:hint="eastAsia"/>
                      <w:sz w:val="21"/>
                      <w:szCs w:val="21"/>
                    </w:rPr>
                    <w:t>肠道致病菌</w:t>
                  </w:r>
                </w:p>
              </w:tc>
              <w:tc>
                <w:tcPr>
                  <w:tcW w:w="1418" w:type="dxa"/>
                  <w:vAlign w:val="center"/>
                </w:tcPr>
                <w:p>
                  <w:pPr>
                    <w:spacing w:line="240" w:lineRule="auto"/>
                    <w:ind w:right="46" w:rightChars="19" w:firstLine="0" w:firstLineChars="0"/>
                    <w:jc w:val="center"/>
                    <w:rPr>
                      <w:sz w:val="21"/>
                      <w:szCs w:val="21"/>
                    </w:rPr>
                  </w:pPr>
                  <w:r>
                    <w:rPr>
                      <w:rFonts w:hint="eastAsia"/>
                      <w:sz w:val="21"/>
                      <w:szCs w:val="21"/>
                    </w:rPr>
                    <w:t>肠道病毒</w:t>
                  </w:r>
                </w:p>
              </w:tc>
              <w:tc>
                <w:tcPr>
                  <w:tcW w:w="1134" w:type="dxa"/>
                  <w:vAlign w:val="center"/>
                </w:tcPr>
                <w:p>
                  <w:pPr>
                    <w:spacing w:line="240" w:lineRule="auto"/>
                    <w:ind w:right="46" w:rightChars="19" w:firstLine="0" w:firstLineChars="0"/>
                    <w:jc w:val="center"/>
                    <w:rPr>
                      <w:sz w:val="21"/>
                      <w:szCs w:val="21"/>
                    </w:rPr>
                  </w:pPr>
                  <w:r>
                    <w:rPr>
                      <w:rFonts w:hint="eastAsia"/>
                      <w:sz w:val="21"/>
                      <w:szCs w:val="21"/>
                    </w:rPr>
                    <w:t>结核杆菌</w:t>
                  </w:r>
                </w:p>
              </w:tc>
              <w:tc>
                <w:tcPr>
                  <w:tcW w:w="1068" w:type="dxa"/>
                  <w:vAlign w:val="center"/>
                </w:tcPr>
                <w:p>
                  <w:pPr>
                    <w:spacing w:line="240" w:lineRule="auto"/>
                    <w:ind w:right="46" w:rightChars="19" w:firstLine="0" w:firstLineChars="0"/>
                    <w:jc w:val="center"/>
                    <w:rPr>
                      <w:sz w:val="21"/>
                      <w:szCs w:val="21"/>
                    </w:rPr>
                  </w:pPr>
                  <w:r>
                    <w:rPr>
                      <w:rFonts w:hint="eastAsia"/>
                      <w:sz w:val="21"/>
                      <w:szCs w:val="21"/>
                    </w:rPr>
                    <w:t>蛔虫卵死亡率/%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702" w:type="dxa"/>
                  <w:vAlign w:val="center"/>
                </w:tcPr>
                <w:p>
                  <w:pPr>
                    <w:spacing w:line="240" w:lineRule="auto"/>
                    <w:ind w:right="46" w:rightChars="19" w:firstLine="0" w:firstLineChars="0"/>
                    <w:jc w:val="center"/>
                    <w:rPr>
                      <w:sz w:val="21"/>
                      <w:szCs w:val="21"/>
                    </w:rPr>
                  </w:pPr>
                  <w:r>
                    <w:rPr>
                      <w:rFonts w:hint="eastAsia"/>
                      <w:sz w:val="21"/>
                      <w:szCs w:val="21"/>
                    </w:rPr>
                    <w:t>综合医疗机构和其他医疗机构</w:t>
                  </w:r>
                </w:p>
              </w:tc>
              <w:tc>
                <w:tcPr>
                  <w:tcW w:w="1701" w:type="dxa"/>
                  <w:vAlign w:val="center"/>
                </w:tcPr>
                <w:p>
                  <w:pPr>
                    <w:spacing w:line="240" w:lineRule="auto"/>
                    <w:ind w:right="46" w:rightChars="19" w:firstLine="0" w:firstLineChars="0"/>
                    <w:jc w:val="center"/>
                    <w:rPr>
                      <w:sz w:val="21"/>
                      <w:szCs w:val="21"/>
                    </w:rPr>
                  </w:pPr>
                  <w:r>
                    <w:rPr>
                      <w:rFonts w:hint="eastAsia"/>
                      <w:sz w:val="21"/>
                      <w:szCs w:val="21"/>
                    </w:rPr>
                    <w:t>≤100</w:t>
                  </w:r>
                </w:p>
              </w:tc>
              <w:tc>
                <w:tcPr>
                  <w:tcW w:w="1559" w:type="dxa"/>
                  <w:vAlign w:val="center"/>
                </w:tcPr>
                <w:p>
                  <w:pPr>
                    <w:spacing w:line="240" w:lineRule="auto"/>
                    <w:ind w:right="46" w:rightChars="19" w:firstLine="0" w:firstLineChars="0"/>
                    <w:jc w:val="center"/>
                    <w:rPr>
                      <w:sz w:val="21"/>
                      <w:szCs w:val="21"/>
                    </w:rPr>
                  </w:pPr>
                  <w:r>
                    <w:rPr>
                      <w:rFonts w:hint="eastAsia"/>
                      <w:sz w:val="21"/>
                      <w:szCs w:val="21"/>
                    </w:rPr>
                    <w:t>/</w:t>
                  </w:r>
                </w:p>
              </w:tc>
              <w:tc>
                <w:tcPr>
                  <w:tcW w:w="1418" w:type="dxa"/>
                  <w:vAlign w:val="center"/>
                </w:tcPr>
                <w:p>
                  <w:pPr>
                    <w:spacing w:line="240" w:lineRule="auto"/>
                    <w:ind w:right="46" w:rightChars="19" w:firstLine="0" w:firstLineChars="0"/>
                    <w:jc w:val="center"/>
                    <w:rPr>
                      <w:sz w:val="21"/>
                      <w:szCs w:val="21"/>
                    </w:rPr>
                  </w:pPr>
                  <w:r>
                    <w:rPr>
                      <w:rFonts w:hint="eastAsia"/>
                      <w:sz w:val="21"/>
                      <w:szCs w:val="21"/>
                    </w:rPr>
                    <w:t>/</w:t>
                  </w:r>
                </w:p>
              </w:tc>
              <w:tc>
                <w:tcPr>
                  <w:tcW w:w="1134" w:type="dxa"/>
                  <w:vAlign w:val="center"/>
                </w:tcPr>
                <w:p>
                  <w:pPr>
                    <w:spacing w:line="240" w:lineRule="auto"/>
                    <w:ind w:right="46" w:rightChars="19" w:firstLine="0" w:firstLineChars="0"/>
                    <w:jc w:val="center"/>
                    <w:rPr>
                      <w:sz w:val="21"/>
                      <w:szCs w:val="21"/>
                    </w:rPr>
                  </w:pPr>
                  <w:r>
                    <w:rPr>
                      <w:rFonts w:hint="eastAsia"/>
                      <w:sz w:val="21"/>
                      <w:szCs w:val="21"/>
                    </w:rPr>
                    <w:t>/</w:t>
                  </w:r>
                </w:p>
              </w:tc>
              <w:tc>
                <w:tcPr>
                  <w:tcW w:w="1068" w:type="dxa"/>
                  <w:vAlign w:val="center"/>
                </w:tcPr>
                <w:p>
                  <w:pPr>
                    <w:spacing w:line="240" w:lineRule="auto"/>
                    <w:ind w:right="46" w:rightChars="19" w:firstLine="0" w:firstLineChars="0"/>
                    <w:jc w:val="center"/>
                    <w:rPr>
                      <w:sz w:val="21"/>
                      <w:szCs w:val="21"/>
                    </w:rPr>
                  </w:pPr>
                  <w:r>
                    <w:rPr>
                      <w:rFonts w:hint="eastAsia"/>
                      <w:sz w:val="21"/>
                      <w:szCs w:val="21"/>
                    </w:rPr>
                    <w:t>＞95</w:t>
                  </w:r>
                </w:p>
              </w:tc>
            </w:tr>
          </w:tbl>
          <w:p>
            <w:pPr>
              <w:spacing w:line="240" w:lineRule="auto"/>
              <w:ind w:right="46" w:rightChars="19" w:firstLine="0" w:firstLineChars="0"/>
              <w:jc w:val="left"/>
            </w:pPr>
          </w:p>
          <w:p>
            <w:pPr>
              <w:spacing w:line="240" w:lineRule="auto"/>
              <w:ind w:right="46" w:rightChars="19" w:firstLine="0" w:firstLineChars="0"/>
              <w:jc w:val="left"/>
            </w:pPr>
          </w:p>
          <w:p>
            <w:pPr>
              <w:spacing w:line="240" w:lineRule="auto"/>
              <w:ind w:right="46" w:rightChars="19" w:firstLine="0" w:firstLineChars="0"/>
              <w:jc w:val="left"/>
            </w:pPr>
          </w:p>
          <w:p>
            <w:pPr>
              <w:spacing w:line="240" w:lineRule="auto"/>
              <w:ind w:right="46" w:rightChars="19" w:firstLine="0" w:firstLineChars="0"/>
              <w:jc w:val="left"/>
            </w:pPr>
          </w:p>
          <w:p>
            <w:pPr>
              <w:spacing w:line="240" w:lineRule="auto"/>
              <w:ind w:right="46" w:rightChars="19" w:firstLine="0" w:firstLineChars="0"/>
              <w:jc w:val="left"/>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568" w:type="dxa"/>
            <w:vAlign w:val="center"/>
          </w:tcPr>
          <w:p>
            <w:pPr>
              <w:spacing w:line="400" w:lineRule="exact"/>
              <w:ind w:right="46" w:rightChars="19" w:firstLine="0" w:firstLineChars="0"/>
              <w:jc w:val="center"/>
            </w:pPr>
            <w:r>
              <w:rPr>
                <w:rFonts w:hint="eastAsia"/>
              </w:rPr>
              <w:t>总量控制指标</w:t>
            </w:r>
          </w:p>
        </w:tc>
        <w:tc>
          <w:tcPr>
            <w:tcW w:w="8755" w:type="dxa"/>
            <w:vAlign w:val="center"/>
          </w:tcPr>
          <w:p>
            <w:pPr>
              <w:ind w:right="46" w:rightChars="19" w:firstLine="0" w:firstLineChars="0"/>
              <w:jc w:val="left"/>
              <w:rPr>
                <w:b/>
              </w:rPr>
            </w:pPr>
            <w:r>
              <w:rPr>
                <w:b/>
              </w:rPr>
              <w:t>1、总量控制因子</w:t>
            </w:r>
          </w:p>
          <w:p>
            <w:pPr>
              <w:ind w:left="48" w:leftChars="20" w:right="48" w:rightChars="20" w:firstLine="480"/>
              <w:jc w:val="left"/>
              <w:rPr>
                <w:bCs/>
                <w:lang w:val="en-GB"/>
              </w:rPr>
            </w:pPr>
            <w:r>
              <w:rPr>
                <w:rFonts w:hint="eastAsia"/>
              </w:rPr>
              <w:t>根据《关于进一步改革和优化建设项目主要污染物排放总量核定工作的通知》冀环总﹝2014﹞283号文和《建设项目主要污染物排放总量指标审核及管理暂行办法》的通知（环发﹝2014﹞197号）规定，</w:t>
            </w:r>
            <w:r>
              <w:rPr>
                <w:rFonts w:hint="eastAsia"/>
                <w:bCs/>
              </w:rPr>
              <w:t>对本项目实施后的污染物总量进行核算。</w:t>
            </w:r>
          </w:p>
          <w:p>
            <w:pPr>
              <w:ind w:right="46" w:rightChars="19" w:firstLine="0" w:firstLineChars="0"/>
              <w:jc w:val="left"/>
              <w:rPr>
                <w:b/>
              </w:rPr>
            </w:pPr>
            <w:r>
              <w:rPr>
                <w:b/>
              </w:rPr>
              <w:t>2、总量控制指标</w:t>
            </w:r>
          </w:p>
          <w:p>
            <w:pPr>
              <w:spacing w:line="500" w:lineRule="exact"/>
              <w:ind w:right="46" w:rightChars="19" w:firstLine="480"/>
              <w:jc w:val="left"/>
              <w:rPr>
                <w:bCs/>
                <w:lang w:val="en-GB"/>
              </w:rPr>
            </w:pPr>
            <w:r>
              <w:rPr>
                <w:rFonts w:hint="eastAsia"/>
                <w:bCs/>
                <w:lang w:val="en-GB"/>
              </w:rPr>
              <w:t>（1）废气污染物总量控制指标</w:t>
            </w:r>
          </w:p>
          <w:p>
            <w:pPr>
              <w:spacing w:line="500" w:lineRule="exact"/>
              <w:ind w:right="46" w:rightChars="19" w:firstLine="480"/>
              <w:jc w:val="left"/>
              <w:rPr>
                <w:bCs/>
                <w:lang w:val="en-GB"/>
              </w:rPr>
            </w:pPr>
            <w:r>
              <w:rPr>
                <w:rFonts w:hint="eastAsia"/>
                <w:bCs/>
              </w:rPr>
              <w:t>本项目医院不涉及SO</w:t>
            </w:r>
            <w:r>
              <w:rPr>
                <w:rFonts w:hint="eastAsia"/>
                <w:bCs/>
                <w:vertAlign w:val="subscript"/>
              </w:rPr>
              <w:t>2</w:t>
            </w:r>
            <w:r>
              <w:rPr>
                <w:rFonts w:hint="eastAsia"/>
                <w:bCs/>
              </w:rPr>
              <w:t>、NOx排放，因此不涉及废气污染物总量控制指标。</w:t>
            </w:r>
          </w:p>
          <w:p>
            <w:pPr>
              <w:ind w:right="46" w:rightChars="19" w:firstLine="480"/>
              <w:jc w:val="left"/>
              <w:rPr>
                <w:bCs/>
                <w:lang w:val="en-GB"/>
              </w:rPr>
            </w:pPr>
            <w:r>
              <w:rPr>
                <w:rFonts w:hint="eastAsia"/>
                <w:bCs/>
                <w:lang w:val="en-GB"/>
              </w:rPr>
              <w:t>（2）废水污染物总量控制指标</w:t>
            </w:r>
          </w:p>
          <w:p>
            <w:pPr>
              <w:ind w:right="46" w:rightChars="19" w:firstLine="480"/>
              <w:jc w:val="left"/>
              <w:rPr>
                <w:bCs/>
              </w:rPr>
            </w:pPr>
            <w:r>
              <w:rPr>
                <w:rFonts w:hint="eastAsia"/>
                <w:bCs/>
              </w:rPr>
              <w:t>本项目废水产生量为4288.75</w:t>
            </w:r>
            <w:r>
              <w:rPr>
                <w:rFonts w:hint="eastAsia"/>
                <w:bCs/>
                <w:lang w:val="en-GB"/>
              </w:rPr>
              <w:t>m</w:t>
            </w:r>
            <w:r>
              <w:rPr>
                <w:rFonts w:hint="eastAsia"/>
                <w:bCs/>
                <w:vertAlign w:val="superscript"/>
                <w:lang w:val="en-GB"/>
              </w:rPr>
              <w:t>3</w:t>
            </w:r>
            <w:r>
              <w:rPr>
                <w:rFonts w:hint="eastAsia"/>
                <w:bCs/>
                <w:lang w:val="en-GB"/>
              </w:rPr>
              <w:t>/a，废水经自建污水处理设备处理，</w:t>
            </w:r>
            <w:r>
              <w:rPr>
                <w:rFonts w:hint="eastAsia"/>
                <w:bCs/>
              </w:rPr>
              <w:t>出水满足石家庄高新区污水处理厂纳水协议水质标准后经市政管网排入石家庄高新区污水处理厂进一步处理。</w:t>
            </w:r>
            <w:r>
              <w:rPr>
                <w:rFonts w:hint="eastAsia"/>
              </w:rPr>
              <w:t>石家庄高新区污水处理厂出水水质执行《子牙河流域水污染物排放标准》（DB13/2796-2018）的限值</w:t>
            </w:r>
            <w:r>
              <w:t>要求</w:t>
            </w:r>
            <w:r>
              <w:rPr>
                <w:rFonts w:hint="eastAsia"/>
              </w:rPr>
              <w:t>（COD：40mg/L、NH</w:t>
            </w:r>
            <w:r>
              <w:rPr>
                <w:rFonts w:hint="eastAsia"/>
                <w:vertAlign w:val="subscript"/>
              </w:rPr>
              <w:t>3</w:t>
            </w:r>
            <w:r>
              <w:rPr>
                <w:rFonts w:hint="eastAsia"/>
              </w:rPr>
              <w:t>-N：2</w:t>
            </w:r>
            <w:r>
              <w:t>.0</w:t>
            </w:r>
            <w:r>
              <w:rPr>
                <w:rFonts w:hint="eastAsia"/>
              </w:rPr>
              <w:t>mg/L）。</w:t>
            </w:r>
          </w:p>
          <w:p>
            <w:pPr>
              <w:ind w:right="46" w:rightChars="19" w:firstLine="480"/>
              <w:jc w:val="left"/>
              <w:rPr>
                <w:bCs/>
              </w:rPr>
            </w:pPr>
            <w:r>
              <w:rPr>
                <w:rFonts w:hint="eastAsia"/>
              </w:rPr>
              <w:t>根据</w:t>
            </w:r>
            <w:r>
              <w:t>河北省</w:t>
            </w:r>
            <w:r>
              <w:rPr>
                <w:rFonts w:hint="eastAsia"/>
              </w:rPr>
              <w:t>生态环境厅办公室</w:t>
            </w:r>
            <w:r>
              <w:t>《关于进一步做好建设项目新增水主要污染物排污权核定有关事宜的通知》</w:t>
            </w:r>
            <w:r>
              <w:rPr>
                <w:rFonts w:hint="eastAsia"/>
              </w:rPr>
              <w:t>（冀环办字函〔2023〕283号），“新增排放水主要污染物的建设项目，在环境影响评价文件审批前须取得水主要污染物排放总量指标。其中，建设项目直接排放水污染物的，新增水主要污染物排放总量指标按照建设项目排水量及我省或地方现行的水污染物排放标准核实；</w:t>
            </w:r>
            <w:r>
              <w:rPr>
                <w:rFonts w:hint="eastAsia"/>
                <w:b/>
              </w:rPr>
              <w:t>间接排放的，按照建设项目排水量及所排放污水集中处理设施执行的水污染物排放标准核算</w:t>
            </w:r>
            <w:r>
              <w:rPr>
                <w:rFonts w:hint="eastAsia"/>
              </w:rPr>
              <w:t>。”因此按照</w:t>
            </w:r>
            <w:r>
              <w:rPr>
                <w:rFonts w:hint="eastAsia"/>
                <w:bCs/>
              </w:rPr>
              <w:t>污水处理厂出水水质核算废水污染物总量指标情况见下表。</w:t>
            </w:r>
          </w:p>
          <w:p>
            <w:pPr>
              <w:pStyle w:val="14"/>
            </w:pPr>
            <w:r>
              <w:rPr>
                <w:rFonts w:hint="eastAsia"/>
              </w:rPr>
              <w:t>表19   废水污染物总量控制指标核算表</w:t>
            </w:r>
          </w:p>
          <w:tbl>
            <w:tblPr>
              <w:tblStyle w:val="16"/>
              <w:tblW w:w="494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586"/>
              <w:gridCol w:w="1564"/>
              <w:gridCol w:w="3218"/>
              <w:gridCol w:w="1370"/>
              <w:gridCol w:w="19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339" w:type="pct"/>
                  <w:shd w:val="clear" w:color="auto" w:fill="auto"/>
                  <w:tcMar>
                    <w:top w:w="28" w:type="dxa"/>
                    <w:left w:w="28" w:type="dxa"/>
                    <w:bottom w:w="28" w:type="dxa"/>
                    <w:right w:w="28" w:type="dxa"/>
                  </w:tcMar>
                  <w:vAlign w:val="center"/>
                </w:tcPr>
                <w:p>
                  <w:pPr>
                    <w:spacing w:line="240" w:lineRule="auto"/>
                    <w:ind w:firstLine="0" w:firstLineChars="0"/>
                    <w:jc w:val="center"/>
                    <w:rPr>
                      <w:sz w:val="21"/>
                      <w:szCs w:val="21"/>
                    </w:rPr>
                  </w:pPr>
                  <w:r>
                    <w:rPr>
                      <w:rFonts w:hint="eastAsia"/>
                      <w:sz w:val="21"/>
                      <w:szCs w:val="21"/>
                    </w:rPr>
                    <w:t>类别</w:t>
                  </w:r>
                </w:p>
              </w:tc>
              <w:tc>
                <w:tcPr>
                  <w:tcW w:w="905" w:type="pct"/>
                  <w:shd w:val="clear" w:color="auto" w:fill="auto"/>
                  <w:tcMar>
                    <w:top w:w="28" w:type="dxa"/>
                    <w:left w:w="28" w:type="dxa"/>
                    <w:bottom w:w="28" w:type="dxa"/>
                    <w:right w:w="28" w:type="dxa"/>
                  </w:tcMar>
                  <w:vAlign w:val="center"/>
                </w:tcPr>
                <w:p>
                  <w:pPr>
                    <w:spacing w:line="240" w:lineRule="auto"/>
                    <w:ind w:firstLine="0" w:firstLineChars="0"/>
                    <w:jc w:val="center"/>
                    <w:rPr>
                      <w:sz w:val="21"/>
                      <w:szCs w:val="21"/>
                    </w:rPr>
                  </w:pPr>
                  <w:r>
                    <w:rPr>
                      <w:rFonts w:hint="eastAsia"/>
                      <w:sz w:val="21"/>
                      <w:szCs w:val="21"/>
                    </w:rPr>
                    <w:t>污染物</w:t>
                  </w:r>
                  <w:r>
                    <w:rPr>
                      <w:sz w:val="21"/>
                      <w:szCs w:val="21"/>
                    </w:rPr>
                    <w:t>因子</w:t>
                  </w:r>
                </w:p>
              </w:tc>
              <w:tc>
                <w:tcPr>
                  <w:tcW w:w="1862" w:type="pct"/>
                  <w:shd w:val="clear" w:color="auto" w:fill="auto"/>
                  <w:tcMar>
                    <w:top w:w="28" w:type="dxa"/>
                    <w:left w:w="28" w:type="dxa"/>
                    <w:bottom w:w="28" w:type="dxa"/>
                    <w:right w:w="28" w:type="dxa"/>
                  </w:tcMar>
                  <w:vAlign w:val="center"/>
                </w:tcPr>
                <w:p>
                  <w:pPr>
                    <w:spacing w:line="240" w:lineRule="auto"/>
                    <w:ind w:firstLine="0" w:firstLineChars="0"/>
                    <w:jc w:val="center"/>
                    <w:rPr>
                      <w:sz w:val="21"/>
                      <w:szCs w:val="21"/>
                    </w:rPr>
                  </w:pPr>
                  <w:r>
                    <w:rPr>
                      <w:rFonts w:hint="eastAsia"/>
                      <w:sz w:val="21"/>
                      <w:szCs w:val="21"/>
                    </w:rPr>
                    <w:t>废水量（</w:t>
                  </w:r>
                  <w:r>
                    <w:rPr>
                      <w:sz w:val="21"/>
                      <w:szCs w:val="21"/>
                    </w:rPr>
                    <w:t>m</w:t>
                  </w:r>
                  <w:r>
                    <w:rPr>
                      <w:sz w:val="21"/>
                      <w:szCs w:val="21"/>
                      <w:vertAlign w:val="superscript"/>
                    </w:rPr>
                    <w:t>3</w:t>
                  </w:r>
                  <w:r>
                    <w:rPr>
                      <w:sz w:val="21"/>
                      <w:szCs w:val="21"/>
                    </w:rPr>
                    <w:t>/a</w:t>
                  </w:r>
                  <w:r>
                    <w:rPr>
                      <w:rFonts w:hint="eastAsia"/>
                      <w:sz w:val="21"/>
                      <w:szCs w:val="21"/>
                    </w:rPr>
                    <w:t>）</w:t>
                  </w:r>
                </w:p>
              </w:tc>
              <w:tc>
                <w:tcPr>
                  <w:tcW w:w="793" w:type="pct"/>
                  <w:shd w:val="clear" w:color="auto" w:fill="auto"/>
                  <w:tcMar>
                    <w:top w:w="28" w:type="dxa"/>
                    <w:left w:w="28" w:type="dxa"/>
                    <w:bottom w:w="28" w:type="dxa"/>
                    <w:right w:w="28" w:type="dxa"/>
                  </w:tcMar>
                  <w:vAlign w:val="center"/>
                </w:tcPr>
                <w:p>
                  <w:pPr>
                    <w:spacing w:line="240" w:lineRule="auto"/>
                    <w:ind w:firstLine="0" w:firstLineChars="0"/>
                    <w:jc w:val="center"/>
                    <w:rPr>
                      <w:sz w:val="21"/>
                      <w:szCs w:val="21"/>
                    </w:rPr>
                  </w:pPr>
                  <w:r>
                    <w:rPr>
                      <w:rFonts w:hint="eastAsia"/>
                      <w:sz w:val="21"/>
                      <w:szCs w:val="21"/>
                    </w:rPr>
                    <w:t>执行</w:t>
                  </w:r>
                  <w:r>
                    <w:rPr>
                      <w:sz w:val="21"/>
                      <w:szCs w:val="21"/>
                    </w:rPr>
                    <w:t>标准</w:t>
                  </w:r>
                </w:p>
                <w:p>
                  <w:pPr>
                    <w:spacing w:line="240" w:lineRule="auto"/>
                    <w:ind w:firstLine="0" w:firstLineChars="0"/>
                    <w:jc w:val="center"/>
                    <w:rPr>
                      <w:sz w:val="21"/>
                      <w:szCs w:val="21"/>
                    </w:rPr>
                  </w:pPr>
                  <w:r>
                    <w:rPr>
                      <w:rFonts w:hint="eastAsia"/>
                      <w:sz w:val="21"/>
                      <w:szCs w:val="21"/>
                    </w:rPr>
                    <w:t>（</w:t>
                  </w:r>
                  <w:r>
                    <w:rPr>
                      <w:sz w:val="21"/>
                      <w:szCs w:val="21"/>
                    </w:rPr>
                    <w:t>mg/L</w:t>
                  </w:r>
                  <w:r>
                    <w:rPr>
                      <w:rFonts w:hint="eastAsia"/>
                      <w:sz w:val="21"/>
                      <w:szCs w:val="21"/>
                    </w:rPr>
                    <w:t>）</w:t>
                  </w:r>
                </w:p>
              </w:tc>
              <w:tc>
                <w:tcPr>
                  <w:tcW w:w="1101" w:type="pct"/>
                  <w:shd w:val="clear" w:color="auto" w:fill="auto"/>
                  <w:tcMar>
                    <w:top w:w="28" w:type="dxa"/>
                    <w:left w:w="28" w:type="dxa"/>
                    <w:bottom w:w="28" w:type="dxa"/>
                    <w:right w:w="28" w:type="dxa"/>
                  </w:tcMar>
                  <w:vAlign w:val="center"/>
                </w:tcPr>
                <w:p>
                  <w:pPr>
                    <w:spacing w:line="240" w:lineRule="auto"/>
                    <w:ind w:firstLine="0" w:firstLineChars="0"/>
                    <w:jc w:val="center"/>
                    <w:rPr>
                      <w:sz w:val="21"/>
                      <w:szCs w:val="21"/>
                    </w:rPr>
                  </w:pPr>
                  <w:r>
                    <w:rPr>
                      <w:rFonts w:hint="eastAsia"/>
                      <w:sz w:val="21"/>
                      <w:szCs w:val="21"/>
                    </w:rPr>
                    <w:t>标准排放量</w:t>
                  </w:r>
                </w:p>
                <w:p>
                  <w:pPr>
                    <w:spacing w:line="240" w:lineRule="auto"/>
                    <w:ind w:firstLine="0" w:firstLineChars="0"/>
                    <w:jc w:val="center"/>
                    <w:rPr>
                      <w:sz w:val="21"/>
                      <w:szCs w:val="21"/>
                    </w:rPr>
                  </w:pPr>
                  <w:r>
                    <w:rPr>
                      <w:rFonts w:hint="eastAsia"/>
                      <w:sz w:val="21"/>
                      <w:szCs w:val="21"/>
                    </w:rPr>
                    <w:t>（t/a）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80" w:hRule="atLeast"/>
                <w:jc w:val="center"/>
              </w:trPr>
              <w:tc>
                <w:tcPr>
                  <w:tcW w:w="339" w:type="pct"/>
                  <w:vMerge w:val="restart"/>
                  <w:shd w:val="clear" w:color="auto" w:fill="auto"/>
                  <w:tcMar>
                    <w:top w:w="28" w:type="dxa"/>
                    <w:left w:w="28" w:type="dxa"/>
                    <w:bottom w:w="28" w:type="dxa"/>
                    <w:right w:w="28" w:type="dxa"/>
                  </w:tcMar>
                  <w:vAlign w:val="center"/>
                </w:tcPr>
                <w:p>
                  <w:pPr>
                    <w:spacing w:line="240" w:lineRule="auto"/>
                    <w:ind w:firstLine="0" w:firstLineChars="0"/>
                    <w:jc w:val="center"/>
                    <w:rPr>
                      <w:sz w:val="21"/>
                      <w:szCs w:val="21"/>
                    </w:rPr>
                  </w:pPr>
                  <w:r>
                    <w:rPr>
                      <w:rFonts w:hint="eastAsia"/>
                      <w:sz w:val="21"/>
                      <w:szCs w:val="21"/>
                    </w:rPr>
                    <w:t>医院废水</w:t>
                  </w:r>
                </w:p>
              </w:tc>
              <w:tc>
                <w:tcPr>
                  <w:tcW w:w="905" w:type="pct"/>
                  <w:shd w:val="clear" w:color="auto" w:fill="auto"/>
                  <w:tcMar>
                    <w:top w:w="28" w:type="dxa"/>
                    <w:left w:w="28" w:type="dxa"/>
                    <w:bottom w:w="28" w:type="dxa"/>
                    <w:right w:w="28" w:type="dxa"/>
                  </w:tcMar>
                  <w:vAlign w:val="center"/>
                </w:tcPr>
                <w:p>
                  <w:pPr>
                    <w:spacing w:line="240" w:lineRule="auto"/>
                    <w:ind w:firstLine="0" w:firstLineChars="0"/>
                    <w:jc w:val="center"/>
                    <w:rPr>
                      <w:sz w:val="21"/>
                      <w:szCs w:val="21"/>
                    </w:rPr>
                  </w:pPr>
                  <w:r>
                    <w:rPr>
                      <w:rFonts w:hint="eastAsia"/>
                      <w:sz w:val="21"/>
                      <w:szCs w:val="21"/>
                    </w:rPr>
                    <w:t>COD</w:t>
                  </w:r>
                </w:p>
              </w:tc>
              <w:tc>
                <w:tcPr>
                  <w:tcW w:w="1862" w:type="pct"/>
                  <w:vMerge w:val="restart"/>
                  <w:shd w:val="clear" w:color="auto" w:fill="auto"/>
                  <w:tcMar>
                    <w:top w:w="28" w:type="dxa"/>
                    <w:left w:w="28" w:type="dxa"/>
                    <w:bottom w:w="28" w:type="dxa"/>
                    <w:right w:w="28" w:type="dxa"/>
                  </w:tcMar>
                  <w:vAlign w:val="center"/>
                </w:tcPr>
                <w:p>
                  <w:pPr>
                    <w:spacing w:line="240" w:lineRule="auto"/>
                    <w:ind w:firstLine="0" w:firstLineChars="0"/>
                    <w:jc w:val="center"/>
                    <w:rPr>
                      <w:sz w:val="21"/>
                      <w:szCs w:val="21"/>
                    </w:rPr>
                  </w:pPr>
                  <w:r>
                    <w:rPr>
                      <w:rFonts w:hint="eastAsia"/>
                      <w:bCs/>
                      <w:sz w:val="21"/>
                      <w:szCs w:val="21"/>
                    </w:rPr>
                    <w:t>4288.75</w:t>
                  </w:r>
                </w:p>
              </w:tc>
              <w:tc>
                <w:tcPr>
                  <w:tcW w:w="793" w:type="pct"/>
                  <w:shd w:val="clear" w:color="auto" w:fill="auto"/>
                  <w:tcMar>
                    <w:top w:w="28" w:type="dxa"/>
                    <w:left w:w="28" w:type="dxa"/>
                    <w:bottom w:w="28" w:type="dxa"/>
                    <w:right w:w="28" w:type="dxa"/>
                  </w:tcMar>
                  <w:vAlign w:val="center"/>
                </w:tcPr>
                <w:p>
                  <w:pPr>
                    <w:spacing w:line="240" w:lineRule="auto"/>
                    <w:ind w:firstLine="0" w:firstLineChars="0"/>
                    <w:jc w:val="center"/>
                    <w:rPr>
                      <w:sz w:val="21"/>
                      <w:szCs w:val="21"/>
                    </w:rPr>
                  </w:pPr>
                  <w:r>
                    <w:rPr>
                      <w:sz w:val="21"/>
                      <w:szCs w:val="21"/>
                    </w:rPr>
                    <w:t>40</w:t>
                  </w:r>
                </w:p>
              </w:tc>
              <w:tc>
                <w:tcPr>
                  <w:tcW w:w="1101" w:type="pct"/>
                  <w:shd w:val="clear" w:color="auto" w:fill="auto"/>
                  <w:vAlign w:val="center"/>
                </w:tcPr>
                <w:p>
                  <w:pPr>
                    <w:spacing w:line="240" w:lineRule="auto"/>
                    <w:ind w:firstLine="0" w:firstLineChars="0"/>
                    <w:jc w:val="center"/>
                    <w:rPr>
                      <w:sz w:val="21"/>
                      <w:szCs w:val="21"/>
                    </w:rPr>
                  </w:pPr>
                  <w:r>
                    <w:rPr>
                      <w:rFonts w:hint="eastAsia"/>
                      <w:sz w:val="21"/>
                      <w:szCs w:val="21"/>
                    </w:rPr>
                    <w:t>0.17155≈0.172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80" w:hRule="atLeast"/>
                <w:jc w:val="center"/>
              </w:trPr>
              <w:tc>
                <w:tcPr>
                  <w:tcW w:w="339" w:type="pct"/>
                  <w:vMerge w:val="continue"/>
                  <w:shd w:val="clear" w:color="auto" w:fill="auto"/>
                  <w:tcMar>
                    <w:top w:w="28" w:type="dxa"/>
                    <w:left w:w="28" w:type="dxa"/>
                    <w:bottom w:w="28" w:type="dxa"/>
                    <w:right w:w="28" w:type="dxa"/>
                  </w:tcMar>
                  <w:vAlign w:val="center"/>
                </w:tcPr>
                <w:p>
                  <w:pPr>
                    <w:spacing w:line="240" w:lineRule="auto"/>
                    <w:ind w:firstLine="0" w:firstLineChars="0"/>
                    <w:jc w:val="center"/>
                    <w:rPr>
                      <w:sz w:val="21"/>
                      <w:szCs w:val="21"/>
                    </w:rPr>
                  </w:pPr>
                </w:p>
              </w:tc>
              <w:tc>
                <w:tcPr>
                  <w:tcW w:w="905" w:type="pct"/>
                  <w:shd w:val="clear" w:color="auto" w:fill="auto"/>
                  <w:tcMar>
                    <w:top w:w="28" w:type="dxa"/>
                    <w:left w:w="28" w:type="dxa"/>
                    <w:bottom w:w="28" w:type="dxa"/>
                    <w:right w:w="28" w:type="dxa"/>
                  </w:tcMar>
                  <w:vAlign w:val="center"/>
                </w:tcPr>
                <w:p>
                  <w:pPr>
                    <w:spacing w:line="240" w:lineRule="auto"/>
                    <w:ind w:firstLine="0" w:firstLineChars="0"/>
                    <w:jc w:val="center"/>
                    <w:rPr>
                      <w:sz w:val="21"/>
                      <w:szCs w:val="21"/>
                    </w:rPr>
                  </w:pPr>
                  <w:r>
                    <w:rPr>
                      <w:rFonts w:hint="eastAsia"/>
                      <w:sz w:val="21"/>
                      <w:szCs w:val="21"/>
                    </w:rPr>
                    <w:t>NH</w:t>
                  </w:r>
                  <w:r>
                    <w:rPr>
                      <w:rFonts w:hint="eastAsia"/>
                      <w:sz w:val="21"/>
                      <w:szCs w:val="21"/>
                      <w:vertAlign w:val="subscript"/>
                    </w:rPr>
                    <w:t>3</w:t>
                  </w:r>
                  <w:r>
                    <w:rPr>
                      <w:sz w:val="21"/>
                      <w:szCs w:val="21"/>
                    </w:rPr>
                    <w:t>-N</w:t>
                  </w:r>
                </w:p>
              </w:tc>
              <w:tc>
                <w:tcPr>
                  <w:tcW w:w="1862" w:type="pct"/>
                  <w:vMerge w:val="continue"/>
                  <w:shd w:val="clear" w:color="auto" w:fill="auto"/>
                  <w:tcMar>
                    <w:top w:w="28" w:type="dxa"/>
                    <w:left w:w="28" w:type="dxa"/>
                    <w:bottom w:w="28" w:type="dxa"/>
                    <w:right w:w="28" w:type="dxa"/>
                  </w:tcMar>
                  <w:vAlign w:val="center"/>
                </w:tcPr>
                <w:p>
                  <w:pPr>
                    <w:spacing w:line="240" w:lineRule="auto"/>
                    <w:ind w:firstLine="0" w:firstLineChars="0"/>
                    <w:jc w:val="center"/>
                    <w:rPr>
                      <w:sz w:val="21"/>
                      <w:szCs w:val="21"/>
                    </w:rPr>
                  </w:pPr>
                </w:p>
              </w:tc>
              <w:tc>
                <w:tcPr>
                  <w:tcW w:w="793" w:type="pct"/>
                  <w:shd w:val="clear" w:color="auto" w:fill="auto"/>
                  <w:tcMar>
                    <w:top w:w="28" w:type="dxa"/>
                    <w:left w:w="28" w:type="dxa"/>
                    <w:bottom w:w="28" w:type="dxa"/>
                    <w:right w:w="28" w:type="dxa"/>
                  </w:tcMar>
                  <w:vAlign w:val="center"/>
                </w:tcPr>
                <w:p>
                  <w:pPr>
                    <w:spacing w:line="240" w:lineRule="auto"/>
                    <w:ind w:firstLine="0" w:firstLineChars="0"/>
                    <w:jc w:val="center"/>
                    <w:rPr>
                      <w:sz w:val="21"/>
                      <w:szCs w:val="21"/>
                    </w:rPr>
                  </w:pPr>
                  <w:r>
                    <w:rPr>
                      <w:rFonts w:hint="eastAsia"/>
                      <w:sz w:val="21"/>
                      <w:szCs w:val="21"/>
                    </w:rPr>
                    <w:t>2</w:t>
                  </w:r>
                </w:p>
              </w:tc>
              <w:tc>
                <w:tcPr>
                  <w:tcW w:w="1101" w:type="pct"/>
                  <w:shd w:val="clear" w:color="auto" w:fill="auto"/>
                  <w:vAlign w:val="center"/>
                </w:tcPr>
                <w:p>
                  <w:pPr>
                    <w:spacing w:line="240" w:lineRule="auto"/>
                    <w:ind w:firstLine="0" w:firstLineChars="0"/>
                    <w:jc w:val="center"/>
                    <w:rPr>
                      <w:sz w:val="21"/>
                      <w:szCs w:val="21"/>
                    </w:rPr>
                  </w:pPr>
                  <w:r>
                    <w:rPr>
                      <w:rFonts w:hint="eastAsia"/>
                      <w:sz w:val="21"/>
                      <w:szCs w:val="21"/>
                    </w:rPr>
                    <w:t>0.008578≈0.009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39" w:type="pct"/>
                  <w:vMerge w:val="continue"/>
                  <w:shd w:val="clear" w:color="auto" w:fill="auto"/>
                  <w:tcMar>
                    <w:top w:w="28" w:type="dxa"/>
                    <w:left w:w="28" w:type="dxa"/>
                    <w:bottom w:w="28" w:type="dxa"/>
                    <w:right w:w="28" w:type="dxa"/>
                  </w:tcMar>
                  <w:vAlign w:val="center"/>
                </w:tcPr>
                <w:p>
                  <w:pPr>
                    <w:spacing w:line="240" w:lineRule="auto"/>
                    <w:ind w:firstLine="0" w:firstLineChars="0"/>
                    <w:jc w:val="center"/>
                    <w:rPr>
                      <w:sz w:val="21"/>
                      <w:szCs w:val="21"/>
                    </w:rPr>
                  </w:pPr>
                </w:p>
              </w:tc>
              <w:tc>
                <w:tcPr>
                  <w:tcW w:w="905" w:type="pct"/>
                  <w:shd w:val="clear" w:color="auto" w:fill="auto"/>
                  <w:tcMar>
                    <w:top w:w="28" w:type="dxa"/>
                    <w:left w:w="28" w:type="dxa"/>
                    <w:bottom w:w="28" w:type="dxa"/>
                    <w:right w:w="28" w:type="dxa"/>
                  </w:tcMar>
                  <w:vAlign w:val="center"/>
                </w:tcPr>
                <w:p>
                  <w:pPr>
                    <w:spacing w:line="240" w:lineRule="auto"/>
                    <w:ind w:firstLine="0" w:firstLineChars="0"/>
                    <w:jc w:val="center"/>
                    <w:rPr>
                      <w:sz w:val="21"/>
                      <w:szCs w:val="21"/>
                    </w:rPr>
                  </w:pPr>
                  <w:r>
                    <w:rPr>
                      <w:rFonts w:hint="eastAsia"/>
                      <w:sz w:val="21"/>
                      <w:szCs w:val="21"/>
                    </w:rPr>
                    <w:t>核算公式</w:t>
                  </w:r>
                </w:p>
              </w:tc>
              <w:tc>
                <w:tcPr>
                  <w:tcW w:w="3756" w:type="pct"/>
                  <w:gridSpan w:val="3"/>
                  <w:shd w:val="clear" w:color="auto" w:fill="auto"/>
                  <w:tcMar>
                    <w:top w:w="28" w:type="dxa"/>
                    <w:left w:w="28" w:type="dxa"/>
                    <w:bottom w:w="28" w:type="dxa"/>
                    <w:right w:w="28" w:type="dxa"/>
                  </w:tcMar>
                  <w:vAlign w:val="center"/>
                </w:tcPr>
                <w:p>
                  <w:pPr>
                    <w:spacing w:line="240" w:lineRule="auto"/>
                    <w:ind w:firstLine="0" w:firstLineChars="0"/>
                    <w:jc w:val="center"/>
                    <w:rPr>
                      <w:sz w:val="21"/>
                      <w:szCs w:val="21"/>
                    </w:rPr>
                  </w:pPr>
                  <w:r>
                    <w:rPr>
                      <w:rFonts w:hint="eastAsia"/>
                      <w:sz w:val="21"/>
                      <w:szCs w:val="21"/>
                    </w:rPr>
                    <w:t>标准排放量（t/a）=标准浓度（</w:t>
                  </w:r>
                  <w:r>
                    <w:rPr>
                      <w:sz w:val="21"/>
                      <w:szCs w:val="21"/>
                    </w:rPr>
                    <w:t>mg/L</w:t>
                  </w:r>
                  <w:r>
                    <w:rPr>
                      <w:rFonts w:hint="eastAsia"/>
                      <w:sz w:val="21"/>
                      <w:szCs w:val="21"/>
                    </w:rPr>
                    <w:t>）×排放量（m</w:t>
                  </w:r>
                  <w:r>
                    <w:rPr>
                      <w:rFonts w:hint="eastAsia"/>
                      <w:sz w:val="21"/>
                      <w:szCs w:val="21"/>
                      <w:vertAlign w:val="superscript"/>
                    </w:rPr>
                    <w:t>3</w:t>
                  </w:r>
                  <w:r>
                    <w:rPr>
                      <w:rFonts w:hint="eastAsia"/>
                      <w:sz w:val="21"/>
                      <w:szCs w:val="21"/>
                    </w:rPr>
                    <w:t>a）×10</w:t>
                  </w:r>
                  <w:r>
                    <w:rPr>
                      <w:sz w:val="21"/>
                      <w:szCs w:val="21"/>
                      <w:vertAlign w:val="superscript"/>
                    </w:rPr>
                    <w:t>-</w:t>
                  </w:r>
                  <w:r>
                    <w:rPr>
                      <w:rFonts w:hint="eastAsia"/>
                      <w:sz w:val="21"/>
                      <w:szCs w:val="21"/>
                      <w:vertAlign w:val="superscript"/>
                    </w:rPr>
                    <w:t>6</w:t>
                  </w:r>
                </w:p>
              </w:tc>
            </w:tr>
          </w:tbl>
          <w:p>
            <w:pPr>
              <w:ind w:right="46" w:rightChars="19" w:firstLine="480"/>
              <w:jc w:val="left"/>
            </w:pPr>
            <w:r>
              <w:rPr>
                <w:rFonts w:hint="eastAsia"/>
                <w:bCs/>
              </w:rPr>
              <w:t>由上表可知，本项目废水总量控制指标为</w:t>
            </w:r>
            <w:r>
              <w:rPr>
                <w:rFonts w:hint="eastAsia"/>
              </w:rPr>
              <w:t>COD：0.172t/a、氨氮：0.009t/a。</w:t>
            </w:r>
          </w:p>
          <w:p>
            <w:pPr>
              <w:ind w:right="46" w:rightChars="19" w:firstLine="480"/>
              <w:jc w:val="left"/>
              <w:rPr>
                <w:bCs/>
              </w:rPr>
            </w:pPr>
            <w:r>
              <w:rPr>
                <w:rFonts w:hint="eastAsia"/>
              </w:rPr>
              <w:t>根据本项目执行的污水排放标准（《医疗机构水污染物排放标准》（GB18466-2005）表2中预处理标准和石家庄高新区污水处理厂协议进水水质）核算废水污染物管理指标</w:t>
            </w:r>
            <w:r>
              <w:rPr>
                <w:rFonts w:hint="eastAsia"/>
                <w:bCs/>
              </w:rPr>
              <w:t>情况见下表。</w:t>
            </w:r>
          </w:p>
          <w:p>
            <w:pPr>
              <w:pStyle w:val="14"/>
            </w:pPr>
            <w:r>
              <w:rPr>
                <w:rFonts w:hint="eastAsia"/>
              </w:rPr>
              <w:t>表20    废水污染物管理指标核算表</w:t>
            </w:r>
          </w:p>
          <w:tbl>
            <w:tblPr>
              <w:tblStyle w:val="16"/>
              <w:tblW w:w="488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585"/>
              <w:gridCol w:w="1563"/>
              <w:gridCol w:w="3219"/>
              <w:gridCol w:w="1573"/>
              <w:gridCol w:w="15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343" w:type="pct"/>
                  <w:shd w:val="clear" w:color="auto" w:fill="auto"/>
                  <w:tcMar>
                    <w:top w:w="28" w:type="dxa"/>
                    <w:left w:w="28" w:type="dxa"/>
                    <w:bottom w:w="28" w:type="dxa"/>
                    <w:right w:w="28" w:type="dxa"/>
                  </w:tcMar>
                  <w:vAlign w:val="center"/>
                </w:tcPr>
                <w:p>
                  <w:pPr>
                    <w:spacing w:line="240" w:lineRule="auto"/>
                    <w:ind w:firstLine="0" w:firstLineChars="0"/>
                    <w:jc w:val="center"/>
                    <w:rPr>
                      <w:sz w:val="21"/>
                      <w:szCs w:val="21"/>
                    </w:rPr>
                  </w:pPr>
                  <w:r>
                    <w:rPr>
                      <w:rFonts w:hint="eastAsia"/>
                      <w:sz w:val="21"/>
                      <w:szCs w:val="21"/>
                    </w:rPr>
                    <w:t>类别</w:t>
                  </w:r>
                </w:p>
              </w:tc>
              <w:tc>
                <w:tcPr>
                  <w:tcW w:w="916" w:type="pct"/>
                  <w:shd w:val="clear" w:color="auto" w:fill="auto"/>
                  <w:tcMar>
                    <w:top w:w="28" w:type="dxa"/>
                    <w:left w:w="28" w:type="dxa"/>
                    <w:bottom w:w="28" w:type="dxa"/>
                    <w:right w:w="28" w:type="dxa"/>
                  </w:tcMar>
                  <w:vAlign w:val="center"/>
                </w:tcPr>
                <w:p>
                  <w:pPr>
                    <w:spacing w:line="240" w:lineRule="auto"/>
                    <w:ind w:firstLine="0" w:firstLineChars="0"/>
                    <w:jc w:val="center"/>
                    <w:rPr>
                      <w:sz w:val="21"/>
                      <w:szCs w:val="21"/>
                    </w:rPr>
                  </w:pPr>
                  <w:r>
                    <w:rPr>
                      <w:rFonts w:hint="eastAsia"/>
                      <w:sz w:val="21"/>
                      <w:szCs w:val="21"/>
                    </w:rPr>
                    <w:t>污染物</w:t>
                  </w:r>
                  <w:r>
                    <w:rPr>
                      <w:sz w:val="21"/>
                      <w:szCs w:val="21"/>
                    </w:rPr>
                    <w:t>因子</w:t>
                  </w:r>
                </w:p>
              </w:tc>
              <w:tc>
                <w:tcPr>
                  <w:tcW w:w="1886" w:type="pct"/>
                  <w:shd w:val="clear" w:color="auto" w:fill="auto"/>
                  <w:tcMar>
                    <w:top w:w="28" w:type="dxa"/>
                    <w:left w:w="28" w:type="dxa"/>
                    <w:bottom w:w="28" w:type="dxa"/>
                    <w:right w:w="28" w:type="dxa"/>
                  </w:tcMar>
                  <w:vAlign w:val="center"/>
                </w:tcPr>
                <w:p>
                  <w:pPr>
                    <w:spacing w:line="240" w:lineRule="auto"/>
                    <w:ind w:firstLine="0" w:firstLineChars="0"/>
                    <w:jc w:val="center"/>
                    <w:rPr>
                      <w:sz w:val="21"/>
                      <w:szCs w:val="21"/>
                    </w:rPr>
                  </w:pPr>
                  <w:r>
                    <w:rPr>
                      <w:rFonts w:hint="eastAsia"/>
                      <w:sz w:val="21"/>
                      <w:szCs w:val="21"/>
                    </w:rPr>
                    <w:t>废水量（</w:t>
                  </w:r>
                  <w:r>
                    <w:rPr>
                      <w:sz w:val="21"/>
                      <w:szCs w:val="21"/>
                    </w:rPr>
                    <w:t>m</w:t>
                  </w:r>
                  <w:r>
                    <w:rPr>
                      <w:sz w:val="21"/>
                      <w:szCs w:val="21"/>
                      <w:vertAlign w:val="superscript"/>
                    </w:rPr>
                    <w:t>3</w:t>
                  </w:r>
                  <w:r>
                    <w:rPr>
                      <w:sz w:val="21"/>
                      <w:szCs w:val="21"/>
                    </w:rPr>
                    <w:t>/a</w:t>
                  </w:r>
                  <w:r>
                    <w:rPr>
                      <w:rFonts w:hint="eastAsia"/>
                      <w:sz w:val="21"/>
                      <w:szCs w:val="21"/>
                    </w:rPr>
                    <w:t>）</w:t>
                  </w:r>
                </w:p>
              </w:tc>
              <w:tc>
                <w:tcPr>
                  <w:tcW w:w="922" w:type="pct"/>
                  <w:shd w:val="clear" w:color="auto" w:fill="auto"/>
                  <w:tcMar>
                    <w:top w:w="28" w:type="dxa"/>
                    <w:left w:w="28" w:type="dxa"/>
                    <w:bottom w:w="28" w:type="dxa"/>
                    <w:right w:w="28" w:type="dxa"/>
                  </w:tcMar>
                  <w:vAlign w:val="center"/>
                </w:tcPr>
                <w:p>
                  <w:pPr>
                    <w:spacing w:line="240" w:lineRule="auto"/>
                    <w:ind w:firstLine="0" w:firstLineChars="0"/>
                    <w:jc w:val="center"/>
                    <w:rPr>
                      <w:sz w:val="21"/>
                      <w:szCs w:val="21"/>
                    </w:rPr>
                  </w:pPr>
                  <w:r>
                    <w:rPr>
                      <w:rFonts w:hint="eastAsia"/>
                      <w:sz w:val="21"/>
                      <w:szCs w:val="21"/>
                    </w:rPr>
                    <w:t>执行</w:t>
                  </w:r>
                  <w:r>
                    <w:rPr>
                      <w:sz w:val="21"/>
                      <w:szCs w:val="21"/>
                    </w:rPr>
                    <w:t>标准</w:t>
                  </w:r>
                </w:p>
                <w:p>
                  <w:pPr>
                    <w:spacing w:line="240" w:lineRule="auto"/>
                    <w:ind w:firstLine="0" w:firstLineChars="0"/>
                    <w:jc w:val="center"/>
                    <w:rPr>
                      <w:sz w:val="21"/>
                      <w:szCs w:val="21"/>
                    </w:rPr>
                  </w:pPr>
                  <w:r>
                    <w:rPr>
                      <w:rFonts w:hint="eastAsia"/>
                      <w:sz w:val="21"/>
                      <w:szCs w:val="21"/>
                    </w:rPr>
                    <w:t>（</w:t>
                  </w:r>
                  <w:r>
                    <w:rPr>
                      <w:sz w:val="21"/>
                      <w:szCs w:val="21"/>
                    </w:rPr>
                    <w:t>mg/L</w:t>
                  </w:r>
                  <w:r>
                    <w:rPr>
                      <w:rFonts w:hint="eastAsia"/>
                      <w:sz w:val="21"/>
                      <w:szCs w:val="21"/>
                    </w:rPr>
                    <w:t>）</w:t>
                  </w:r>
                </w:p>
              </w:tc>
              <w:tc>
                <w:tcPr>
                  <w:tcW w:w="933" w:type="pct"/>
                  <w:shd w:val="clear" w:color="auto" w:fill="auto"/>
                  <w:tcMar>
                    <w:top w:w="28" w:type="dxa"/>
                    <w:left w:w="28" w:type="dxa"/>
                    <w:bottom w:w="28" w:type="dxa"/>
                    <w:right w:w="28" w:type="dxa"/>
                  </w:tcMar>
                  <w:vAlign w:val="center"/>
                </w:tcPr>
                <w:p>
                  <w:pPr>
                    <w:spacing w:line="240" w:lineRule="auto"/>
                    <w:ind w:firstLine="0" w:firstLineChars="0"/>
                    <w:jc w:val="center"/>
                    <w:rPr>
                      <w:sz w:val="21"/>
                      <w:szCs w:val="21"/>
                    </w:rPr>
                  </w:pPr>
                  <w:r>
                    <w:rPr>
                      <w:rFonts w:hint="eastAsia"/>
                      <w:sz w:val="21"/>
                      <w:szCs w:val="21"/>
                    </w:rPr>
                    <w:t>标准排放量</w:t>
                  </w:r>
                </w:p>
                <w:p>
                  <w:pPr>
                    <w:spacing w:line="240" w:lineRule="auto"/>
                    <w:ind w:firstLine="0" w:firstLineChars="0"/>
                    <w:jc w:val="center"/>
                    <w:rPr>
                      <w:sz w:val="21"/>
                      <w:szCs w:val="21"/>
                    </w:rPr>
                  </w:pPr>
                  <w:r>
                    <w:rPr>
                      <w:rFonts w:hint="eastAsia"/>
                      <w:sz w:val="21"/>
                      <w:szCs w:val="21"/>
                    </w:rPr>
                    <w:t>（t/a）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343" w:type="pct"/>
                  <w:vMerge w:val="restart"/>
                  <w:shd w:val="clear" w:color="auto" w:fill="auto"/>
                  <w:tcMar>
                    <w:top w:w="28" w:type="dxa"/>
                    <w:left w:w="28" w:type="dxa"/>
                    <w:bottom w:w="28" w:type="dxa"/>
                    <w:right w:w="28" w:type="dxa"/>
                  </w:tcMar>
                  <w:vAlign w:val="center"/>
                </w:tcPr>
                <w:p>
                  <w:pPr>
                    <w:spacing w:line="240" w:lineRule="auto"/>
                    <w:ind w:firstLine="0" w:firstLineChars="0"/>
                    <w:jc w:val="center"/>
                    <w:rPr>
                      <w:sz w:val="21"/>
                      <w:szCs w:val="21"/>
                    </w:rPr>
                  </w:pPr>
                  <w:r>
                    <w:rPr>
                      <w:rFonts w:hint="eastAsia"/>
                      <w:sz w:val="21"/>
                      <w:szCs w:val="21"/>
                    </w:rPr>
                    <w:t>医院废水</w:t>
                  </w:r>
                </w:p>
              </w:tc>
              <w:tc>
                <w:tcPr>
                  <w:tcW w:w="916" w:type="pct"/>
                  <w:shd w:val="clear" w:color="auto" w:fill="auto"/>
                  <w:tcMar>
                    <w:top w:w="28" w:type="dxa"/>
                    <w:left w:w="28" w:type="dxa"/>
                    <w:bottom w:w="28" w:type="dxa"/>
                    <w:right w:w="28" w:type="dxa"/>
                  </w:tcMar>
                  <w:vAlign w:val="center"/>
                </w:tcPr>
                <w:p>
                  <w:pPr>
                    <w:spacing w:line="240" w:lineRule="auto"/>
                    <w:ind w:firstLine="0" w:firstLineChars="0"/>
                    <w:jc w:val="center"/>
                    <w:rPr>
                      <w:sz w:val="21"/>
                      <w:szCs w:val="21"/>
                    </w:rPr>
                  </w:pPr>
                  <w:r>
                    <w:rPr>
                      <w:rFonts w:hint="eastAsia"/>
                      <w:sz w:val="21"/>
                      <w:szCs w:val="21"/>
                    </w:rPr>
                    <w:t>COD</w:t>
                  </w:r>
                </w:p>
              </w:tc>
              <w:tc>
                <w:tcPr>
                  <w:tcW w:w="1886" w:type="pct"/>
                  <w:vMerge w:val="restart"/>
                  <w:shd w:val="clear" w:color="auto" w:fill="auto"/>
                  <w:tcMar>
                    <w:top w:w="28" w:type="dxa"/>
                    <w:left w:w="28" w:type="dxa"/>
                    <w:bottom w:w="28" w:type="dxa"/>
                    <w:right w:w="28" w:type="dxa"/>
                  </w:tcMar>
                  <w:vAlign w:val="center"/>
                </w:tcPr>
                <w:p>
                  <w:pPr>
                    <w:spacing w:line="240" w:lineRule="auto"/>
                    <w:ind w:firstLine="0" w:firstLineChars="0"/>
                    <w:jc w:val="center"/>
                    <w:rPr>
                      <w:sz w:val="21"/>
                      <w:szCs w:val="21"/>
                    </w:rPr>
                  </w:pPr>
                  <w:r>
                    <w:rPr>
                      <w:rFonts w:hint="eastAsia"/>
                      <w:bCs/>
                      <w:sz w:val="21"/>
                      <w:szCs w:val="21"/>
                    </w:rPr>
                    <w:t>4288.75</w:t>
                  </w:r>
                </w:p>
              </w:tc>
              <w:tc>
                <w:tcPr>
                  <w:tcW w:w="922" w:type="pct"/>
                  <w:shd w:val="clear" w:color="auto" w:fill="auto"/>
                  <w:tcMar>
                    <w:top w:w="28" w:type="dxa"/>
                    <w:left w:w="28" w:type="dxa"/>
                    <w:bottom w:w="28" w:type="dxa"/>
                    <w:right w:w="28" w:type="dxa"/>
                  </w:tcMar>
                  <w:vAlign w:val="center"/>
                </w:tcPr>
                <w:p>
                  <w:pPr>
                    <w:spacing w:line="240" w:lineRule="auto"/>
                    <w:ind w:firstLine="0" w:firstLineChars="0"/>
                    <w:jc w:val="center"/>
                    <w:rPr>
                      <w:sz w:val="21"/>
                      <w:szCs w:val="21"/>
                    </w:rPr>
                  </w:pPr>
                  <w:r>
                    <w:rPr>
                      <w:rFonts w:hint="eastAsia"/>
                      <w:sz w:val="21"/>
                      <w:szCs w:val="21"/>
                    </w:rPr>
                    <w:t>250</w:t>
                  </w:r>
                </w:p>
              </w:tc>
              <w:tc>
                <w:tcPr>
                  <w:tcW w:w="933" w:type="pct"/>
                  <w:shd w:val="clear" w:color="auto" w:fill="auto"/>
                  <w:vAlign w:val="center"/>
                </w:tcPr>
                <w:p>
                  <w:pPr>
                    <w:spacing w:line="240" w:lineRule="auto"/>
                    <w:ind w:firstLine="0" w:firstLineChars="0"/>
                    <w:jc w:val="center"/>
                    <w:rPr>
                      <w:sz w:val="21"/>
                      <w:szCs w:val="21"/>
                    </w:rPr>
                  </w:pPr>
                  <w:r>
                    <w:rPr>
                      <w:rFonts w:hint="eastAsia"/>
                      <w:sz w:val="21"/>
                      <w:szCs w:val="21"/>
                    </w:rPr>
                    <w:t>1.072188≈1.072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343" w:type="pct"/>
                  <w:vMerge w:val="continue"/>
                  <w:shd w:val="clear" w:color="auto" w:fill="auto"/>
                  <w:tcMar>
                    <w:top w:w="28" w:type="dxa"/>
                    <w:left w:w="28" w:type="dxa"/>
                    <w:bottom w:w="28" w:type="dxa"/>
                    <w:right w:w="28" w:type="dxa"/>
                  </w:tcMar>
                  <w:vAlign w:val="center"/>
                </w:tcPr>
                <w:p>
                  <w:pPr>
                    <w:spacing w:line="240" w:lineRule="auto"/>
                    <w:ind w:firstLine="0" w:firstLineChars="0"/>
                    <w:jc w:val="center"/>
                    <w:rPr>
                      <w:sz w:val="21"/>
                      <w:szCs w:val="21"/>
                    </w:rPr>
                  </w:pPr>
                </w:p>
              </w:tc>
              <w:tc>
                <w:tcPr>
                  <w:tcW w:w="916" w:type="pct"/>
                  <w:shd w:val="clear" w:color="auto" w:fill="auto"/>
                  <w:tcMar>
                    <w:top w:w="28" w:type="dxa"/>
                    <w:left w:w="28" w:type="dxa"/>
                    <w:bottom w:w="28" w:type="dxa"/>
                    <w:right w:w="28" w:type="dxa"/>
                  </w:tcMar>
                  <w:vAlign w:val="center"/>
                </w:tcPr>
                <w:p>
                  <w:pPr>
                    <w:spacing w:line="240" w:lineRule="auto"/>
                    <w:ind w:firstLine="0" w:firstLineChars="0"/>
                    <w:jc w:val="center"/>
                    <w:rPr>
                      <w:sz w:val="21"/>
                      <w:szCs w:val="21"/>
                    </w:rPr>
                  </w:pPr>
                  <w:r>
                    <w:rPr>
                      <w:rFonts w:hint="eastAsia"/>
                      <w:sz w:val="21"/>
                      <w:szCs w:val="21"/>
                    </w:rPr>
                    <w:t>NH</w:t>
                  </w:r>
                  <w:r>
                    <w:rPr>
                      <w:rFonts w:hint="eastAsia"/>
                      <w:sz w:val="21"/>
                      <w:szCs w:val="21"/>
                      <w:vertAlign w:val="subscript"/>
                    </w:rPr>
                    <w:t>3</w:t>
                  </w:r>
                  <w:r>
                    <w:rPr>
                      <w:sz w:val="21"/>
                      <w:szCs w:val="21"/>
                    </w:rPr>
                    <w:t>-N</w:t>
                  </w:r>
                </w:p>
              </w:tc>
              <w:tc>
                <w:tcPr>
                  <w:tcW w:w="1886" w:type="pct"/>
                  <w:vMerge w:val="continue"/>
                  <w:shd w:val="clear" w:color="auto" w:fill="auto"/>
                  <w:tcMar>
                    <w:top w:w="28" w:type="dxa"/>
                    <w:left w:w="28" w:type="dxa"/>
                    <w:bottom w:w="28" w:type="dxa"/>
                    <w:right w:w="28" w:type="dxa"/>
                  </w:tcMar>
                  <w:vAlign w:val="center"/>
                </w:tcPr>
                <w:p>
                  <w:pPr>
                    <w:spacing w:line="240" w:lineRule="auto"/>
                    <w:ind w:firstLine="0" w:firstLineChars="0"/>
                    <w:jc w:val="center"/>
                    <w:rPr>
                      <w:sz w:val="21"/>
                      <w:szCs w:val="21"/>
                    </w:rPr>
                  </w:pPr>
                </w:p>
              </w:tc>
              <w:tc>
                <w:tcPr>
                  <w:tcW w:w="922" w:type="pct"/>
                  <w:shd w:val="clear" w:color="auto" w:fill="auto"/>
                  <w:tcMar>
                    <w:top w:w="28" w:type="dxa"/>
                    <w:left w:w="28" w:type="dxa"/>
                    <w:bottom w:w="28" w:type="dxa"/>
                    <w:right w:w="28" w:type="dxa"/>
                  </w:tcMar>
                  <w:vAlign w:val="center"/>
                </w:tcPr>
                <w:p>
                  <w:pPr>
                    <w:spacing w:line="240" w:lineRule="auto"/>
                    <w:ind w:firstLine="0" w:firstLineChars="0"/>
                    <w:jc w:val="center"/>
                    <w:rPr>
                      <w:sz w:val="21"/>
                      <w:szCs w:val="21"/>
                    </w:rPr>
                  </w:pPr>
                  <w:r>
                    <w:rPr>
                      <w:rFonts w:hint="eastAsia"/>
                      <w:sz w:val="21"/>
                      <w:szCs w:val="21"/>
                    </w:rPr>
                    <w:t>40</w:t>
                  </w:r>
                </w:p>
              </w:tc>
              <w:tc>
                <w:tcPr>
                  <w:tcW w:w="933" w:type="pct"/>
                  <w:shd w:val="clear" w:color="auto" w:fill="auto"/>
                  <w:vAlign w:val="center"/>
                </w:tcPr>
                <w:p>
                  <w:pPr>
                    <w:spacing w:line="240" w:lineRule="auto"/>
                    <w:ind w:firstLine="0" w:firstLineChars="0"/>
                    <w:jc w:val="center"/>
                    <w:rPr>
                      <w:sz w:val="21"/>
                      <w:szCs w:val="21"/>
                    </w:rPr>
                  </w:pPr>
                  <w:r>
                    <w:rPr>
                      <w:rFonts w:hint="eastAsia"/>
                      <w:sz w:val="21"/>
                      <w:szCs w:val="21"/>
                    </w:rPr>
                    <w:t>0.17155≈0.172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343" w:type="pct"/>
                  <w:vMerge w:val="continue"/>
                  <w:shd w:val="clear" w:color="auto" w:fill="auto"/>
                  <w:tcMar>
                    <w:top w:w="28" w:type="dxa"/>
                    <w:left w:w="28" w:type="dxa"/>
                    <w:bottom w:w="28" w:type="dxa"/>
                    <w:right w:w="28" w:type="dxa"/>
                  </w:tcMar>
                  <w:vAlign w:val="center"/>
                </w:tcPr>
                <w:p>
                  <w:pPr>
                    <w:spacing w:line="240" w:lineRule="auto"/>
                    <w:ind w:firstLine="0" w:firstLineChars="0"/>
                    <w:jc w:val="center"/>
                    <w:rPr>
                      <w:sz w:val="21"/>
                      <w:szCs w:val="21"/>
                    </w:rPr>
                  </w:pPr>
                </w:p>
              </w:tc>
              <w:tc>
                <w:tcPr>
                  <w:tcW w:w="916" w:type="pct"/>
                  <w:shd w:val="clear" w:color="auto" w:fill="auto"/>
                  <w:tcMar>
                    <w:top w:w="28" w:type="dxa"/>
                    <w:left w:w="28" w:type="dxa"/>
                    <w:bottom w:w="28" w:type="dxa"/>
                    <w:right w:w="28" w:type="dxa"/>
                  </w:tcMar>
                  <w:vAlign w:val="center"/>
                </w:tcPr>
                <w:p>
                  <w:pPr>
                    <w:spacing w:line="240" w:lineRule="auto"/>
                    <w:ind w:firstLine="0" w:firstLineChars="0"/>
                    <w:jc w:val="center"/>
                    <w:rPr>
                      <w:sz w:val="21"/>
                      <w:szCs w:val="21"/>
                    </w:rPr>
                  </w:pPr>
                  <w:r>
                    <w:rPr>
                      <w:rFonts w:hint="eastAsia"/>
                      <w:sz w:val="21"/>
                      <w:szCs w:val="21"/>
                    </w:rPr>
                    <w:t>核算公式</w:t>
                  </w:r>
                </w:p>
              </w:tc>
              <w:tc>
                <w:tcPr>
                  <w:tcW w:w="3741" w:type="pct"/>
                  <w:gridSpan w:val="3"/>
                  <w:shd w:val="clear" w:color="auto" w:fill="auto"/>
                  <w:tcMar>
                    <w:top w:w="28" w:type="dxa"/>
                    <w:left w:w="28" w:type="dxa"/>
                    <w:bottom w:w="28" w:type="dxa"/>
                    <w:right w:w="28" w:type="dxa"/>
                  </w:tcMar>
                  <w:vAlign w:val="center"/>
                </w:tcPr>
                <w:p>
                  <w:pPr>
                    <w:spacing w:line="240" w:lineRule="auto"/>
                    <w:ind w:firstLine="0" w:firstLineChars="0"/>
                    <w:jc w:val="center"/>
                    <w:rPr>
                      <w:sz w:val="21"/>
                      <w:szCs w:val="21"/>
                    </w:rPr>
                  </w:pPr>
                  <w:r>
                    <w:rPr>
                      <w:rFonts w:hint="eastAsia"/>
                      <w:sz w:val="21"/>
                      <w:szCs w:val="21"/>
                    </w:rPr>
                    <w:t>标准排放量（t/a）=标准浓度（</w:t>
                  </w:r>
                  <w:r>
                    <w:rPr>
                      <w:sz w:val="21"/>
                      <w:szCs w:val="21"/>
                    </w:rPr>
                    <w:t>mg/L</w:t>
                  </w:r>
                  <w:r>
                    <w:rPr>
                      <w:rFonts w:hint="eastAsia"/>
                      <w:sz w:val="21"/>
                      <w:szCs w:val="21"/>
                    </w:rPr>
                    <w:t>）×排放量（m</w:t>
                  </w:r>
                  <w:r>
                    <w:rPr>
                      <w:rFonts w:hint="eastAsia"/>
                      <w:sz w:val="21"/>
                      <w:szCs w:val="21"/>
                      <w:vertAlign w:val="superscript"/>
                    </w:rPr>
                    <w:t>3</w:t>
                  </w:r>
                  <w:r>
                    <w:rPr>
                      <w:rFonts w:hint="eastAsia"/>
                      <w:sz w:val="21"/>
                      <w:szCs w:val="21"/>
                    </w:rPr>
                    <w:t>a）×10</w:t>
                  </w:r>
                  <w:r>
                    <w:rPr>
                      <w:sz w:val="21"/>
                      <w:szCs w:val="21"/>
                      <w:vertAlign w:val="superscript"/>
                    </w:rPr>
                    <w:t>-</w:t>
                  </w:r>
                  <w:r>
                    <w:rPr>
                      <w:rFonts w:hint="eastAsia"/>
                      <w:sz w:val="21"/>
                      <w:szCs w:val="21"/>
                      <w:vertAlign w:val="superscript"/>
                    </w:rPr>
                    <w:t>6</w:t>
                  </w:r>
                </w:p>
              </w:tc>
            </w:tr>
          </w:tbl>
          <w:p>
            <w:pPr>
              <w:ind w:right="46" w:rightChars="19" w:firstLine="480"/>
              <w:jc w:val="left"/>
            </w:pPr>
            <w:r>
              <w:rPr>
                <w:rFonts w:hint="eastAsia"/>
                <w:bCs/>
              </w:rPr>
              <w:t>由上表可知，本项目废水总量管理指标为</w:t>
            </w:r>
            <w:r>
              <w:rPr>
                <w:rFonts w:hint="eastAsia"/>
              </w:rPr>
              <w:t>COD：1.072t/a、氨氮：0.172t/a。</w:t>
            </w:r>
          </w:p>
          <w:p>
            <w:pPr>
              <w:ind w:right="46" w:rightChars="19" w:firstLine="480"/>
              <w:jc w:val="left"/>
            </w:pPr>
            <w:r>
              <w:rPr>
                <w:rFonts w:hint="eastAsia"/>
              </w:rPr>
              <w:t>（3）本项目污染物总量控制指标</w:t>
            </w:r>
          </w:p>
          <w:p>
            <w:pPr>
              <w:pStyle w:val="14"/>
            </w:pPr>
            <w:r>
              <w:t>表</w:t>
            </w:r>
            <w:r>
              <w:rPr>
                <w:rFonts w:hint="eastAsia"/>
              </w:rPr>
              <w:t xml:space="preserve">21  </w:t>
            </w:r>
            <w:r>
              <w:t xml:space="preserve">  </w:t>
            </w:r>
            <w:r>
              <w:rPr>
                <w:rFonts w:hint="eastAsia"/>
              </w:rPr>
              <w:t xml:space="preserve">本项目污染物总量控制指标一览表  </w:t>
            </w:r>
            <w:r>
              <w:rPr>
                <w:rFonts w:hint="eastAsia"/>
                <w:sz w:val="21"/>
              </w:rPr>
              <w:t>单位：t/a</w:t>
            </w:r>
          </w:p>
          <w:tbl>
            <w:tblPr>
              <w:tblStyle w:val="17"/>
              <w:tblW w:w="491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1952"/>
              <w:gridCol w:w="1528"/>
              <w:gridCol w:w="1268"/>
              <w:gridCol w:w="1196"/>
              <w:gridCol w:w="1347"/>
              <w:gridCol w:w="129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2027" w:type="pct"/>
                  <w:gridSpan w:val="2"/>
                  <w:vMerge w:val="restart"/>
                  <w:vAlign w:val="center"/>
                </w:tcPr>
                <w:p>
                  <w:pPr>
                    <w:spacing w:line="240" w:lineRule="auto"/>
                    <w:ind w:firstLine="0" w:firstLineChars="0"/>
                    <w:jc w:val="center"/>
                    <w:rPr>
                      <w:sz w:val="21"/>
                      <w:szCs w:val="21"/>
                      <w:lang w:val="zh-CN"/>
                    </w:rPr>
                  </w:pPr>
                  <w:r>
                    <w:rPr>
                      <w:rFonts w:hint="eastAsia"/>
                      <w:sz w:val="21"/>
                      <w:szCs w:val="21"/>
                      <w:lang w:val="zh-CN"/>
                    </w:rPr>
                    <w:t>类别</w:t>
                  </w:r>
                </w:p>
              </w:tc>
              <w:tc>
                <w:tcPr>
                  <w:tcW w:w="1436" w:type="pct"/>
                  <w:gridSpan w:val="2"/>
                  <w:vAlign w:val="center"/>
                </w:tcPr>
                <w:p>
                  <w:pPr>
                    <w:spacing w:line="240" w:lineRule="auto"/>
                    <w:ind w:firstLine="0" w:firstLineChars="0"/>
                    <w:jc w:val="center"/>
                    <w:rPr>
                      <w:sz w:val="21"/>
                      <w:szCs w:val="21"/>
                    </w:rPr>
                  </w:pPr>
                  <w:r>
                    <w:rPr>
                      <w:rFonts w:hint="eastAsia"/>
                      <w:sz w:val="21"/>
                      <w:szCs w:val="21"/>
                      <w:lang w:val="zh-CN"/>
                    </w:rPr>
                    <w:t>大气污染物</w:t>
                  </w:r>
                </w:p>
              </w:tc>
              <w:tc>
                <w:tcPr>
                  <w:tcW w:w="1537" w:type="pct"/>
                  <w:gridSpan w:val="2"/>
                  <w:vAlign w:val="center"/>
                </w:tcPr>
                <w:p>
                  <w:pPr>
                    <w:spacing w:line="240" w:lineRule="auto"/>
                    <w:ind w:firstLine="0" w:firstLineChars="0"/>
                    <w:jc w:val="center"/>
                    <w:rPr>
                      <w:sz w:val="21"/>
                      <w:szCs w:val="21"/>
                    </w:rPr>
                  </w:pPr>
                  <w:r>
                    <w:rPr>
                      <w:rFonts w:hint="eastAsia"/>
                      <w:sz w:val="21"/>
                      <w:szCs w:val="21"/>
                      <w:lang w:val="zh-CN"/>
                    </w:rPr>
                    <w:t>水污染物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2027" w:type="pct"/>
                  <w:gridSpan w:val="2"/>
                  <w:vMerge w:val="continue"/>
                  <w:vAlign w:val="center"/>
                </w:tcPr>
                <w:p>
                  <w:pPr>
                    <w:spacing w:line="240" w:lineRule="auto"/>
                    <w:ind w:firstLine="0" w:firstLineChars="0"/>
                    <w:jc w:val="center"/>
                    <w:rPr>
                      <w:sz w:val="21"/>
                      <w:szCs w:val="21"/>
                      <w:lang w:val="zh-CN"/>
                    </w:rPr>
                  </w:pPr>
                </w:p>
              </w:tc>
              <w:tc>
                <w:tcPr>
                  <w:tcW w:w="739" w:type="pct"/>
                  <w:vAlign w:val="center"/>
                </w:tcPr>
                <w:p>
                  <w:pPr>
                    <w:spacing w:line="240" w:lineRule="auto"/>
                    <w:ind w:firstLine="0" w:firstLineChars="0"/>
                    <w:jc w:val="center"/>
                    <w:rPr>
                      <w:sz w:val="21"/>
                      <w:szCs w:val="21"/>
                      <w:lang w:val="zh-CN"/>
                    </w:rPr>
                  </w:pPr>
                  <w:r>
                    <w:rPr>
                      <w:rFonts w:hint="eastAsia"/>
                      <w:sz w:val="21"/>
                      <w:szCs w:val="21"/>
                    </w:rPr>
                    <w:t>S</w:t>
                  </w:r>
                  <w:r>
                    <w:rPr>
                      <w:sz w:val="21"/>
                      <w:szCs w:val="21"/>
                    </w:rPr>
                    <w:t>O</w:t>
                  </w:r>
                  <w:r>
                    <w:rPr>
                      <w:sz w:val="21"/>
                      <w:szCs w:val="21"/>
                      <w:vertAlign w:val="subscript"/>
                    </w:rPr>
                    <w:t>2</w:t>
                  </w:r>
                </w:p>
              </w:tc>
              <w:tc>
                <w:tcPr>
                  <w:tcW w:w="697" w:type="pct"/>
                </w:tcPr>
                <w:p>
                  <w:pPr>
                    <w:spacing w:line="240" w:lineRule="auto"/>
                    <w:ind w:firstLine="0" w:firstLineChars="0"/>
                    <w:jc w:val="center"/>
                    <w:rPr>
                      <w:sz w:val="21"/>
                      <w:szCs w:val="21"/>
                    </w:rPr>
                  </w:pPr>
                  <w:r>
                    <w:rPr>
                      <w:rFonts w:hint="eastAsia"/>
                      <w:sz w:val="21"/>
                      <w:szCs w:val="21"/>
                    </w:rPr>
                    <w:t>N</w:t>
                  </w:r>
                  <w:r>
                    <w:rPr>
                      <w:sz w:val="21"/>
                      <w:szCs w:val="21"/>
                    </w:rPr>
                    <w:t>O</w:t>
                  </w:r>
                  <w:r>
                    <w:rPr>
                      <w:sz w:val="21"/>
                      <w:szCs w:val="21"/>
                      <w:vertAlign w:val="subscript"/>
                    </w:rPr>
                    <w:t>X</w:t>
                  </w:r>
                </w:p>
              </w:tc>
              <w:tc>
                <w:tcPr>
                  <w:tcW w:w="785" w:type="pct"/>
                  <w:vAlign w:val="center"/>
                </w:tcPr>
                <w:p>
                  <w:pPr>
                    <w:spacing w:line="240" w:lineRule="auto"/>
                    <w:ind w:firstLine="0" w:firstLineChars="0"/>
                    <w:jc w:val="center"/>
                    <w:rPr>
                      <w:sz w:val="21"/>
                      <w:szCs w:val="21"/>
                      <w:lang w:val="zh-CN"/>
                    </w:rPr>
                  </w:pPr>
                  <w:r>
                    <w:rPr>
                      <w:rFonts w:hint="eastAsia"/>
                      <w:sz w:val="21"/>
                      <w:szCs w:val="21"/>
                    </w:rPr>
                    <w:t>C</w:t>
                  </w:r>
                  <w:r>
                    <w:rPr>
                      <w:sz w:val="21"/>
                      <w:szCs w:val="21"/>
                    </w:rPr>
                    <w:t>OD</w:t>
                  </w:r>
                </w:p>
              </w:tc>
              <w:tc>
                <w:tcPr>
                  <w:tcW w:w="752" w:type="pct"/>
                  <w:vAlign w:val="center"/>
                </w:tcPr>
                <w:p>
                  <w:pPr>
                    <w:spacing w:line="240" w:lineRule="auto"/>
                    <w:ind w:firstLine="0" w:firstLineChars="0"/>
                    <w:jc w:val="center"/>
                    <w:rPr>
                      <w:sz w:val="21"/>
                      <w:szCs w:val="21"/>
                      <w:lang w:val="zh-CN"/>
                    </w:rPr>
                  </w:pPr>
                  <w:r>
                    <w:rPr>
                      <w:rFonts w:hint="eastAsia"/>
                      <w:sz w:val="21"/>
                      <w:szCs w:val="21"/>
                    </w:rPr>
                    <w:t>氨氮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137" w:type="pct"/>
                  <w:vAlign w:val="center"/>
                </w:tcPr>
                <w:p>
                  <w:pPr>
                    <w:spacing w:line="240" w:lineRule="auto"/>
                    <w:ind w:firstLine="0" w:firstLineChars="0"/>
                    <w:jc w:val="center"/>
                    <w:rPr>
                      <w:sz w:val="21"/>
                      <w:szCs w:val="21"/>
                      <w:lang w:val="zh-CN"/>
                    </w:rPr>
                  </w:pPr>
                  <w:r>
                    <w:rPr>
                      <w:rFonts w:hint="eastAsia"/>
                      <w:sz w:val="21"/>
                      <w:szCs w:val="21"/>
                    </w:rPr>
                    <w:t>总量控制指标值</w:t>
                  </w:r>
                </w:p>
              </w:tc>
              <w:tc>
                <w:tcPr>
                  <w:tcW w:w="890" w:type="pct"/>
                  <w:vAlign w:val="center"/>
                </w:tcPr>
                <w:p>
                  <w:pPr>
                    <w:spacing w:line="240" w:lineRule="auto"/>
                    <w:ind w:firstLine="0" w:firstLineChars="0"/>
                    <w:jc w:val="center"/>
                    <w:rPr>
                      <w:sz w:val="21"/>
                      <w:szCs w:val="21"/>
                      <w:lang w:val="zh-CN"/>
                    </w:rPr>
                  </w:pPr>
                  <w:r>
                    <w:rPr>
                      <w:rFonts w:hint="eastAsia"/>
                      <w:sz w:val="21"/>
                      <w:szCs w:val="21"/>
                    </w:rPr>
                    <w:t>标准核算量</w:t>
                  </w:r>
                </w:p>
              </w:tc>
              <w:tc>
                <w:tcPr>
                  <w:tcW w:w="739" w:type="pct"/>
                  <w:vAlign w:val="center"/>
                </w:tcPr>
                <w:p>
                  <w:pPr>
                    <w:spacing w:line="240" w:lineRule="auto"/>
                    <w:ind w:firstLine="0" w:firstLineChars="0"/>
                    <w:jc w:val="center"/>
                    <w:rPr>
                      <w:sz w:val="21"/>
                      <w:szCs w:val="21"/>
                    </w:rPr>
                  </w:pPr>
                  <w:r>
                    <w:rPr>
                      <w:rFonts w:hint="eastAsia"/>
                      <w:sz w:val="21"/>
                      <w:szCs w:val="21"/>
                    </w:rPr>
                    <w:t>0</w:t>
                  </w:r>
                </w:p>
              </w:tc>
              <w:tc>
                <w:tcPr>
                  <w:tcW w:w="697" w:type="pct"/>
                </w:tcPr>
                <w:p>
                  <w:pPr>
                    <w:spacing w:line="240" w:lineRule="auto"/>
                    <w:ind w:firstLine="0" w:firstLineChars="0"/>
                    <w:jc w:val="center"/>
                    <w:rPr>
                      <w:sz w:val="21"/>
                      <w:szCs w:val="21"/>
                    </w:rPr>
                  </w:pPr>
                  <w:r>
                    <w:rPr>
                      <w:rFonts w:hint="eastAsia"/>
                      <w:sz w:val="21"/>
                      <w:szCs w:val="21"/>
                    </w:rPr>
                    <w:t>0</w:t>
                  </w:r>
                </w:p>
              </w:tc>
              <w:tc>
                <w:tcPr>
                  <w:tcW w:w="785" w:type="pct"/>
                  <w:vAlign w:val="center"/>
                </w:tcPr>
                <w:p>
                  <w:pPr>
                    <w:spacing w:line="240" w:lineRule="auto"/>
                    <w:ind w:firstLine="0" w:firstLineChars="0"/>
                    <w:jc w:val="center"/>
                    <w:rPr>
                      <w:sz w:val="21"/>
                      <w:szCs w:val="21"/>
                      <w:lang w:val="zh-CN"/>
                    </w:rPr>
                  </w:pPr>
                  <w:r>
                    <w:rPr>
                      <w:rFonts w:hint="eastAsia"/>
                      <w:sz w:val="21"/>
                      <w:szCs w:val="21"/>
                    </w:rPr>
                    <w:t>0.172</w:t>
                  </w:r>
                </w:p>
              </w:tc>
              <w:tc>
                <w:tcPr>
                  <w:tcW w:w="752" w:type="pct"/>
                  <w:vAlign w:val="center"/>
                </w:tcPr>
                <w:p>
                  <w:pPr>
                    <w:spacing w:line="240" w:lineRule="auto"/>
                    <w:ind w:firstLine="0" w:firstLineChars="0"/>
                    <w:jc w:val="center"/>
                    <w:rPr>
                      <w:sz w:val="21"/>
                      <w:szCs w:val="21"/>
                      <w:lang w:val="zh-CN"/>
                    </w:rPr>
                  </w:pPr>
                  <w:r>
                    <w:rPr>
                      <w:rFonts w:hint="eastAsia"/>
                      <w:sz w:val="21"/>
                      <w:szCs w:val="21"/>
                    </w:rPr>
                    <w:t>0.009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2027" w:type="pct"/>
                  <w:gridSpan w:val="2"/>
                  <w:vAlign w:val="center"/>
                </w:tcPr>
                <w:p>
                  <w:pPr>
                    <w:spacing w:line="240" w:lineRule="auto"/>
                    <w:ind w:firstLine="0" w:firstLineChars="0"/>
                    <w:jc w:val="center"/>
                    <w:rPr>
                      <w:sz w:val="21"/>
                      <w:szCs w:val="21"/>
                      <w:lang w:val="zh-CN"/>
                    </w:rPr>
                  </w:pPr>
                  <w:r>
                    <w:rPr>
                      <w:rFonts w:hint="eastAsia"/>
                      <w:b/>
                      <w:sz w:val="21"/>
                      <w:szCs w:val="21"/>
                    </w:rPr>
                    <w:t>本次建议总量控制指标</w:t>
                  </w:r>
                </w:p>
              </w:tc>
              <w:tc>
                <w:tcPr>
                  <w:tcW w:w="739" w:type="pct"/>
                  <w:vAlign w:val="center"/>
                </w:tcPr>
                <w:p>
                  <w:pPr>
                    <w:spacing w:line="240" w:lineRule="auto"/>
                    <w:ind w:firstLine="0" w:firstLineChars="0"/>
                    <w:jc w:val="center"/>
                    <w:rPr>
                      <w:b/>
                      <w:bCs/>
                      <w:sz w:val="21"/>
                      <w:szCs w:val="21"/>
                    </w:rPr>
                  </w:pPr>
                  <w:r>
                    <w:rPr>
                      <w:rFonts w:hint="eastAsia"/>
                      <w:b/>
                      <w:bCs/>
                      <w:sz w:val="21"/>
                      <w:szCs w:val="21"/>
                    </w:rPr>
                    <w:t>0.000</w:t>
                  </w:r>
                </w:p>
              </w:tc>
              <w:tc>
                <w:tcPr>
                  <w:tcW w:w="697" w:type="pct"/>
                </w:tcPr>
                <w:p>
                  <w:pPr>
                    <w:spacing w:line="240" w:lineRule="auto"/>
                    <w:ind w:firstLine="0" w:firstLineChars="0"/>
                    <w:jc w:val="center"/>
                    <w:rPr>
                      <w:b/>
                      <w:bCs/>
                      <w:sz w:val="21"/>
                      <w:szCs w:val="21"/>
                    </w:rPr>
                  </w:pPr>
                  <w:r>
                    <w:rPr>
                      <w:rFonts w:hint="eastAsia"/>
                      <w:b/>
                      <w:bCs/>
                      <w:sz w:val="21"/>
                      <w:szCs w:val="21"/>
                    </w:rPr>
                    <w:t>0.000</w:t>
                  </w:r>
                </w:p>
              </w:tc>
              <w:tc>
                <w:tcPr>
                  <w:tcW w:w="785" w:type="pct"/>
                  <w:vAlign w:val="center"/>
                </w:tcPr>
                <w:p>
                  <w:pPr>
                    <w:spacing w:line="240" w:lineRule="auto"/>
                    <w:ind w:firstLine="0" w:firstLineChars="0"/>
                    <w:jc w:val="center"/>
                    <w:rPr>
                      <w:b/>
                      <w:sz w:val="21"/>
                      <w:szCs w:val="21"/>
                      <w:lang w:val="zh-CN"/>
                    </w:rPr>
                  </w:pPr>
                  <w:r>
                    <w:rPr>
                      <w:rFonts w:hint="eastAsia"/>
                      <w:b/>
                      <w:sz w:val="21"/>
                      <w:szCs w:val="21"/>
                    </w:rPr>
                    <w:t>0.172</w:t>
                  </w:r>
                </w:p>
              </w:tc>
              <w:tc>
                <w:tcPr>
                  <w:tcW w:w="752" w:type="pct"/>
                  <w:vAlign w:val="center"/>
                </w:tcPr>
                <w:p>
                  <w:pPr>
                    <w:spacing w:line="240" w:lineRule="auto"/>
                    <w:ind w:firstLine="0" w:firstLineChars="0"/>
                    <w:jc w:val="center"/>
                    <w:rPr>
                      <w:b/>
                      <w:sz w:val="21"/>
                      <w:szCs w:val="21"/>
                      <w:lang w:val="zh-CN"/>
                    </w:rPr>
                  </w:pPr>
                  <w:r>
                    <w:rPr>
                      <w:rFonts w:hint="eastAsia"/>
                      <w:b/>
                      <w:sz w:val="21"/>
                      <w:szCs w:val="21"/>
                    </w:rPr>
                    <w:t>0.009</w:t>
                  </w:r>
                </w:p>
              </w:tc>
            </w:tr>
          </w:tbl>
          <w:p>
            <w:pPr>
              <w:ind w:right="46" w:rightChars="19" w:firstLine="480"/>
              <w:jc w:val="left"/>
            </w:pPr>
          </w:p>
          <w:p>
            <w:pPr>
              <w:ind w:right="46" w:rightChars="19" w:firstLine="480"/>
              <w:jc w:val="left"/>
            </w:pPr>
          </w:p>
          <w:p>
            <w:pPr>
              <w:ind w:right="46" w:rightChars="19" w:firstLine="480"/>
              <w:jc w:val="left"/>
            </w:pPr>
          </w:p>
          <w:p>
            <w:pPr>
              <w:ind w:right="46" w:rightChars="19" w:firstLine="480"/>
              <w:jc w:val="left"/>
            </w:pPr>
          </w:p>
          <w:p>
            <w:pPr>
              <w:ind w:right="46" w:rightChars="19" w:firstLine="480"/>
              <w:jc w:val="left"/>
            </w:pPr>
          </w:p>
          <w:p>
            <w:pPr>
              <w:ind w:right="46" w:rightChars="19" w:firstLine="480"/>
              <w:jc w:val="left"/>
            </w:pPr>
          </w:p>
          <w:p>
            <w:pPr>
              <w:ind w:right="46" w:rightChars="19" w:firstLine="480"/>
              <w:jc w:val="left"/>
            </w:pPr>
          </w:p>
          <w:p>
            <w:pPr>
              <w:ind w:right="46" w:rightChars="19" w:firstLine="480"/>
              <w:jc w:val="left"/>
            </w:pPr>
          </w:p>
          <w:p>
            <w:pPr>
              <w:ind w:right="46" w:rightChars="19" w:firstLine="480"/>
              <w:jc w:val="left"/>
            </w:pPr>
          </w:p>
          <w:p>
            <w:pPr>
              <w:ind w:right="46" w:rightChars="19" w:firstLine="480"/>
              <w:jc w:val="left"/>
            </w:pPr>
          </w:p>
          <w:p>
            <w:pPr>
              <w:ind w:right="46" w:rightChars="19" w:firstLine="480"/>
              <w:jc w:val="left"/>
            </w:pPr>
          </w:p>
          <w:p>
            <w:pPr>
              <w:ind w:right="46" w:rightChars="19" w:firstLine="480"/>
              <w:jc w:val="left"/>
            </w:pPr>
          </w:p>
          <w:p>
            <w:pPr>
              <w:ind w:right="46" w:rightChars="19" w:firstLine="480"/>
              <w:jc w:val="left"/>
            </w:pPr>
          </w:p>
          <w:p>
            <w:pPr>
              <w:ind w:right="46" w:rightChars="19" w:firstLine="480"/>
              <w:jc w:val="left"/>
            </w:pPr>
          </w:p>
          <w:p>
            <w:pPr>
              <w:ind w:right="46" w:rightChars="19" w:firstLine="480"/>
              <w:jc w:val="left"/>
            </w:pPr>
          </w:p>
          <w:p>
            <w:pPr>
              <w:ind w:right="46" w:rightChars="19" w:firstLine="482"/>
              <w:jc w:val="left"/>
              <w:rPr>
                <w:b/>
              </w:rPr>
            </w:pPr>
          </w:p>
        </w:tc>
      </w:tr>
    </w:tbl>
    <w:p>
      <w:pPr>
        <w:spacing w:line="240" w:lineRule="auto"/>
        <w:ind w:right="46" w:rightChars="19" w:firstLine="0" w:firstLineChars="0"/>
        <w:sectPr>
          <w:pgSz w:w="11906" w:h="16838"/>
          <w:pgMar w:top="1440" w:right="1800" w:bottom="1440" w:left="1800" w:header="851" w:footer="992" w:gutter="0"/>
          <w:cols w:space="425" w:num="1"/>
          <w:docGrid w:type="lines" w:linePitch="312" w:charSpace="0"/>
        </w:sectPr>
      </w:pPr>
    </w:p>
    <w:p>
      <w:pPr>
        <w:pStyle w:val="2"/>
        <w:ind w:right="46" w:rightChars="19"/>
      </w:pPr>
      <w:r>
        <w:rPr>
          <w:rFonts w:hint="eastAsia"/>
        </w:rPr>
        <w:t>四、主要环境影响和保护措施</w:t>
      </w:r>
    </w:p>
    <w:tbl>
      <w:tblPr>
        <w:tblStyle w:val="17"/>
        <w:tblW w:w="570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589"/>
        <w:gridCol w:w="89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310" w:type="pct"/>
            <w:vAlign w:val="center"/>
          </w:tcPr>
          <w:p>
            <w:pPr>
              <w:spacing w:line="400" w:lineRule="exact"/>
              <w:ind w:right="46" w:rightChars="19" w:firstLine="0" w:firstLineChars="0"/>
              <w:jc w:val="center"/>
            </w:pPr>
            <w:r>
              <w:rPr>
                <w:rFonts w:hint="eastAsia"/>
              </w:rPr>
              <w:t>施工期环境保护措施</w:t>
            </w:r>
          </w:p>
        </w:tc>
        <w:tc>
          <w:tcPr>
            <w:tcW w:w="4690" w:type="pct"/>
            <w:vAlign w:val="center"/>
          </w:tcPr>
          <w:p>
            <w:pPr>
              <w:ind w:right="46" w:rightChars="19" w:firstLine="480"/>
            </w:pPr>
            <w:r>
              <w:rPr>
                <w:rFonts w:hint="eastAsia"/>
              </w:rPr>
              <w:t>本项目租用河北省石家庄市高新区学苑路30号副6号傲湖小区1号商业楼01-204建设，不进行土建施工，施工期仅涉及房屋装修和设备安装与调试工作，扬尘产生量极小，施工期对环境的影响以施工噪声、固废和废水为主。根据本项目情况，施工时间较短，施工活动对环境的影响是短期、局部和可恢复的。</w:t>
            </w:r>
          </w:p>
          <w:p>
            <w:pPr>
              <w:ind w:right="46" w:rightChars="19" w:firstLine="0" w:firstLineChars="0"/>
              <w:jc w:val="left"/>
              <w:rPr>
                <w:b/>
              </w:rPr>
            </w:pPr>
            <w:r>
              <w:rPr>
                <w:rFonts w:hint="eastAsia"/>
                <w:b/>
              </w:rPr>
              <w:t>1、声环境影响分析</w:t>
            </w:r>
          </w:p>
          <w:p>
            <w:pPr>
              <w:ind w:right="46" w:rightChars="19" w:firstLine="480"/>
            </w:pPr>
            <w:r>
              <w:rPr>
                <w:rFonts w:hint="eastAsia"/>
              </w:rPr>
              <w:t>施工期的噪声污染源主要为装修噪声、设备安装噪声和运输车辆噪声，噪声级一般在65～90dB（A）之间。本项目施工及设备安装主要在白天进行，且持续时间较短，通过合理安排施工时间，施工场界噪声可以达到《建筑施工场界环境噪声排放标准》（GB12523-2011）的要求，对周围敏感点声环境产生不利影响较小。</w:t>
            </w:r>
          </w:p>
          <w:p>
            <w:pPr>
              <w:ind w:right="46" w:rightChars="19" w:firstLine="0" w:firstLineChars="0"/>
              <w:jc w:val="left"/>
              <w:rPr>
                <w:b/>
              </w:rPr>
            </w:pPr>
            <w:r>
              <w:rPr>
                <w:rFonts w:hint="eastAsia"/>
                <w:b/>
              </w:rPr>
              <w:t>2、水环境影响分析</w:t>
            </w:r>
          </w:p>
          <w:p>
            <w:pPr>
              <w:ind w:right="46" w:rightChars="19" w:firstLine="480"/>
              <w:rPr>
                <w:lang w:val="en-GB"/>
              </w:rPr>
            </w:pPr>
            <w:r>
              <w:rPr>
                <w:rFonts w:hint="eastAsia"/>
              </w:rPr>
              <w:t>施工期废水主要为施工人员生活污水，施工人员按10人计，生活用水量按</w:t>
            </w:r>
            <w:r>
              <w:t>15L/d·</w:t>
            </w:r>
            <w:r>
              <w:rPr>
                <w:rFonts w:hint="eastAsia"/>
              </w:rPr>
              <w:t>人计，则生活用水量为</w:t>
            </w:r>
            <w:r>
              <w:t>0.</w:t>
            </w:r>
            <w:r>
              <w:rPr>
                <w:rFonts w:hint="eastAsia"/>
              </w:rPr>
              <w:t>15</w:t>
            </w:r>
            <w:r>
              <w:t>m</w:t>
            </w:r>
            <w:r>
              <w:rPr>
                <w:rFonts w:hint="eastAsia"/>
                <w:vertAlign w:val="superscript"/>
              </w:rPr>
              <w:t>3</w:t>
            </w:r>
            <w:r>
              <w:t>/d</w:t>
            </w:r>
            <w:r>
              <w:rPr>
                <w:rFonts w:hint="eastAsia"/>
              </w:rPr>
              <w:t>。生活污水的排放量按用水量的</w:t>
            </w:r>
            <w:r>
              <w:t>80%</w:t>
            </w:r>
            <w:r>
              <w:rPr>
                <w:rFonts w:hint="eastAsia"/>
              </w:rPr>
              <w:t>计算，则生活污水的产生量为</w:t>
            </w:r>
            <w:r>
              <w:t>0.</w:t>
            </w:r>
            <w:r>
              <w:rPr>
                <w:rFonts w:hint="eastAsia"/>
              </w:rPr>
              <w:t>12</w:t>
            </w:r>
            <w:r>
              <w:t>m</w:t>
            </w:r>
            <w:r>
              <w:rPr>
                <w:rFonts w:hint="eastAsia"/>
                <w:vertAlign w:val="superscript"/>
              </w:rPr>
              <w:t>3</w:t>
            </w:r>
            <w:r>
              <w:t>/d</w:t>
            </w:r>
            <w:r>
              <w:rPr>
                <w:rFonts w:hint="eastAsia"/>
              </w:rPr>
              <w:t>，主要污染因子为</w:t>
            </w:r>
            <w:r>
              <w:t>COD</w:t>
            </w:r>
            <w:r>
              <w:rPr>
                <w:rFonts w:hint="eastAsia"/>
              </w:rPr>
              <w:t>、</w:t>
            </w:r>
            <w:r>
              <w:t>BOD</w:t>
            </w:r>
            <w:r>
              <w:rPr>
                <w:vertAlign w:val="subscript"/>
              </w:rPr>
              <w:t>5</w:t>
            </w:r>
            <w:r>
              <w:rPr>
                <w:rFonts w:hint="eastAsia"/>
              </w:rPr>
              <w:t>、</w:t>
            </w:r>
            <w:r>
              <w:t>SS</w:t>
            </w:r>
            <w:r>
              <w:rPr>
                <w:rFonts w:hint="eastAsia"/>
              </w:rPr>
              <w:t>、氨氮。施工人员生活废水依托傲湖小区1号商业楼化粪池处理后汇入市政污水管网。项目施工期所产生的废水对区域水环境的影响较小，并将随施工期结束而结束。</w:t>
            </w:r>
          </w:p>
          <w:p>
            <w:pPr>
              <w:ind w:right="46" w:rightChars="19" w:firstLine="0" w:firstLineChars="0"/>
              <w:jc w:val="left"/>
              <w:rPr>
                <w:b/>
              </w:rPr>
            </w:pPr>
            <w:r>
              <w:rPr>
                <w:rFonts w:hint="eastAsia"/>
                <w:b/>
              </w:rPr>
              <w:t>3、固体废物影响分析</w:t>
            </w:r>
          </w:p>
          <w:p>
            <w:pPr>
              <w:ind w:right="46" w:rightChars="19" w:firstLine="480"/>
              <w:rPr>
                <w:lang w:val="en-GB"/>
              </w:rPr>
            </w:pPr>
            <w:r>
              <w:rPr>
                <w:rFonts w:hint="eastAsia"/>
                <w:lang w:val="en-GB"/>
              </w:rPr>
              <w:t>施工期固废主要为建筑垃圾和施工人员产生的生活垃圾，建筑垃圾主要为塑料、软包装、废电线金属、碎木等边角料。</w:t>
            </w:r>
          </w:p>
          <w:p>
            <w:pPr>
              <w:ind w:right="46" w:rightChars="19" w:firstLine="480"/>
              <w:rPr>
                <w:lang w:val="en-GB"/>
              </w:rPr>
            </w:pPr>
            <w:r>
              <w:rPr>
                <w:rFonts w:hint="eastAsia"/>
                <w:lang w:val="en-GB"/>
              </w:rPr>
              <w:t>施工人员生活垃圾经施工人员收集后，再由环卫部门统一外运处置，施工过程中产生的软包装、废电线金属、碎木等可由废品公司收购。</w:t>
            </w:r>
          </w:p>
          <w:p>
            <w:pPr>
              <w:ind w:right="46" w:rightChars="19" w:firstLine="480"/>
              <w:rPr>
                <w:lang w:val="en-GB"/>
              </w:rPr>
            </w:pPr>
            <w:r>
              <w:rPr>
                <w:rFonts w:hint="eastAsia"/>
                <w:lang w:val="en-GB"/>
              </w:rPr>
              <w:t>施工期的固废排放是短期行为，只要加强固废管理，及时、安全处理施工垃圾，即不会对环境产生不利影响。</w:t>
            </w:r>
          </w:p>
          <w:p>
            <w:pPr>
              <w:ind w:right="46" w:rightChars="19" w:firstLine="480"/>
              <w:rPr>
                <w:lang w:val="en-GB"/>
              </w:rPr>
            </w:pPr>
            <w:r>
              <w:rPr>
                <w:rFonts w:hint="eastAsia"/>
                <w:lang w:val="en-GB"/>
              </w:rPr>
              <w:t>综上所述，本项目施工期间对周围环境产生一定影响，建设单位要求施工单位通过加强管理、文明施工的手段减少施工对周围环境的影响。</w:t>
            </w:r>
          </w:p>
          <w:p>
            <w:pPr>
              <w:ind w:right="46" w:rightChars="19" w:firstLine="480"/>
              <w:rPr>
                <w:lang w:val="en-GB"/>
              </w:rPr>
            </w:pPr>
          </w:p>
          <w:p>
            <w:pPr>
              <w:ind w:right="46" w:rightChars="19" w:firstLine="480"/>
              <w:rPr>
                <w:lang w:val="en-G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310" w:type="pct"/>
            <w:vAlign w:val="center"/>
          </w:tcPr>
          <w:p>
            <w:pPr>
              <w:spacing w:line="400" w:lineRule="exact"/>
              <w:ind w:right="46" w:rightChars="19" w:firstLine="0" w:firstLineChars="0"/>
              <w:jc w:val="center"/>
            </w:pPr>
            <w:r>
              <w:rPr>
                <w:rFonts w:hint="eastAsia"/>
              </w:rPr>
              <w:t>运营期环境影响和保护措施</w:t>
            </w:r>
          </w:p>
        </w:tc>
        <w:tc>
          <w:tcPr>
            <w:tcW w:w="4690" w:type="pct"/>
            <w:vAlign w:val="center"/>
          </w:tcPr>
          <w:p>
            <w:pPr>
              <w:ind w:right="46" w:rightChars="19" w:firstLine="0" w:firstLineChars="0"/>
              <w:rPr>
                <w:b/>
              </w:rPr>
            </w:pPr>
            <w:r>
              <w:rPr>
                <w:rFonts w:hint="eastAsia"/>
                <w:b/>
              </w:rPr>
              <w:t>1、大气环境影响分析</w:t>
            </w:r>
          </w:p>
          <w:p>
            <w:pPr>
              <w:ind w:left="120" w:leftChars="50" w:right="120" w:rightChars="50" w:firstLine="480"/>
              <w:jc w:val="left"/>
            </w:pPr>
            <w:r>
              <w:rPr>
                <w:rFonts w:hint="eastAsia"/>
              </w:rPr>
              <w:t>（1）废气污染源源强、处理措施及排放情况汇总</w:t>
            </w:r>
          </w:p>
          <w:p>
            <w:pPr>
              <w:ind w:right="46" w:rightChars="19" w:firstLine="480"/>
              <w:rPr>
                <w:bCs/>
              </w:rPr>
            </w:pPr>
            <w:r>
              <w:rPr>
                <w:rFonts w:hint="eastAsia"/>
              </w:rPr>
              <w:t>项目产生废气的单元主要为污水处理废气和</w:t>
            </w:r>
            <w:r>
              <w:rPr>
                <w:rFonts w:hint="eastAsia"/>
                <w:bCs/>
              </w:rPr>
              <w:t>中药煎药室废气。</w:t>
            </w:r>
          </w:p>
          <w:p>
            <w:pPr>
              <w:ind w:right="46" w:rightChars="19" w:firstLine="480"/>
              <w:rPr>
                <w:bCs/>
              </w:rPr>
            </w:pPr>
            <w:r>
              <w:rPr>
                <w:rFonts w:hint="eastAsia"/>
                <w:bCs/>
              </w:rPr>
              <w:t>污水处理间位于医院1楼，</w:t>
            </w:r>
            <w:r>
              <w:t>处理规模为</w:t>
            </w:r>
            <w:r>
              <w:rPr>
                <w:rFonts w:hint="eastAsia"/>
              </w:rPr>
              <w:t>2</w:t>
            </w:r>
            <w:r>
              <w:t>0m</w:t>
            </w:r>
            <w:r>
              <w:rPr>
                <w:vertAlign w:val="superscript"/>
              </w:rPr>
              <w:t>3</w:t>
            </w:r>
            <w:r>
              <w:t>/d，</w:t>
            </w:r>
            <w:r>
              <w:rPr>
                <w:rFonts w:hint="eastAsia"/>
              </w:rPr>
              <w:t>采用“格栅+调节池+水解酸化+二级接触氧化+好氧+MBR膜处理+沉淀+NaClO消毒”</w:t>
            </w:r>
            <w:r>
              <w:t>工艺</w:t>
            </w:r>
            <w:r>
              <w:rPr>
                <w:rFonts w:hint="eastAsia"/>
              </w:rPr>
              <w:t>，污水处理间设有格栅、调节池、一体化污水处理池体，污水处理废气主要来自污水处理过程原生动物、病毒、细菌团等微生物新陈代谢产生的恶臭气体，主要成分为硫化氢、氨等。污水处理间各池体采用碳钢池体，按照《医疗机构水污染物排放标准》（GB18466-2005）中的要求，格栅、调节池、一体化处理池体的水解酸化池、二级接触氧化池等臭味发生源设置盖板密闭，废气引至</w:t>
            </w:r>
            <w:r>
              <w:rPr>
                <w:rFonts w:hint="eastAsia"/>
                <w:bCs/>
              </w:rPr>
              <w:t>2级活性炭吸附装置处理，处理后废气引至15m高排气筒（DA001）排放</w:t>
            </w:r>
            <w:r>
              <w:rPr>
                <w:rFonts w:hint="eastAsia"/>
              </w:rPr>
              <w:t>。</w:t>
            </w:r>
          </w:p>
          <w:p>
            <w:pPr>
              <w:ind w:right="46" w:rightChars="19" w:firstLine="480"/>
              <w:rPr>
                <w:bCs/>
              </w:rPr>
            </w:pPr>
            <w:r>
              <w:rPr>
                <w:rFonts w:hint="eastAsia"/>
                <w:bCs/>
              </w:rPr>
              <w:t>中药煎药室位于医院1楼，中药煎煮过程中有异味产生，以臭气浓度计，煎药室内设有集气罩，煎药废气经集气罩收集后引至2级活性炭吸附装置处理，处理后废气引至15m高排气筒（DA001）排放。</w:t>
            </w:r>
          </w:p>
          <w:p>
            <w:pPr>
              <w:ind w:right="46" w:rightChars="19" w:firstLine="480"/>
            </w:pPr>
            <w:r>
              <w:rPr>
                <w:rFonts w:hint="eastAsia"/>
              </w:rPr>
              <w:t>项目废气污染源源强、处理措施及排放情况见下表。</w:t>
            </w:r>
          </w:p>
          <w:p>
            <w:pPr>
              <w:ind w:right="46" w:rightChars="19" w:firstLine="480"/>
            </w:pPr>
          </w:p>
          <w:p>
            <w:pPr>
              <w:ind w:right="46" w:rightChars="19" w:firstLine="480"/>
            </w:pPr>
          </w:p>
          <w:p>
            <w:pPr>
              <w:ind w:right="46" w:rightChars="19" w:firstLine="480"/>
            </w:pPr>
          </w:p>
          <w:p>
            <w:pPr>
              <w:ind w:right="46" w:rightChars="19" w:firstLine="480"/>
            </w:pPr>
          </w:p>
          <w:p>
            <w:pPr>
              <w:ind w:right="46" w:rightChars="19" w:firstLine="480"/>
            </w:pPr>
          </w:p>
          <w:p>
            <w:pPr>
              <w:ind w:right="46" w:rightChars="19" w:firstLine="480"/>
            </w:pPr>
          </w:p>
          <w:p>
            <w:pPr>
              <w:ind w:right="46" w:rightChars="19" w:firstLine="480"/>
            </w:pPr>
          </w:p>
          <w:p>
            <w:pPr>
              <w:ind w:right="46" w:rightChars="19" w:firstLine="480"/>
            </w:pPr>
          </w:p>
          <w:p>
            <w:pPr>
              <w:ind w:right="46" w:rightChars="19" w:firstLine="480"/>
            </w:pPr>
          </w:p>
          <w:p>
            <w:pPr>
              <w:ind w:right="46" w:rightChars="19" w:firstLine="480"/>
            </w:pPr>
          </w:p>
          <w:p>
            <w:pPr>
              <w:ind w:right="46" w:rightChars="19" w:firstLine="480"/>
            </w:pPr>
          </w:p>
        </w:tc>
      </w:tr>
    </w:tbl>
    <w:p>
      <w:pPr>
        <w:spacing w:line="240" w:lineRule="auto"/>
        <w:ind w:firstLine="0" w:firstLineChars="0"/>
        <w:sectPr>
          <w:pgSz w:w="11906" w:h="16838"/>
          <w:pgMar w:top="1440" w:right="1800" w:bottom="1440" w:left="1800" w:header="851" w:footer="992" w:gutter="0"/>
          <w:cols w:space="425" w:num="1"/>
          <w:docGrid w:type="lines" w:linePitch="312" w:charSpace="0"/>
        </w:sectPr>
      </w:pPr>
    </w:p>
    <w:tbl>
      <w:tblPr>
        <w:tblStyle w:val="17"/>
        <w:tblW w:w="1446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571"/>
        <w:gridCol w:w="1389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571" w:type="dxa"/>
            <w:vAlign w:val="center"/>
          </w:tcPr>
          <w:p>
            <w:pPr>
              <w:spacing w:line="240" w:lineRule="auto"/>
              <w:ind w:firstLine="0" w:firstLineChars="0"/>
              <w:jc w:val="center"/>
            </w:pPr>
            <w:r>
              <w:rPr>
                <w:rFonts w:hint="eastAsia"/>
              </w:rPr>
              <w:t>运营期环境影响和保护措施</w:t>
            </w:r>
          </w:p>
        </w:tc>
        <w:tc>
          <w:tcPr>
            <w:tcW w:w="13891" w:type="dxa"/>
          </w:tcPr>
          <w:p>
            <w:pPr>
              <w:pStyle w:val="14"/>
            </w:pPr>
            <w:r>
              <w:rPr>
                <w:rFonts w:hint="eastAsia"/>
              </w:rPr>
              <w:t>表22   废气污染物产生、处理及排放情况一览表</w:t>
            </w:r>
          </w:p>
          <w:tbl>
            <w:tblPr>
              <w:tblStyle w:val="17"/>
              <w:tblW w:w="1387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476"/>
              <w:gridCol w:w="650"/>
              <w:gridCol w:w="844"/>
              <w:gridCol w:w="836"/>
              <w:gridCol w:w="433"/>
              <w:gridCol w:w="599"/>
              <w:gridCol w:w="403"/>
              <w:gridCol w:w="432"/>
              <w:gridCol w:w="348"/>
              <w:gridCol w:w="840"/>
              <w:gridCol w:w="26"/>
              <w:gridCol w:w="839"/>
              <w:gridCol w:w="1046"/>
              <w:gridCol w:w="1054"/>
              <w:gridCol w:w="569"/>
              <w:gridCol w:w="537"/>
              <w:gridCol w:w="463"/>
              <w:gridCol w:w="371"/>
              <w:gridCol w:w="382"/>
              <w:gridCol w:w="27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476" w:type="dxa"/>
                  <w:vMerge w:val="restart"/>
                  <w:vAlign w:val="center"/>
                </w:tcPr>
                <w:p>
                  <w:pPr>
                    <w:spacing w:line="240" w:lineRule="auto"/>
                    <w:ind w:right="46" w:rightChars="19" w:firstLine="0" w:firstLineChars="0"/>
                    <w:jc w:val="center"/>
                    <w:rPr>
                      <w:sz w:val="21"/>
                      <w:szCs w:val="21"/>
                    </w:rPr>
                  </w:pPr>
                  <w:r>
                    <w:rPr>
                      <w:rFonts w:hint="eastAsia"/>
                      <w:sz w:val="21"/>
                      <w:szCs w:val="21"/>
                    </w:rPr>
                    <w:t>产污环节</w:t>
                  </w:r>
                </w:p>
              </w:tc>
              <w:tc>
                <w:tcPr>
                  <w:tcW w:w="650" w:type="dxa"/>
                  <w:vMerge w:val="restart"/>
                  <w:vAlign w:val="center"/>
                </w:tcPr>
                <w:p>
                  <w:pPr>
                    <w:spacing w:line="240" w:lineRule="auto"/>
                    <w:ind w:right="46" w:rightChars="19" w:firstLine="0" w:firstLineChars="0"/>
                    <w:jc w:val="center"/>
                    <w:rPr>
                      <w:spacing w:val="4"/>
                      <w:sz w:val="21"/>
                      <w:szCs w:val="21"/>
                    </w:rPr>
                  </w:pPr>
                  <w:r>
                    <w:rPr>
                      <w:rFonts w:hint="eastAsia"/>
                      <w:sz w:val="21"/>
                      <w:szCs w:val="21"/>
                    </w:rPr>
                    <w:t>污染物种类</w:t>
                  </w:r>
                </w:p>
              </w:tc>
              <w:tc>
                <w:tcPr>
                  <w:tcW w:w="1680" w:type="dxa"/>
                  <w:gridSpan w:val="2"/>
                  <w:vAlign w:val="center"/>
                </w:tcPr>
                <w:p>
                  <w:pPr>
                    <w:spacing w:line="240" w:lineRule="auto"/>
                    <w:ind w:right="46" w:rightChars="19" w:firstLine="0" w:firstLineChars="0"/>
                    <w:jc w:val="center"/>
                    <w:rPr>
                      <w:sz w:val="21"/>
                      <w:szCs w:val="21"/>
                    </w:rPr>
                  </w:pPr>
                  <w:r>
                    <w:rPr>
                      <w:rFonts w:hint="eastAsia"/>
                      <w:sz w:val="21"/>
                      <w:szCs w:val="21"/>
                    </w:rPr>
                    <w:t>产生情况</w:t>
                  </w:r>
                </w:p>
              </w:tc>
              <w:tc>
                <w:tcPr>
                  <w:tcW w:w="433" w:type="dxa"/>
                  <w:vMerge w:val="restart"/>
                  <w:vAlign w:val="center"/>
                </w:tcPr>
                <w:p>
                  <w:pPr>
                    <w:spacing w:line="240" w:lineRule="auto"/>
                    <w:ind w:right="46" w:rightChars="19" w:firstLine="0" w:firstLineChars="0"/>
                    <w:jc w:val="center"/>
                    <w:rPr>
                      <w:sz w:val="21"/>
                      <w:szCs w:val="21"/>
                    </w:rPr>
                  </w:pPr>
                  <w:r>
                    <w:rPr>
                      <w:rFonts w:hint="eastAsia"/>
                      <w:sz w:val="21"/>
                      <w:szCs w:val="21"/>
                    </w:rPr>
                    <w:t>排放形式</w:t>
                  </w:r>
                </w:p>
              </w:tc>
              <w:tc>
                <w:tcPr>
                  <w:tcW w:w="599" w:type="dxa"/>
                  <w:vMerge w:val="restart"/>
                  <w:vAlign w:val="center"/>
                </w:tcPr>
                <w:p>
                  <w:pPr>
                    <w:spacing w:line="240" w:lineRule="auto"/>
                    <w:ind w:right="46" w:rightChars="19" w:firstLine="0" w:firstLineChars="0"/>
                    <w:jc w:val="center"/>
                    <w:rPr>
                      <w:sz w:val="21"/>
                      <w:szCs w:val="21"/>
                    </w:rPr>
                  </w:pPr>
                  <w:r>
                    <w:rPr>
                      <w:rFonts w:hint="eastAsia"/>
                      <w:sz w:val="21"/>
                      <w:szCs w:val="21"/>
                    </w:rPr>
                    <w:t>治理措施</w:t>
                  </w:r>
                </w:p>
              </w:tc>
              <w:tc>
                <w:tcPr>
                  <w:tcW w:w="403" w:type="dxa"/>
                  <w:vMerge w:val="restart"/>
                  <w:vAlign w:val="center"/>
                </w:tcPr>
                <w:p>
                  <w:pPr>
                    <w:spacing w:line="240" w:lineRule="auto"/>
                    <w:ind w:right="46" w:rightChars="19" w:firstLine="0" w:firstLineChars="0"/>
                    <w:jc w:val="center"/>
                    <w:rPr>
                      <w:sz w:val="21"/>
                      <w:szCs w:val="21"/>
                    </w:rPr>
                  </w:pPr>
                  <w:r>
                    <w:rPr>
                      <w:rFonts w:hint="eastAsia"/>
                      <w:sz w:val="21"/>
                      <w:szCs w:val="21"/>
                    </w:rPr>
                    <w:t>收集</w:t>
                  </w:r>
                </w:p>
                <w:p>
                  <w:pPr>
                    <w:spacing w:line="240" w:lineRule="auto"/>
                    <w:ind w:right="46" w:rightChars="19" w:firstLine="0" w:firstLineChars="0"/>
                    <w:jc w:val="center"/>
                    <w:rPr>
                      <w:sz w:val="21"/>
                      <w:szCs w:val="21"/>
                    </w:rPr>
                  </w:pPr>
                  <w:r>
                    <w:rPr>
                      <w:rFonts w:hint="eastAsia"/>
                      <w:sz w:val="21"/>
                      <w:szCs w:val="21"/>
                    </w:rPr>
                    <w:t>效率</w:t>
                  </w:r>
                </w:p>
                <w:p>
                  <w:pPr>
                    <w:spacing w:line="240" w:lineRule="auto"/>
                    <w:ind w:right="46" w:rightChars="19" w:firstLine="0" w:firstLineChars="0"/>
                    <w:jc w:val="center"/>
                    <w:rPr>
                      <w:sz w:val="21"/>
                      <w:szCs w:val="21"/>
                    </w:rPr>
                  </w:pPr>
                  <w:r>
                    <w:rPr>
                      <w:rFonts w:hint="eastAsia"/>
                      <w:sz w:val="21"/>
                      <w:szCs w:val="21"/>
                    </w:rPr>
                    <w:t>%</w:t>
                  </w:r>
                </w:p>
              </w:tc>
              <w:tc>
                <w:tcPr>
                  <w:tcW w:w="432" w:type="dxa"/>
                  <w:vMerge w:val="restart"/>
                  <w:vAlign w:val="center"/>
                </w:tcPr>
                <w:p>
                  <w:pPr>
                    <w:spacing w:line="240" w:lineRule="auto"/>
                    <w:ind w:right="46" w:rightChars="19" w:firstLine="0" w:firstLineChars="0"/>
                    <w:jc w:val="center"/>
                    <w:rPr>
                      <w:sz w:val="21"/>
                      <w:szCs w:val="21"/>
                    </w:rPr>
                  </w:pPr>
                  <w:r>
                    <w:rPr>
                      <w:rFonts w:hint="eastAsia"/>
                      <w:sz w:val="21"/>
                      <w:szCs w:val="21"/>
                    </w:rPr>
                    <w:t>去除</w:t>
                  </w:r>
                </w:p>
                <w:p>
                  <w:pPr>
                    <w:spacing w:line="240" w:lineRule="auto"/>
                    <w:ind w:right="46" w:rightChars="19" w:firstLine="0" w:firstLineChars="0"/>
                    <w:jc w:val="center"/>
                    <w:rPr>
                      <w:sz w:val="21"/>
                      <w:szCs w:val="21"/>
                    </w:rPr>
                  </w:pPr>
                  <w:r>
                    <w:rPr>
                      <w:rFonts w:hint="eastAsia"/>
                      <w:sz w:val="21"/>
                      <w:szCs w:val="21"/>
                    </w:rPr>
                    <w:t>效率</w:t>
                  </w:r>
                </w:p>
                <w:p>
                  <w:pPr>
                    <w:spacing w:line="240" w:lineRule="auto"/>
                    <w:ind w:right="46" w:rightChars="19" w:firstLine="0" w:firstLineChars="0"/>
                    <w:jc w:val="center"/>
                    <w:rPr>
                      <w:sz w:val="21"/>
                      <w:szCs w:val="21"/>
                    </w:rPr>
                  </w:pPr>
                  <w:r>
                    <w:rPr>
                      <w:rFonts w:hint="eastAsia"/>
                      <w:sz w:val="21"/>
                      <w:szCs w:val="21"/>
                    </w:rPr>
                    <w:t>%</w:t>
                  </w:r>
                </w:p>
              </w:tc>
              <w:tc>
                <w:tcPr>
                  <w:tcW w:w="348" w:type="dxa"/>
                  <w:vMerge w:val="restart"/>
                  <w:vAlign w:val="center"/>
                </w:tcPr>
                <w:p>
                  <w:pPr>
                    <w:spacing w:line="240" w:lineRule="auto"/>
                    <w:ind w:right="46" w:rightChars="19" w:firstLine="0" w:firstLineChars="0"/>
                    <w:jc w:val="center"/>
                    <w:rPr>
                      <w:sz w:val="21"/>
                      <w:szCs w:val="21"/>
                    </w:rPr>
                  </w:pPr>
                  <w:r>
                    <w:rPr>
                      <w:rFonts w:hint="eastAsia"/>
                      <w:sz w:val="21"/>
                      <w:szCs w:val="21"/>
                    </w:rPr>
                    <w:t>可行性</w:t>
                  </w:r>
                </w:p>
              </w:tc>
              <w:tc>
                <w:tcPr>
                  <w:tcW w:w="1705" w:type="dxa"/>
                  <w:gridSpan w:val="3"/>
                  <w:vAlign w:val="center"/>
                </w:tcPr>
                <w:p>
                  <w:pPr>
                    <w:spacing w:line="240" w:lineRule="auto"/>
                    <w:ind w:right="46" w:rightChars="19" w:firstLine="0" w:firstLineChars="0"/>
                    <w:jc w:val="center"/>
                    <w:rPr>
                      <w:sz w:val="21"/>
                      <w:szCs w:val="21"/>
                    </w:rPr>
                  </w:pPr>
                  <w:r>
                    <w:rPr>
                      <w:rFonts w:hint="eastAsia"/>
                      <w:sz w:val="21"/>
                      <w:szCs w:val="21"/>
                    </w:rPr>
                    <w:t>排放情况</w:t>
                  </w:r>
                </w:p>
              </w:tc>
              <w:tc>
                <w:tcPr>
                  <w:tcW w:w="4422" w:type="dxa"/>
                  <w:gridSpan w:val="7"/>
                  <w:vAlign w:val="center"/>
                </w:tcPr>
                <w:p>
                  <w:pPr>
                    <w:spacing w:line="240" w:lineRule="auto"/>
                    <w:ind w:right="46" w:rightChars="19" w:firstLine="0" w:firstLineChars="0"/>
                    <w:jc w:val="center"/>
                    <w:rPr>
                      <w:sz w:val="21"/>
                      <w:szCs w:val="21"/>
                    </w:rPr>
                  </w:pPr>
                  <w:r>
                    <w:rPr>
                      <w:rFonts w:hint="eastAsia"/>
                      <w:sz w:val="21"/>
                      <w:szCs w:val="21"/>
                    </w:rPr>
                    <w:t>排放口基本情况</w:t>
                  </w:r>
                </w:p>
              </w:tc>
              <w:tc>
                <w:tcPr>
                  <w:tcW w:w="2723" w:type="dxa"/>
                  <w:vMerge w:val="restart"/>
                  <w:vAlign w:val="center"/>
                </w:tcPr>
                <w:p>
                  <w:pPr>
                    <w:spacing w:line="240" w:lineRule="auto"/>
                    <w:ind w:right="46" w:rightChars="19" w:firstLine="420"/>
                    <w:jc w:val="center"/>
                    <w:rPr>
                      <w:sz w:val="21"/>
                      <w:szCs w:val="21"/>
                    </w:rPr>
                  </w:pPr>
                  <w:r>
                    <w:rPr>
                      <w:rFonts w:hint="eastAsia"/>
                      <w:sz w:val="21"/>
                      <w:szCs w:val="21"/>
                    </w:rPr>
                    <w:t>排放标准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45" w:hRule="atLeast"/>
                <w:jc w:val="center"/>
              </w:trPr>
              <w:tc>
                <w:tcPr>
                  <w:tcW w:w="476" w:type="dxa"/>
                  <w:vMerge w:val="continue"/>
                  <w:vAlign w:val="center"/>
                </w:tcPr>
                <w:p>
                  <w:pPr>
                    <w:spacing w:line="240" w:lineRule="auto"/>
                    <w:ind w:right="46" w:rightChars="19" w:firstLine="0" w:firstLineChars="0"/>
                    <w:jc w:val="center"/>
                    <w:rPr>
                      <w:sz w:val="21"/>
                      <w:szCs w:val="21"/>
                    </w:rPr>
                  </w:pPr>
                </w:p>
              </w:tc>
              <w:tc>
                <w:tcPr>
                  <w:tcW w:w="650" w:type="dxa"/>
                  <w:vMerge w:val="continue"/>
                  <w:vAlign w:val="center"/>
                </w:tcPr>
                <w:p>
                  <w:pPr>
                    <w:spacing w:line="240" w:lineRule="auto"/>
                    <w:ind w:right="46" w:rightChars="19" w:firstLine="0" w:firstLineChars="0"/>
                    <w:jc w:val="center"/>
                    <w:rPr>
                      <w:spacing w:val="4"/>
                      <w:sz w:val="21"/>
                      <w:szCs w:val="21"/>
                    </w:rPr>
                  </w:pPr>
                </w:p>
              </w:tc>
              <w:tc>
                <w:tcPr>
                  <w:tcW w:w="844" w:type="dxa"/>
                  <w:vMerge w:val="restart"/>
                  <w:vAlign w:val="center"/>
                </w:tcPr>
                <w:p>
                  <w:pPr>
                    <w:spacing w:line="240" w:lineRule="auto"/>
                    <w:ind w:right="46" w:rightChars="19" w:firstLine="0" w:firstLineChars="0"/>
                    <w:jc w:val="center"/>
                    <w:rPr>
                      <w:sz w:val="21"/>
                      <w:szCs w:val="21"/>
                    </w:rPr>
                  </w:pPr>
                  <w:r>
                    <w:rPr>
                      <w:rFonts w:hint="eastAsia"/>
                      <w:sz w:val="21"/>
                      <w:szCs w:val="21"/>
                    </w:rPr>
                    <w:t>产生量</w:t>
                  </w:r>
                </w:p>
                <w:p>
                  <w:pPr>
                    <w:spacing w:line="240" w:lineRule="auto"/>
                    <w:ind w:right="46" w:rightChars="19" w:firstLine="0" w:firstLineChars="0"/>
                    <w:jc w:val="center"/>
                    <w:rPr>
                      <w:sz w:val="21"/>
                      <w:szCs w:val="21"/>
                    </w:rPr>
                  </w:pPr>
                  <w:r>
                    <w:rPr>
                      <w:rFonts w:hint="eastAsia"/>
                      <w:sz w:val="21"/>
                      <w:szCs w:val="21"/>
                    </w:rPr>
                    <w:t>t/a</w:t>
                  </w:r>
                </w:p>
              </w:tc>
              <w:tc>
                <w:tcPr>
                  <w:tcW w:w="836" w:type="dxa"/>
                  <w:vMerge w:val="restart"/>
                  <w:vAlign w:val="center"/>
                </w:tcPr>
                <w:p>
                  <w:pPr>
                    <w:spacing w:line="240" w:lineRule="auto"/>
                    <w:ind w:right="46" w:rightChars="19" w:firstLine="0" w:firstLineChars="0"/>
                    <w:jc w:val="center"/>
                    <w:rPr>
                      <w:sz w:val="21"/>
                      <w:szCs w:val="21"/>
                      <w:vertAlign w:val="superscript"/>
                    </w:rPr>
                  </w:pPr>
                  <w:r>
                    <w:rPr>
                      <w:rFonts w:hint="eastAsia"/>
                      <w:sz w:val="21"/>
                      <w:szCs w:val="21"/>
                    </w:rPr>
                    <w:t>产生浓度mg/m</w:t>
                  </w:r>
                  <w:r>
                    <w:rPr>
                      <w:rFonts w:hint="eastAsia"/>
                      <w:sz w:val="21"/>
                      <w:szCs w:val="21"/>
                      <w:vertAlign w:val="superscript"/>
                    </w:rPr>
                    <w:t>3</w:t>
                  </w:r>
                </w:p>
              </w:tc>
              <w:tc>
                <w:tcPr>
                  <w:tcW w:w="433" w:type="dxa"/>
                  <w:vMerge w:val="continue"/>
                  <w:vAlign w:val="center"/>
                </w:tcPr>
                <w:p>
                  <w:pPr>
                    <w:spacing w:line="240" w:lineRule="auto"/>
                    <w:ind w:right="46" w:rightChars="19" w:firstLine="0" w:firstLineChars="0"/>
                    <w:jc w:val="center"/>
                    <w:rPr>
                      <w:sz w:val="21"/>
                      <w:szCs w:val="21"/>
                    </w:rPr>
                  </w:pPr>
                </w:p>
              </w:tc>
              <w:tc>
                <w:tcPr>
                  <w:tcW w:w="599" w:type="dxa"/>
                  <w:vMerge w:val="continue"/>
                  <w:vAlign w:val="center"/>
                </w:tcPr>
                <w:p>
                  <w:pPr>
                    <w:spacing w:line="240" w:lineRule="auto"/>
                    <w:ind w:right="46" w:rightChars="19" w:firstLine="0" w:firstLineChars="0"/>
                    <w:jc w:val="center"/>
                    <w:rPr>
                      <w:sz w:val="21"/>
                      <w:szCs w:val="21"/>
                    </w:rPr>
                  </w:pPr>
                </w:p>
              </w:tc>
              <w:tc>
                <w:tcPr>
                  <w:tcW w:w="403" w:type="dxa"/>
                  <w:vMerge w:val="continue"/>
                  <w:vAlign w:val="center"/>
                </w:tcPr>
                <w:p>
                  <w:pPr>
                    <w:spacing w:line="240" w:lineRule="auto"/>
                    <w:ind w:right="46" w:rightChars="19" w:firstLine="0" w:firstLineChars="0"/>
                    <w:jc w:val="center"/>
                    <w:rPr>
                      <w:sz w:val="21"/>
                      <w:szCs w:val="21"/>
                    </w:rPr>
                  </w:pPr>
                </w:p>
              </w:tc>
              <w:tc>
                <w:tcPr>
                  <w:tcW w:w="432" w:type="dxa"/>
                  <w:vMerge w:val="continue"/>
                  <w:vAlign w:val="center"/>
                </w:tcPr>
                <w:p>
                  <w:pPr>
                    <w:spacing w:line="240" w:lineRule="auto"/>
                    <w:ind w:right="46" w:rightChars="19" w:firstLine="0" w:firstLineChars="0"/>
                    <w:jc w:val="center"/>
                    <w:rPr>
                      <w:sz w:val="21"/>
                      <w:szCs w:val="21"/>
                    </w:rPr>
                  </w:pPr>
                </w:p>
              </w:tc>
              <w:tc>
                <w:tcPr>
                  <w:tcW w:w="348" w:type="dxa"/>
                  <w:vMerge w:val="continue"/>
                  <w:vAlign w:val="center"/>
                </w:tcPr>
                <w:p>
                  <w:pPr>
                    <w:spacing w:line="240" w:lineRule="auto"/>
                    <w:ind w:right="46" w:rightChars="19" w:firstLine="0" w:firstLineChars="0"/>
                    <w:jc w:val="center"/>
                    <w:rPr>
                      <w:sz w:val="21"/>
                      <w:szCs w:val="21"/>
                    </w:rPr>
                  </w:pPr>
                </w:p>
              </w:tc>
              <w:tc>
                <w:tcPr>
                  <w:tcW w:w="840" w:type="dxa"/>
                  <w:vMerge w:val="restart"/>
                  <w:vAlign w:val="center"/>
                </w:tcPr>
                <w:p>
                  <w:pPr>
                    <w:spacing w:line="240" w:lineRule="auto"/>
                    <w:ind w:right="46" w:rightChars="19" w:firstLine="0" w:firstLineChars="0"/>
                    <w:jc w:val="center"/>
                    <w:rPr>
                      <w:sz w:val="21"/>
                      <w:szCs w:val="21"/>
                    </w:rPr>
                  </w:pPr>
                  <w:r>
                    <w:rPr>
                      <w:rFonts w:hint="eastAsia"/>
                      <w:sz w:val="21"/>
                      <w:szCs w:val="21"/>
                    </w:rPr>
                    <w:t>排放量</w:t>
                  </w:r>
                </w:p>
                <w:p>
                  <w:pPr>
                    <w:spacing w:line="240" w:lineRule="auto"/>
                    <w:ind w:right="46" w:rightChars="19" w:firstLine="0" w:firstLineChars="0"/>
                    <w:jc w:val="center"/>
                    <w:rPr>
                      <w:sz w:val="21"/>
                      <w:szCs w:val="21"/>
                    </w:rPr>
                  </w:pPr>
                  <w:r>
                    <w:rPr>
                      <w:rFonts w:hint="eastAsia"/>
                      <w:sz w:val="21"/>
                      <w:szCs w:val="21"/>
                    </w:rPr>
                    <w:t>t/a</w:t>
                  </w:r>
                </w:p>
              </w:tc>
              <w:tc>
                <w:tcPr>
                  <w:tcW w:w="865" w:type="dxa"/>
                  <w:gridSpan w:val="2"/>
                  <w:vMerge w:val="restart"/>
                  <w:vAlign w:val="center"/>
                </w:tcPr>
                <w:p>
                  <w:pPr>
                    <w:spacing w:line="240" w:lineRule="auto"/>
                    <w:ind w:right="46" w:rightChars="19" w:firstLine="0" w:firstLineChars="0"/>
                    <w:jc w:val="center"/>
                    <w:rPr>
                      <w:sz w:val="21"/>
                      <w:szCs w:val="21"/>
                    </w:rPr>
                  </w:pPr>
                  <w:r>
                    <w:rPr>
                      <w:rFonts w:hint="eastAsia"/>
                      <w:sz w:val="21"/>
                      <w:szCs w:val="21"/>
                    </w:rPr>
                    <w:t>排放浓度mg/m</w:t>
                  </w:r>
                  <w:r>
                    <w:rPr>
                      <w:rFonts w:hint="eastAsia"/>
                      <w:sz w:val="21"/>
                      <w:szCs w:val="21"/>
                      <w:vertAlign w:val="superscript"/>
                    </w:rPr>
                    <w:t>3</w:t>
                  </w:r>
                </w:p>
              </w:tc>
              <w:tc>
                <w:tcPr>
                  <w:tcW w:w="2100" w:type="dxa"/>
                  <w:gridSpan w:val="2"/>
                  <w:vAlign w:val="center"/>
                </w:tcPr>
                <w:p>
                  <w:pPr>
                    <w:spacing w:line="240" w:lineRule="auto"/>
                    <w:ind w:right="46" w:rightChars="19" w:firstLine="0" w:firstLineChars="0"/>
                    <w:jc w:val="center"/>
                    <w:rPr>
                      <w:sz w:val="21"/>
                      <w:szCs w:val="21"/>
                    </w:rPr>
                  </w:pPr>
                  <w:r>
                    <w:rPr>
                      <w:rFonts w:hint="eastAsia"/>
                      <w:sz w:val="21"/>
                      <w:szCs w:val="21"/>
                    </w:rPr>
                    <w:t>排气筒底部中心（面源起始点）坐标/°</w:t>
                  </w:r>
                </w:p>
              </w:tc>
              <w:tc>
                <w:tcPr>
                  <w:tcW w:w="569" w:type="dxa"/>
                  <w:vMerge w:val="restart"/>
                  <w:vAlign w:val="center"/>
                </w:tcPr>
                <w:p>
                  <w:pPr>
                    <w:spacing w:line="240" w:lineRule="auto"/>
                    <w:ind w:right="46" w:rightChars="19" w:firstLine="0" w:firstLineChars="0"/>
                    <w:jc w:val="center"/>
                    <w:rPr>
                      <w:sz w:val="21"/>
                      <w:szCs w:val="21"/>
                    </w:rPr>
                  </w:pPr>
                  <w:r>
                    <w:rPr>
                      <w:rFonts w:hint="eastAsia"/>
                      <w:sz w:val="21"/>
                      <w:szCs w:val="21"/>
                    </w:rPr>
                    <w:t>高度（面源长度）</w:t>
                  </w:r>
                  <w:r>
                    <w:rPr>
                      <w:sz w:val="21"/>
                      <w:szCs w:val="21"/>
                    </w:rPr>
                    <w:t>m</w:t>
                  </w:r>
                </w:p>
              </w:tc>
              <w:tc>
                <w:tcPr>
                  <w:tcW w:w="537" w:type="dxa"/>
                  <w:vMerge w:val="restart"/>
                  <w:vAlign w:val="center"/>
                </w:tcPr>
                <w:p>
                  <w:pPr>
                    <w:spacing w:line="240" w:lineRule="auto"/>
                    <w:ind w:right="46" w:rightChars="19" w:firstLine="0" w:firstLineChars="0"/>
                    <w:jc w:val="center"/>
                    <w:rPr>
                      <w:sz w:val="21"/>
                      <w:szCs w:val="21"/>
                    </w:rPr>
                  </w:pPr>
                  <w:r>
                    <w:rPr>
                      <w:rFonts w:hint="eastAsia"/>
                      <w:sz w:val="21"/>
                      <w:szCs w:val="21"/>
                    </w:rPr>
                    <w:t>内径（面源宽度）</w:t>
                  </w:r>
                  <w:r>
                    <w:rPr>
                      <w:sz w:val="21"/>
                      <w:szCs w:val="21"/>
                    </w:rPr>
                    <w:t>m</w:t>
                  </w:r>
                </w:p>
              </w:tc>
              <w:tc>
                <w:tcPr>
                  <w:tcW w:w="463" w:type="dxa"/>
                  <w:vMerge w:val="restart"/>
                  <w:vAlign w:val="center"/>
                </w:tcPr>
                <w:p>
                  <w:pPr>
                    <w:spacing w:line="240" w:lineRule="auto"/>
                    <w:ind w:right="46" w:rightChars="19" w:firstLine="0" w:firstLineChars="0"/>
                    <w:jc w:val="center"/>
                    <w:rPr>
                      <w:sz w:val="21"/>
                      <w:szCs w:val="21"/>
                    </w:rPr>
                  </w:pPr>
                  <w:r>
                    <w:rPr>
                      <w:rFonts w:hint="eastAsia"/>
                      <w:sz w:val="21"/>
                      <w:szCs w:val="21"/>
                    </w:rPr>
                    <w:t>温度</w:t>
                  </w:r>
                </w:p>
                <w:p>
                  <w:pPr>
                    <w:spacing w:line="240" w:lineRule="auto"/>
                    <w:ind w:right="46" w:rightChars="19" w:firstLine="0" w:firstLineChars="0"/>
                    <w:jc w:val="center"/>
                    <w:rPr>
                      <w:sz w:val="21"/>
                      <w:szCs w:val="21"/>
                    </w:rPr>
                  </w:pPr>
                  <w:r>
                    <w:rPr>
                      <w:rFonts w:hint="eastAsia"/>
                      <w:sz w:val="21"/>
                      <w:szCs w:val="21"/>
                    </w:rPr>
                    <w:t>℃</w:t>
                  </w:r>
                </w:p>
              </w:tc>
              <w:tc>
                <w:tcPr>
                  <w:tcW w:w="371" w:type="dxa"/>
                  <w:vMerge w:val="restart"/>
                  <w:vAlign w:val="center"/>
                </w:tcPr>
                <w:p>
                  <w:pPr>
                    <w:spacing w:line="240" w:lineRule="auto"/>
                    <w:ind w:right="46" w:rightChars="19" w:firstLine="0" w:firstLineChars="0"/>
                    <w:jc w:val="center"/>
                    <w:rPr>
                      <w:sz w:val="21"/>
                      <w:szCs w:val="21"/>
                    </w:rPr>
                  </w:pPr>
                  <w:r>
                    <w:rPr>
                      <w:rFonts w:hint="eastAsia"/>
                      <w:sz w:val="21"/>
                      <w:szCs w:val="21"/>
                    </w:rPr>
                    <w:t>编号</w:t>
                  </w:r>
                </w:p>
              </w:tc>
              <w:tc>
                <w:tcPr>
                  <w:tcW w:w="382" w:type="dxa"/>
                  <w:vMerge w:val="restart"/>
                  <w:vAlign w:val="center"/>
                </w:tcPr>
                <w:p>
                  <w:pPr>
                    <w:spacing w:line="240" w:lineRule="auto"/>
                    <w:ind w:right="46" w:rightChars="19" w:firstLine="0" w:firstLineChars="0"/>
                    <w:jc w:val="center"/>
                    <w:rPr>
                      <w:sz w:val="21"/>
                      <w:szCs w:val="21"/>
                    </w:rPr>
                  </w:pPr>
                  <w:r>
                    <w:rPr>
                      <w:rFonts w:hint="eastAsia"/>
                      <w:sz w:val="21"/>
                      <w:szCs w:val="21"/>
                    </w:rPr>
                    <w:t>类型</w:t>
                  </w:r>
                </w:p>
              </w:tc>
              <w:tc>
                <w:tcPr>
                  <w:tcW w:w="2723" w:type="dxa"/>
                  <w:vMerge w:val="continue"/>
                  <w:vAlign w:val="center"/>
                </w:tcPr>
                <w:p>
                  <w:pPr>
                    <w:spacing w:line="240" w:lineRule="auto"/>
                    <w:ind w:right="46" w:rightChars="19" w:firstLine="0" w:firstLineChars="0"/>
                    <w:jc w:val="center"/>
                    <w:rPr>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45" w:hRule="atLeast"/>
                <w:jc w:val="center"/>
              </w:trPr>
              <w:tc>
                <w:tcPr>
                  <w:tcW w:w="476" w:type="dxa"/>
                  <w:vMerge w:val="continue"/>
                  <w:vAlign w:val="center"/>
                </w:tcPr>
                <w:p>
                  <w:pPr>
                    <w:spacing w:line="240" w:lineRule="auto"/>
                    <w:ind w:right="46" w:rightChars="19" w:firstLine="0" w:firstLineChars="0"/>
                    <w:jc w:val="center"/>
                    <w:rPr>
                      <w:sz w:val="21"/>
                      <w:szCs w:val="21"/>
                    </w:rPr>
                  </w:pPr>
                </w:p>
              </w:tc>
              <w:tc>
                <w:tcPr>
                  <w:tcW w:w="650" w:type="dxa"/>
                  <w:vMerge w:val="continue"/>
                  <w:vAlign w:val="center"/>
                </w:tcPr>
                <w:p>
                  <w:pPr>
                    <w:spacing w:line="240" w:lineRule="auto"/>
                    <w:ind w:right="46" w:rightChars="19" w:firstLine="0" w:firstLineChars="0"/>
                    <w:jc w:val="center"/>
                    <w:rPr>
                      <w:spacing w:val="4"/>
                      <w:sz w:val="21"/>
                      <w:szCs w:val="21"/>
                    </w:rPr>
                  </w:pPr>
                </w:p>
              </w:tc>
              <w:tc>
                <w:tcPr>
                  <w:tcW w:w="844" w:type="dxa"/>
                  <w:vMerge w:val="continue"/>
                  <w:vAlign w:val="center"/>
                </w:tcPr>
                <w:p>
                  <w:pPr>
                    <w:spacing w:line="240" w:lineRule="auto"/>
                    <w:ind w:right="46" w:rightChars="19" w:firstLine="0" w:firstLineChars="0"/>
                    <w:jc w:val="center"/>
                    <w:rPr>
                      <w:sz w:val="21"/>
                      <w:szCs w:val="21"/>
                    </w:rPr>
                  </w:pPr>
                </w:p>
              </w:tc>
              <w:tc>
                <w:tcPr>
                  <w:tcW w:w="836" w:type="dxa"/>
                  <w:vMerge w:val="continue"/>
                  <w:vAlign w:val="center"/>
                </w:tcPr>
                <w:p>
                  <w:pPr>
                    <w:spacing w:line="240" w:lineRule="auto"/>
                    <w:ind w:right="46" w:rightChars="19" w:firstLine="0" w:firstLineChars="0"/>
                    <w:jc w:val="center"/>
                    <w:rPr>
                      <w:sz w:val="21"/>
                      <w:szCs w:val="21"/>
                    </w:rPr>
                  </w:pPr>
                </w:p>
              </w:tc>
              <w:tc>
                <w:tcPr>
                  <w:tcW w:w="433" w:type="dxa"/>
                  <w:vMerge w:val="continue"/>
                  <w:vAlign w:val="center"/>
                </w:tcPr>
                <w:p>
                  <w:pPr>
                    <w:spacing w:line="240" w:lineRule="auto"/>
                    <w:ind w:right="46" w:rightChars="19" w:firstLine="0" w:firstLineChars="0"/>
                    <w:jc w:val="center"/>
                    <w:rPr>
                      <w:sz w:val="21"/>
                      <w:szCs w:val="21"/>
                    </w:rPr>
                  </w:pPr>
                </w:p>
              </w:tc>
              <w:tc>
                <w:tcPr>
                  <w:tcW w:w="599" w:type="dxa"/>
                  <w:vMerge w:val="continue"/>
                  <w:vAlign w:val="center"/>
                </w:tcPr>
                <w:p>
                  <w:pPr>
                    <w:spacing w:line="240" w:lineRule="auto"/>
                    <w:ind w:right="46" w:rightChars="19" w:firstLine="0" w:firstLineChars="0"/>
                    <w:jc w:val="center"/>
                    <w:rPr>
                      <w:sz w:val="21"/>
                      <w:szCs w:val="21"/>
                    </w:rPr>
                  </w:pPr>
                </w:p>
              </w:tc>
              <w:tc>
                <w:tcPr>
                  <w:tcW w:w="403" w:type="dxa"/>
                  <w:vMerge w:val="continue"/>
                  <w:vAlign w:val="center"/>
                </w:tcPr>
                <w:p>
                  <w:pPr>
                    <w:spacing w:line="240" w:lineRule="auto"/>
                    <w:ind w:right="46" w:rightChars="19" w:firstLine="0" w:firstLineChars="0"/>
                    <w:jc w:val="center"/>
                    <w:rPr>
                      <w:sz w:val="21"/>
                      <w:szCs w:val="21"/>
                    </w:rPr>
                  </w:pPr>
                </w:p>
              </w:tc>
              <w:tc>
                <w:tcPr>
                  <w:tcW w:w="432" w:type="dxa"/>
                  <w:vMerge w:val="continue"/>
                  <w:vAlign w:val="center"/>
                </w:tcPr>
                <w:p>
                  <w:pPr>
                    <w:spacing w:line="240" w:lineRule="auto"/>
                    <w:ind w:right="46" w:rightChars="19" w:firstLine="0" w:firstLineChars="0"/>
                    <w:jc w:val="center"/>
                    <w:rPr>
                      <w:sz w:val="21"/>
                      <w:szCs w:val="21"/>
                    </w:rPr>
                  </w:pPr>
                </w:p>
              </w:tc>
              <w:tc>
                <w:tcPr>
                  <w:tcW w:w="348" w:type="dxa"/>
                  <w:vMerge w:val="continue"/>
                  <w:vAlign w:val="center"/>
                </w:tcPr>
                <w:p>
                  <w:pPr>
                    <w:spacing w:line="240" w:lineRule="auto"/>
                    <w:ind w:right="46" w:rightChars="19" w:firstLine="0" w:firstLineChars="0"/>
                    <w:jc w:val="center"/>
                    <w:rPr>
                      <w:sz w:val="21"/>
                      <w:szCs w:val="21"/>
                    </w:rPr>
                  </w:pPr>
                </w:p>
              </w:tc>
              <w:tc>
                <w:tcPr>
                  <w:tcW w:w="840" w:type="dxa"/>
                  <w:vMerge w:val="continue"/>
                  <w:vAlign w:val="center"/>
                </w:tcPr>
                <w:p>
                  <w:pPr>
                    <w:spacing w:line="240" w:lineRule="auto"/>
                    <w:ind w:right="46" w:rightChars="19" w:firstLine="0" w:firstLineChars="0"/>
                    <w:jc w:val="center"/>
                    <w:rPr>
                      <w:sz w:val="21"/>
                      <w:szCs w:val="21"/>
                    </w:rPr>
                  </w:pPr>
                </w:p>
              </w:tc>
              <w:tc>
                <w:tcPr>
                  <w:tcW w:w="865" w:type="dxa"/>
                  <w:gridSpan w:val="2"/>
                  <w:vMerge w:val="continue"/>
                  <w:vAlign w:val="center"/>
                </w:tcPr>
                <w:p>
                  <w:pPr>
                    <w:spacing w:line="240" w:lineRule="auto"/>
                    <w:ind w:right="46" w:rightChars="19" w:firstLine="0" w:firstLineChars="0"/>
                    <w:jc w:val="center"/>
                    <w:rPr>
                      <w:sz w:val="21"/>
                      <w:szCs w:val="21"/>
                    </w:rPr>
                  </w:pPr>
                </w:p>
              </w:tc>
              <w:tc>
                <w:tcPr>
                  <w:tcW w:w="1046" w:type="dxa"/>
                  <w:vAlign w:val="center"/>
                </w:tcPr>
                <w:p>
                  <w:pPr>
                    <w:spacing w:line="240" w:lineRule="auto"/>
                    <w:ind w:right="46" w:rightChars="19" w:firstLine="0" w:firstLineChars="0"/>
                    <w:jc w:val="center"/>
                    <w:rPr>
                      <w:sz w:val="21"/>
                      <w:szCs w:val="21"/>
                    </w:rPr>
                  </w:pPr>
                  <w:r>
                    <w:rPr>
                      <w:rFonts w:hint="eastAsia"/>
                      <w:sz w:val="21"/>
                      <w:szCs w:val="21"/>
                    </w:rPr>
                    <w:t>经度</w:t>
                  </w:r>
                </w:p>
              </w:tc>
              <w:tc>
                <w:tcPr>
                  <w:tcW w:w="1054" w:type="dxa"/>
                  <w:vAlign w:val="center"/>
                </w:tcPr>
                <w:p>
                  <w:pPr>
                    <w:spacing w:line="240" w:lineRule="auto"/>
                    <w:ind w:right="46" w:rightChars="19" w:firstLine="0" w:firstLineChars="0"/>
                    <w:jc w:val="center"/>
                    <w:rPr>
                      <w:sz w:val="21"/>
                      <w:szCs w:val="21"/>
                    </w:rPr>
                  </w:pPr>
                  <w:r>
                    <w:rPr>
                      <w:rFonts w:hint="eastAsia"/>
                      <w:sz w:val="21"/>
                      <w:szCs w:val="21"/>
                    </w:rPr>
                    <w:t>纬度</w:t>
                  </w:r>
                </w:p>
              </w:tc>
              <w:tc>
                <w:tcPr>
                  <w:tcW w:w="569" w:type="dxa"/>
                  <w:vMerge w:val="continue"/>
                  <w:vAlign w:val="center"/>
                </w:tcPr>
                <w:p>
                  <w:pPr>
                    <w:spacing w:line="240" w:lineRule="auto"/>
                    <w:ind w:right="46" w:rightChars="19" w:firstLine="0" w:firstLineChars="0"/>
                    <w:jc w:val="center"/>
                    <w:rPr>
                      <w:sz w:val="21"/>
                      <w:szCs w:val="21"/>
                    </w:rPr>
                  </w:pPr>
                </w:p>
              </w:tc>
              <w:tc>
                <w:tcPr>
                  <w:tcW w:w="537" w:type="dxa"/>
                  <w:vMerge w:val="continue"/>
                  <w:vAlign w:val="center"/>
                </w:tcPr>
                <w:p>
                  <w:pPr>
                    <w:spacing w:line="240" w:lineRule="auto"/>
                    <w:ind w:right="46" w:rightChars="19" w:firstLine="0" w:firstLineChars="0"/>
                    <w:jc w:val="center"/>
                    <w:rPr>
                      <w:sz w:val="21"/>
                      <w:szCs w:val="21"/>
                    </w:rPr>
                  </w:pPr>
                </w:p>
              </w:tc>
              <w:tc>
                <w:tcPr>
                  <w:tcW w:w="463" w:type="dxa"/>
                  <w:vMerge w:val="continue"/>
                  <w:vAlign w:val="center"/>
                </w:tcPr>
                <w:p>
                  <w:pPr>
                    <w:spacing w:line="240" w:lineRule="auto"/>
                    <w:ind w:right="46" w:rightChars="19" w:firstLine="0" w:firstLineChars="0"/>
                    <w:jc w:val="center"/>
                    <w:rPr>
                      <w:sz w:val="21"/>
                      <w:szCs w:val="21"/>
                    </w:rPr>
                  </w:pPr>
                </w:p>
              </w:tc>
              <w:tc>
                <w:tcPr>
                  <w:tcW w:w="371" w:type="dxa"/>
                  <w:vMerge w:val="continue"/>
                  <w:vAlign w:val="center"/>
                </w:tcPr>
                <w:p>
                  <w:pPr>
                    <w:spacing w:line="240" w:lineRule="auto"/>
                    <w:ind w:right="46" w:rightChars="19" w:firstLine="0" w:firstLineChars="0"/>
                    <w:jc w:val="center"/>
                    <w:rPr>
                      <w:sz w:val="21"/>
                      <w:szCs w:val="21"/>
                    </w:rPr>
                  </w:pPr>
                </w:p>
              </w:tc>
              <w:tc>
                <w:tcPr>
                  <w:tcW w:w="382" w:type="dxa"/>
                  <w:vMerge w:val="continue"/>
                  <w:vAlign w:val="center"/>
                </w:tcPr>
                <w:p>
                  <w:pPr>
                    <w:spacing w:line="240" w:lineRule="auto"/>
                    <w:ind w:right="46" w:rightChars="19" w:firstLine="0" w:firstLineChars="0"/>
                    <w:jc w:val="center"/>
                    <w:rPr>
                      <w:sz w:val="21"/>
                      <w:szCs w:val="21"/>
                    </w:rPr>
                  </w:pPr>
                </w:p>
              </w:tc>
              <w:tc>
                <w:tcPr>
                  <w:tcW w:w="2723" w:type="dxa"/>
                  <w:vMerge w:val="continue"/>
                  <w:vAlign w:val="center"/>
                </w:tcPr>
                <w:p>
                  <w:pPr>
                    <w:spacing w:line="240" w:lineRule="auto"/>
                    <w:ind w:right="46" w:rightChars="19" w:firstLine="0" w:firstLineChars="0"/>
                    <w:jc w:val="left"/>
                    <w:rPr>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476" w:type="dxa"/>
                  <w:vMerge w:val="restart"/>
                  <w:vAlign w:val="center"/>
                </w:tcPr>
                <w:p>
                  <w:pPr>
                    <w:spacing w:line="240" w:lineRule="auto"/>
                    <w:ind w:right="46" w:rightChars="19" w:firstLine="0" w:firstLineChars="0"/>
                    <w:jc w:val="center"/>
                    <w:rPr>
                      <w:sz w:val="21"/>
                      <w:szCs w:val="21"/>
                    </w:rPr>
                  </w:pPr>
                  <w:r>
                    <w:rPr>
                      <w:rFonts w:hint="eastAsia"/>
                      <w:sz w:val="21"/>
                      <w:szCs w:val="21"/>
                    </w:rPr>
                    <w:t>煎药室、污水处理间等</w:t>
                  </w:r>
                </w:p>
              </w:tc>
              <w:tc>
                <w:tcPr>
                  <w:tcW w:w="650" w:type="dxa"/>
                  <w:vAlign w:val="center"/>
                </w:tcPr>
                <w:p>
                  <w:pPr>
                    <w:spacing w:line="240" w:lineRule="auto"/>
                    <w:ind w:right="46" w:rightChars="19" w:firstLine="0" w:firstLineChars="0"/>
                    <w:jc w:val="center"/>
                    <w:rPr>
                      <w:sz w:val="21"/>
                      <w:szCs w:val="21"/>
                    </w:rPr>
                  </w:pPr>
                  <w:r>
                    <w:rPr>
                      <w:rFonts w:hint="eastAsia"/>
                      <w:sz w:val="21"/>
                      <w:szCs w:val="21"/>
                    </w:rPr>
                    <w:t>NH</w:t>
                  </w:r>
                  <w:r>
                    <w:rPr>
                      <w:rFonts w:hint="eastAsia"/>
                      <w:sz w:val="21"/>
                      <w:szCs w:val="21"/>
                      <w:vertAlign w:val="subscript"/>
                    </w:rPr>
                    <w:t>3</w:t>
                  </w:r>
                </w:p>
              </w:tc>
              <w:tc>
                <w:tcPr>
                  <w:tcW w:w="844" w:type="dxa"/>
                  <w:vAlign w:val="center"/>
                </w:tcPr>
                <w:p>
                  <w:pPr>
                    <w:spacing w:line="240" w:lineRule="auto"/>
                    <w:ind w:right="46" w:rightChars="19" w:firstLine="0" w:firstLineChars="0"/>
                    <w:jc w:val="center"/>
                    <w:rPr>
                      <w:sz w:val="21"/>
                      <w:szCs w:val="21"/>
                    </w:rPr>
                  </w:pPr>
                  <w:r>
                    <w:rPr>
                      <w:rFonts w:hint="eastAsia"/>
                      <w:sz w:val="21"/>
                      <w:szCs w:val="21"/>
                    </w:rPr>
                    <w:t>0.00137</w:t>
                  </w:r>
                </w:p>
              </w:tc>
              <w:tc>
                <w:tcPr>
                  <w:tcW w:w="836" w:type="dxa"/>
                  <w:vAlign w:val="center"/>
                </w:tcPr>
                <w:p>
                  <w:pPr>
                    <w:spacing w:line="240" w:lineRule="auto"/>
                    <w:ind w:right="46" w:rightChars="19" w:firstLine="0" w:firstLineChars="0"/>
                    <w:jc w:val="center"/>
                    <w:rPr>
                      <w:sz w:val="21"/>
                      <w:szCs w:val="21"/>
                    </w:rPr>
                  </w:pPr>
                  <w:r>
                    <w:rPr>
                      <w:rFonts w:hint="eastAsia"/>
                      <w:sz w:val="21"/>
                      <w:szCs w:val="21"/>
                    </w:rPr>
                    <w:t>0.016</w:t>
                  </w:r>
                </w:p>
              </w:tc>
              <w:tc>
                <w:tcPr>
                  <w:tcW w:w="433" w:type="dxa"/>
                  <w:vMerge w:val="restart"/>
                  <w:vAlign w:val="center"/>
                </w:tcPr>
                <w:p>
                  <w:pPr>
                    <w:spacing w:line="240" w:lineRule="auto"/>
                    <w:ind w:right="46" w:rightChars="19" w:firstLine="0" w:firstLineChars="0"/>
                    <w:jc w:val="center"/>
                    <w:rPr>
                      <w:sz w:val="21"/>
                      <w:szCs w:val="21"/>
                    </w:rPr>
                  </w:pPr>
                  <w:r>
                    <w:rPr>
                      <w:rFonts w:hint="eastAsia"/>
                      <w:sz w:val="21"/>
                      <w:szCs w:val="21"/>
                    </w:rPr>
                    <w:t>有组织排放</w:t>
                  </w:r>
                </w:p>
              </w:tc>
              <w:tc>
                <w:tcPr>
                  <w:tcW w:w="599" w:type="dxa"/>
                  <w:vMerge w:val="restart"/>
                  <w:vAlign w:val="center"/>
                </w:tcPr>
                <w:p>
                  <w:pPr>
                    <w:spacing w:line="240" w:lineRule="auto"/>
                    <w:ind w:right="46" w:rightChars="19" w:firstLine="0" w:firstLineChars="0"/>
                    <w:jc w:val="center"/>
                    <w:rPr>
                      <w:sz w:val="21"/>
                      <w:szCs w:val="21"/>
                    </w:rPr>
                  </w:pPr>
                  <w:r>
                    <w:rPr>
                      <w:rFonts w:hint="eastAsia"/>
                      <w:sz w:val="21"/>
                      <w:szCs w:val="21"/>
                    </w:rPr>
                    <w:t>两级活性炭吸附</w:t>
                  </w:r>
                </w:p>
              </w:tc>
              <w:tc>
                <w:tcPr>
                  <w:tcW w:w="403" w:type="dxa"/>
                  <w:vMerge w:val="restart"/>
                  <w:vAlign w:val="center"/>
                </w:tcPr>
                <w:p>
                  <w:pPr>
                    <w:spacing w:line="240" w:lineRule="auto"/>
                    <w:ind w:right="46" w:rightChars="19" w:firstLine="0" w:firstLineChars="0"/>
                    <w:jc w:val="center"/>
                    <w:rPr>
                      <w:sz w:val="21"/>
                      <w:szCs w:val="21"/>
                    </w:rPr>
                  </w:pPr>
                  <w:r>
                    <w:rPr>
                      <w:rFonts w:hint="eastAsia"/>
                      <w:sz w:val="21"/>
                      <w:szCs w:val="21"/>
                    </w:rPr>
                    <w:t>95</w:t>
                  </w:r>
                </w:p>
              </w:tc>
              <w:tc>
                <w:tcPr>
                  <w:tcW w:w="432" w:type="dxa"/>
                  <w:vMerge w:val="restart"/>
                  <w:vAlign w:val="center"/>
                </w:tcPr>
                <w:p>
                  <w:pPr>
                    <w:spacing w:line="240" w:lineRule="auto"/>
                    <w:ind w:right="46" w:rightChars="19" w:firstLine="0" w:firstLineChars="0"/>
                    <w:jc w:val="center"/>
                    <w:rPr>
                      <w:sz w:val="21"/>
                      <w:szCs w:val="21"/>
                    </w:rPr>
                  </w:pPr>
                  <w:r>
                    <w:rPr>
                      <w:rFonts w:hint="eastAsia"/>
                      <w:sz w:val="21"/>
                      <w:szCs w:val="21"/>
                    </w:rPr>
                    <w:t>70</w:t>
                  </w:r>
                </w:p>
              </w:tc>
              <w:tc>
                <w:tcPr>
                  <w:tcW w:w="348" w:type="dxa"/>
                  <w:vMerge w:val="restart"/>
                  <w:vAlign w:val="center"/>
                </w:tcPr>
                <w:p>
                  <w:pPr>
                    <w:spacing w:line="240" w:lineRule="auto"/>
                    <w:ind w:right="46" w:rightChars="19" w:firstLine="0" w:firstLineChars="0"/>
                    <w:jc w:val="center"/>
                    <w:rPr>
                      <w:sz w:val="21"/>
                      <w:szCs w:val="21"/>
                    </w:rPr>
                  </w:pPr>
                  <w:r>
                    <w:rPr>
                      <w:rFonts w:hint="eastAsia"/>
                      <w:sz w:val="21"/>
                      <w:szCs w:val="21"/>
                    </w:rPr>
                    <w:t>可行</w:t>
                  </w:r>
                </w:p>
              </w:tc>
              <w:tc>
                <w:tcPr>
                  <w:tcW w:w="840" w:type="dxa"/>
                  <w:vAlign w:val="center"/>
                </w:tcPr>
                <w:p>
                  <w:pPr>
                    <w:spacing w:line="240" w:lineRule="auto"/>
                    <w:ind w:right="46" w:rightChars="19" w:firstLine="0" w:firstLineChars="0"/>
                    <w:jc w:val="center"/>
                    <w:rPr>
                      <w:sz w:val="21"/>
                      <w:szCs w:val="21"/>
                    </w:rPr>
                  </w:pPr>
                  <w:r>
                    <w:rPr>
                      <w:rFonts w:hint="eastAsia"/>
                      <w:sz w:val="21"/>
                      <w:szCs w:val="21"/>
                    </w:rPr>
                    <w:t>0.0004</w:t>
                  </w:r>
                </w:p>
              </w:tc>
              <w:tc>
                <w:tcPr>
                  <w:tcW w:w="865" w:type="dxa"/>
                  <w:gridSpan w:val="2"/>
                  <w:vAlign w:val="center"/>
                </w:tcPr>
                <w:p>
                  <w:pPr>
                    <w:spacing w:line="240" w:lineRule="auto"/>
                    <w:ind w:right="46" w:rightChars="19" w:firstLine="0" w:firstLineChars="0"/>
                    <w:jc w:val="center"/>
                    <w:rPr>
                      <w:sz w:val="21"/>
                      <w:szCs w:val="21"/>
                    </w:rPr>
                  </w:pPr>
                  <w:r>
                    <w:rPr>
                      <w:rFonts w:hint="eastAsia"/>
                      <w:sz w:val="21"/>
                      <w:szCs w:val="21"/>
                    </w:rPr>
                    <w:t>0.0047</w:t>
                  </w:r>
                </w:p>
              </w:tc>
              <w:tc>
                <w:tcPr>
                  <w:tcW w:w="1046" w:type="dxa"/>
                  <w:vMerge w:val="restart"/>
                  <w:vAlign w:val="center"/>
                </w:tcPr>
                <w:p>
                  <w:pPr>
                    <w:spacing w:line="240" w:lineRule="auto"/>
                    <w:ind w:right="46" w:rightChars="19" w:firstLine="0" w:firstLineChars="0"/>
                    <w:jc w:val="center"/>
                    <w:rPr>
                      <w:sz w:val="21"/>
                      <w:szCs w:val="21"/>
                    </w:rPr>
                  </w:pPr>
                  <w:r>
                    <w:rPr>
                      <w:rFonts w:hint="eastAsia"/>
                      <w:sz w:val="21"/>
                      <w:szCs w:val="21"/>
                    </w:rPr>
                    <w:t>114.588836</w:t>
                  </w:r>
                </w:p>
              </w:tc>
              <w:tc>
                <w:tcPr>
                  <w:tcW w:w="1054" w:type="dxa"/>
                  <w:vMerge w:val="restart"/>
                  <w:vAlign w:val="center"/>
                </w:tcPr>
                <w:p>
                  <w:pPr>
                    <w:spacing w:line="240" w:lineRule="auto"/>
                    <w:ind w:right="46" w:rightChars="19" w:firstLine="0" w:firstLineChars="0"/>
                    <w:jc w:val="center"/>
                    <w:rPr>
                      <w:sz w:val="21"/>
                      <w:szCs w:val="21"/>
                    </w:rPr>
                  </w:pPr>
                  <w:r>
                    <w:rPr>
                      <w:rFonts w:hint="eastAsia"/>
                      <w:sz w:val="21"/>
                      <w:szCs w:val="21"/>
                    </w:rPr>
                    <w:t>38.0109009</w:t>
                  </w:r>
                </w:p>
              </w:tc>
              <w:tc>
                <w:tcPr>
                  <w:tcW w:w="569" w:type="dxa"/>
                  <w:vMerge w:val="restart"/>
                  <w:vAlign w:val="center"/>
                </w:tcPr>
                <w:p>
                  <w:pPr>
                    <w:spacing w:line="240" w:lineRule="auto"/>
                    <w:ind w:right="46" w:rightChars="19" w:firstLine="0" w:firstLineChars="0"/>
                    <w:jc w:val="center"/>
                    <w:rPr>
                      <w:sz w:val="21"/>
                      <w:szCs w:val="21"/>
                    </w:rPr>
                  </w:pPr>
                  <w:r>
                    <w:rPr>
                      <w:rFonts w:hint="eastAsia"/>
                      <w:sz w:val="21"/>
                      <w:szCs w:val="21"/>
                    </w:rPr>
                    <w:t>15</w:t>
                  </w:r>
                </w:p>
              </w:tc>
              <w:tc>
                <w:tcPr>
                  <w:tcW w:w="537" w:type="dxa"/>
                  <w:vMerge w:val="restart"/>
                  <w:vAlign w:val="center"/>
                </w:tcPr>
                <w:p>
                  <w:pPr>
                    <w:spacing w:line="240" w:lineRule="auto"/>
                    <w:ind w:right="46" w:rightChars="19" w:firstLine="0" w:firstLineChars="0"/>
                    <w:jc w:val="center"/>
                    <w:rPr>
                      <w:sz w:val="21"/>
                      <w:szCs w:val="21"/>
                    </w:rPr>
                  </w:pPr>
                  <w:r>
                    <w:rPr>
                      <w:rFonts w:hint="eastAsia"/>
                      <w:sz w:val="21"/>
                      <w:szCs w:val="21"/>
                    </w:rPr>
                    <w:t>0.5</w:t>
                  </w:r>
                </w:p>
              </w:tc>
              <w:tc>
                <w:tcPr>
                  <w:tcW w:w="463" w:type="dxa"/>
                  <w:vMerge w:val="restart"/>
                  <w:vAlign w:val="center"/>
                </w:tcPr>
                <w:p>
                  <w:pPr>
                    <w:spacing w:line="240" w:lineRule="auto"/>
                    <w:ind w:right="46" w:rightChars="19" w:firstLine="0" w:firstLineChars="0"/>
                    <w:jc w:val="center"/>
                    <w:rPr>
                      <w:sz w:val="21"/>
                      <w:szCs w:val="21"/>
                    </w:rPr>
                  </w:pPr>
                  <w:r>
                    <w:rPr>
                      <w:rFonts w:hint="eastAsia"/>
                      <w:sz w:val="21"/>
                      <w:szCs w:val="21"/>
                    </w:rPr>
                    <w:t>20</w:t>
                  </w:r>
                </w:p>
              </w:tc>
              <w:tc>
                <w:tcPr>
                  <w:tcW w:w="371" w:type="dxa"/>
                  <w:vMerge w:val="restart"/>
                  <w:vAlign w:val="center"/>
                </w:tcPr>
                <w:p>
                  <w:pPr>
                    <w:spacing w:line="240" w:lineRule="auto"/>
                    <w:ind w:right="46" w:rightChars="19" w:firstLine="0" w:firstLineChars="0"/>
                    <w:jc w:val="center"/>
                    <w:rPr>
                      <w:sz w:val="21"/>
                      <w:szCs w:val="21"/>
                    </w:rPr>
                  </w:pPr>
                  <w:r>
                    <w:rPr>
                      <w:rFonts w:hint="eastAsia"/>
                      <w:sz w:val="21"/>
                      <w:szCs w:val="21"/>
                    </w:rPr>
                    <w:t>DA 001</w:t>
                  </w:r>
                </w:p>
              </w:tc>
              <w:tc>
                <w:tcPr>
                  <w:tcW w:w="382" w:type="dxa"/>
                  <w:vMerge w:val="restart"/>
                  <w:vAlign w:val="center"/>
                </w:tcPr>
                <w:p>
                  <w:pPr>
                    <w:spacing w:line="240" w:lineRule="auto"/>
                    <w:ind w:right="46" w:rightChars="19" w:firstLine="0" w:firstLineChars="0"/>
                    <w:jc w:val="center"/>
                    <w:rPr>
                      <w:sz w:val="21"/>
                      <w:szCs w:val="21"/>
                    </w:rPr>
                  </w:pPr>
                  <w:r>
                    <w:rPr>
                      <w:rFonts w:hint="eastAsia"/>
                      <w:sz w:val="21"/>
                      <w:szCs w:val="21"/>
                    </w:rPr>
                    <w:t>一般排放口</w:t>
                  </w:r>
                </w:p>
              </w:tc>
              <w:tc>
                <w:tcPr>
                  <w:tcW w:w="2723" w:type="dxa"/>
                  <w:vMerge w:val="restart"/>
                  <w:vAlign w:val="center"/>
                </w:tcPr>
                <w:p>
                  <w:pPr>
                    <w:spacing w:line="240" w:lineRule="auto"/>
                    <w:ind w:right="46" w:rightChars="19" w:firstLine="0" w:firstLineChars="0"/>
                    <w:jc w:val="center"/>
                    <w:rPr>
                      <w:sz w:val="21"/>
                      <w:szCs w:val="21"/>
                    </w:rPr>
                  </w:pPr>
                  <w:r>
                    <w:rPr>
                      <w:rFonts w:hint="eastAsia"/>
                      <w:sz w:val="21"/>
                      <w:szCs w:val="21"/>
                    </w:rPr>
                    <w:t>《恶臭污染物排放标准》（GB14554-93）表2标准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476" w:type="dxa"/>
                  <w:vMerge w:val="continue"/>
                  <w:vAlign w:val="center"/>
                </w:tcPr>
                <w:p>
                  <w:pPr>
                    <w:spacing w:line="240" w:lineRule="auto"/>
                    <w:ind w:right="46" w:rightChars="19" w:firstLine="0" w:firstLineChars="0"/>
                    <w:jc w:val="center"/>
                    <w:rPr>
                      <w:sz w:val="21"/>
                      <w:szCs w:val="21"/>
                    </w:rPr>
                  </w:pPr>
                </w:p>
              </w:tc>
              <w:tc>
                <w:tcPr>
                  <w:tcW w:w="650" w:type="dxa"/>
                  <w:vAlign w:val="center"/>
                </w:tcPr>
                <w:p>
                  <w:pPr>
                    <w:spacing w:line="240" w:lineRule="auto"/>
                    <w:ind w:right="46" w:rightChars="19" w:firstLine="0" w:firstLineChars="0"/>
                    <w:jc w:val="center"/>
                    <w:rPr>
                      <w:sz w:val="21"/>
                      <w:szCs w:val="21"/>
                    </w:rPr>
                  </w:pPr>
                  <w:r>
                    <w:rPr>
                      <w:rFonts w:hint="eastAsia"/>
                      <w:sz w:val="21"/>
                      <w:szCs w:val="21"/>
                    </w:rPr>
                    <w:t>H</w:t>
                  </w:r>
                  <w:r>
                    <w:rPr>
                      <w:rFonts w:hint="eastAsia"/>
                      <w:sz w:val="21"/>
                      <w:szCs w:val="21"/>
                      <w:vertAlign w:val="subscript"/>
                    </w:rPr>
                    <w:t>2</w:t>
                  </w:r>
                  <w:r>
                    <w:rPr>
                      <w:rFonts w:hint="eastAsia"/>
                      <w:sz w:val="21"/>
                      <w:szCs w:val="21"/>
                    </w:rPr>
                    <w:t>S</w:t>
                  </w:r>
                </w:p>
              </w:tc>
              <w:tc>
                <w:tcPr>
                  <w:tcW w:w="844" w:type="dxa"/>
                  <w:vAlign w:val="center"/>
                </w:tcPr>
                <w:p>
                  <w:pPr>
                    <w:spacing w:line="240" w:lineRule="auto"/>
                    <w:ind w:right="46" w:rightChars="19" w:firstLine="0" w:firstLineChars="0"/>
                    <w:jc w:val="center"/>
                    <w:rPr>
                      <w:sz w:val="21"/>
                      <w:szCs w:val="21"/>
                    </w:rPr>
                  </w:pPr>
                  <w:r>
                    <w:rPr>
                      <w:rFonts w:hint="eastAsia"/>
                      <w:sz w:val="21"/>
                      <w:szCs w:val="21"/>
                    </w:rPr>
                    <w:t>0.000053</w:t>
                  </w:r>
                </w:p>
              </w:tc>
              <w:tc>
                <w:tcPr>
                  <w:tcW w:w="836" w:type="dxa"/>
                  <w:vAlign w:val="center"/>
                </w:tcPr>
                <w:p>
                  <w:pPr>
                    <w:spacing w:line="240" w:lineRule="auto"/>
                    <w:ind w:right="46" w:rightChars="19" w:firstLine="0" w:firstLineChars="0"/>
                    <w:jc w:val="center"/>
                    <w:rPr>
                      <w:sz w:val="21"/>
                      <w:szCs w:val="21"/>
                    </w:rPr>
                  </w:pPr>
                  <w:r>
                    <w:rPr>
                      <w:sz w:val="21"/>
                      <w:szCs w:val="21"/>
                    </w:rPr>
                    <w:t>0.0</w:t>
                  </w:r>
                  <w:r>
                    <w:rPr>
                      <w:rFonts w:hint="eastAsia"/>
                      <w:sz w:val="21"/>
                      <w:szCs w:val="21"/>
                    </w:rPr>
                    <w:t>006</w:t>
                  </w:r>
                </w:p>
              </w:tc>
              <w:tc>
                <w:tcPr>
                  <w:tcW w:w="433" w:type="dxa"/>
                  <w:vMerge w:val="continue"/>
                  <w:vAlign w:val="center"/>
                </w:tcPr>
                <w:p>
                  <w:pPr>
                    <w:spacing w:line="240" w:lineRule="auto"/>
                    <w:ind w:right="46" w:rightChars="19" w:firstLine="0" w:firstLineChars="0"/>
                    <w:jc w:val="center"/>
                    <w:rPr>
                      <w:sz w:val="21"/>
                      <w:szCs w:val="21"/>
                    </w:rPr>
                  </w:pPr>
                </w:p>
              </w:tc>
              <w:tc>
                <w:tcPr>
                  <w:tcW w:w="599" w:type="dxa"/>
                  <w:vMerge w:val="continue"/>
                  <w:vAlign w:val="center"/>
                </w:tcPr>
                <w:p>
                  <w:pPr>
                    <w:spacing w:line="240" w:lineRule="auto"/>
                    <w:ind w:right="46" w:rightChars="19" w:firstLine="0" w:firstLineChars="0"/>
                    <w:jc w:val="center"/>
                    <w:rPr>
                      <w:sz w:val="21"/>
                      <w:szCs w:val="21"/>
                    </w:rPr>
                  </w:pPr>
                </w:p>
              </w:tc>
              <w:tc>
                <w:tcPr>
                  <w:tcW w:w="403" w:type="dxa"/>
                  <w:vMerge w:val="continue"/>
                  <w:vAlign w:val="center"/>
                </w:tcPr>
                <w:p>
                  <w:pPr>
                    <w:spacing w:line="240" w:lineRule="auto"/>
                    <w:ind w:right="46" w:rightChars="19" w:firstLine="0" w:firstLineChars="0"/>
                    <w:jc w:val="center"/>
                    <w:rPr>
                      <w:sz w:val="21"/>
                      <w:szCs w:val="21"/>
                    </w:rPr>
                  </w:pPr>
                </w:p>
              </w:tc>
              <w:tc>
                <w:tcPr>
                  <w:tcW w:w="432" w:type="dxa"/>
                  <w:vMerge w:val="continue"/>
                  <w:vAlign w:val="center"/>
                </w:tcPr>
                <w:p>
                  <w:pPr>
                    <w:spacing w:line="240" w:lineRule="auto"/>
                    <w:ind w:right="46" w:rightChars="19" w:firstLine="0" w:firstLineChars="0"/>
                    <w:jc w:val="center"/>
                    <w:rPr>
                      <w:sz w:val="21"/>
                      <w:szCs w:val="21"/>
                    </w:rPr>
                  </w:pPr>
                </w:p>
              </w:tc>
              <w:tc>
                <w:tcPr>
                  <w:tcW w:w="348" w:type="dxa"/>
                  <w:vMerge w:val="continue"/>
                  <w:vAlign w:val="center"/>
                </w:tcPr>
                <w:p>
                  <w:pPr>
                    <w:spacing w:line="240" w:lineRule="auto"/>
                    <w:ind w:right="46" w:rightChars="19" w:firstLine="0" w:firstLineChars="0"/>
                    <w:jc w:val="center"/>
                    <w:rPr>
                      <w:sz w:val="21"/>
                      <w:szCs w:val="21"/>
                    </w:rPr>
                  </w:pPr>
                </w:p>
              </w:tc>
              <w:tc>
                <w:tcPr>
                  <w:tcW w:w="840" w:type="dxa"/>
                  <w:vAlign w:val="center"/>
                </w:tcPr>
                <w:p>
                  <w:pPr>
                    <w:spacing w:line="240" w:lineRule="auto"/>
                    <w:ind w:right="46" w:rightChars="19" w:firstLine="0" w:firstLineChars="0"/>
                    <w:jc w:val="center"/>
                    <w:rPr>
                      <w:sz w:val="21"/>
                      <w:szCs w:val="21"/>
                    </w:rPr>
                  </w:pPr>
                  <w:r>
                    <w:rPr>
                      <w:rFonts w:hint="eastAsia"/>
                      <w:sz w:val="21"/>
                      <w:szCs w:val="21"/>
                    </w:rPr>
                    <w:t>0.00002</w:t>
                  </w:r>
                </w:p>
              </w:tc>
              <w:tc>
                <w:tcPr>
                  <w:tcW w:w="865" w:type="dxa"/>
                  <w:gridSpan w:val="2"/>
                  <w:vAlign w:val="center"/>
                </w:tcPr>
                <w:p>
                  <w:pPr>
                    <w:spacing w:line="240" w:lineRule="auto"/>
                    <w:ind w:right="46" w:rightChars="19" w:firstLine="0" w:firstLineChars="0"/>
                    <w:jc w:val="center"/>
                    <w:rPr>
                      <w:sz w:val="21"/>
                      <w:szCs w:val="21"/>
                    </w:rPr>
                  </w:pPr>
                  <w:r>
                    <w:rPr>
                      <w:rFonts w:hint="eastAsia"/>
                      <w:sz w:val="21"/>
                      <w:szCs w:val="21"/>
                    </w:rPr>
                    <w:t>0.00018</w:t>
                  </w:r>
                </w:p>
              </w:tc>
              <w:tc>
                <w:tcPr>
                  <w:tcW w:w="1046" w:type="dxa"/>
                  <w:vMerge w:val="continue"/>
                  <w:vAlign w:val="center"/>
                </w:tcPr>
                <w:p>
                  <w:pPr>
                    <w:spacing w:line="240" w:lineRule="auto"/>
                    <w:ind w:right="46" w:rightChars="19" w:firstLine="0" w:firstLineChars="0"/>
                    <w:jc w:val="center"/>
                    <w:rPr>
                      <w:sz w:val="21"/>
                      <w:szCs w:val="21"/>
                    </w:rPr>
                  </w:pPr>
                </w:p>
              </w:tc>
              <w:tc>
                <w:tcPr>
                  <w:tcW w:w="1054" w:type="dxa"/>
                  <w:vMerge w:val="continue"/>
                  <w:vAlign w:val="center"/>
                </w:tcPr>
                <w:p>
                  <w:pPr>
                    <w:spacing w:line="240" w:lineRule="auto"/>
                    <w:ind w:right="46" w:rightChars="19" w:firstLine="0" w:firstLineChars="0"/>
                    <w:jc w:val="center"/>
                    <w:rPr>
                      <w:sz w:val="21"/>
                      <w:szCs w:val="21"/>
                    </w:rPr>
                  </w:pPr>
                </w:p>
              </w:tc>
              <w:tc>
                <w:tcPr>
                  <w:tcW w:w="569" w:type="dxa"/>
                  <w:vMerge w:val="continue"/>
                  <w:vAlign w:val="center"/>
                </w:tcPr>
                <w:p>
                  <w:pPr>
                    <w:spacing w:line="240" w:lineRule="auto"/>
                    <w:ind w:right="46" w:rightChars="19" w:firstLine="0" w:firstLineChars="0"/>
                    <w:jc w:val="center"/>
                    <w:rPr>
                      <w:sz w:val="21"/>
                      <w:szCs w:val="21"/>
                    </w:rPr>
                  </w:pPr>
                </w:p>
              </w:tc>
              <w:tc>
                <w:tcPr>
                  <w:tcW w:w="537" w:type="dxa"/>
                  <w:vMerge w:val="continue"/>
                  <w:vAlign w:val="center"/>
                </w:tcPr>
                <w:p>
                  <w:pPr>
                    <w:spacing w:line="240" w:lineRule="auto"/>
                    <w:ind w:right="46" w:rightChars="19" w:firstLine="0" w:firstLineChars="0"/>
                    <w:jc w:val="center"/>
                    <w:rPr>
                      <w:sz w:val="21"/>
                      <w:szCs w:val="21"/>
                    </w:rPr>
                  </w:pPr>
                </w:p>
              </w:tc>
              <w:tc>
                <w:tcPr>
                  <w:tcW w:w="463" w:type="dxa"/>
                  <w:vMerge w:val="continue"/>
                  <w:vAlign w:val="center"/>
                </w:tcPr>
                <w:p>
                  <w:pPr>
                    <w:spacing w:line="240" w:lineRule="auto"/>
                    <w:ind w:right="46" w:rightChars="19" w:firstLine="0" w:firstLineChars="0"/>
                    <w:jc w:val="center"/>
                    <w:rPr>
                      <w:sz w:val="21"/>
                      <w:szCs w:val="21"/>
                    </w:rPr>
                  </w:pPr>
                </w:p>
              </w:tc>
              <w:tc>
                <w:tcPr>
                  <w:tcW w:w="371" w:type="dxa"/>
                  <w:vMerge w:val="continue"/>
                  <w:vAlign w:val="center"/>
                </w:tcPr>
                <w:p>
                  <w:pPr>
                    <w:spacing w:line="240" w:lineRule="auto"/>
                    <w:ind w:right="46" w:rightChars="19" w:firstLine="0" w:firstLineChars="0"/>
                    <w:jc w:val="center"/>
                    <w:rPr>
                      <w:sz w:val="21"/>
                      <w:szCs w:val="21"/>
                    </w:rPr>
                  </w:pPr>
                </w:p>
              </w:tc>
              <w:tc>
                <w:tcPr>
                  <w:tcW w:w="382" w:type="dxa"/>
                  <w:vMerge w:val="continue"/>
                  <w:vAlign w:val="center"/>
                </w:tcPr>
                <w:p>
                  <w:pPr>
                    <w:spacing w:line="240" w:lineRule="auto"/>
                    <w:ind w:right="46" w:rightChars="19" w:firstLine="0" w:firstLineChars="0"/>
                    <w:jc w:val="center"/>
                    <w:rPr>
                      <w:sz w:val="21"/>
                      <w:szCs w:val="21"/>
                    </w:rPr>
                  </w:pPr>
                </w:p>
              </w:tc>
              <w:tc>
                <w:tcPr>
                  <w:tcW w:w="2723" w:type="dxa"/>
                  <w:vMerge w:val="continue"/>
                  <w:vAlign w:val="center"/>
                </w:tcPr>
                <w:p>
                  <w:pPr>
                    <w:spacing w:line="240" w:lineRule="auto"/>
                    <w:ind w:right="46" w:rightChars="19" w:firstLine="420"/>
                    <w:jc w:val="center"/>
                    <w:rPr>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476" w:type="dxa"/>
                  <w:vMerge w:val="continue"/>
                  <w:vAlign w:val="center"/>
                </w:tcPr>
                <w:p>
                  <w:pPr>
                    <w:spacing w:line="240" w:lineRule="auto"/>
                    <w:ind w:right="46" w:rightChars="19" w:firstLine="0" w:firstLineChars="0"/>
                    <w:jc w:val="center"/>
                    <w:rPr>
                      <w:sz w:val="21"/>
                      <w:szCs w:val="21"/>
                    </w:rPr>
                  </w:pPr>
                </w:p>
              </w:tc>
              <w:tc>
                <w:tcPr>
                  <w:tcW w:w="650" w:type="dxa"/>
                  <w:vAlign w:val="center"/>
                </w:tcPr>
                <w:p>
                  <w:pPr>
                    <w:spacing w:line="240" w:lineRule="auto"/>
                    <w:ind w:right="46" w:rightChars="19" w:firstLine="0" w:firstLineChars="0"/>
                    <w:jc w:val="center"/>
                    <w:rPr>
                      <w:sz w:val="21"/>
                      <w:szCs w:val="21"/>
                      <w:lang w:val="zh-CN"/>
                    </w:rPr>
                  </w:pPr>
                  <w:r>
                    <w:rPr>
                      <w:rFonts w:hint="eastAsia"/>
                      <w:sz w:val="21"/>
                      <w:szCs w:val="21"/>
                      <w:lang w:val="zh-CN"/>
                    </w:rPr>
                    <w:t>臭气浓度</w:t>
                  </w:r>
                </w:p>
              </w:tc>
              <w:tc>
                <w:tcPr>
                  <w:tcW w:w="1680" w:type="dxa"/>
                  <w:gridSpan w:val="2"/>
                  <w:vAlign w:val="center"/>
                </w:tcPr>
                <w:p>
                  <w:pPr>
                    <w:spacing w:line="240" w:lineRule="auto"/>
                    <w:ind w:right="46" w:rightChars="19" w:firstLine="0" w:firstLineChars="0"/>
                    <w:jc w:val="center"/>
                    <w:rPr>
                      <w:sz w:val="21"/>
                      <w:szCs w:val="21"/>
                    </w:rPr>
                  </w:pPr>
                  <w:r>
                    <w:rPr>
                      <w:rFonts w:hint="eastAsia"/>
                      <w:sz w:val="21"/>
                      <w:szCs w:val="21"/>
                    </w:rPr>
                    <w:t>250</w:t>
                  </w:r>
                  <w:r>
                    <w:rPr>
                      <w:sz w:val="21"/>
                      <w:szCs w:val="21"/>
                    </w:rPr>
                    <w:t>0</w:t>
                  </w:r>
                </w:p>
                <w:p>
                  <w:pPr>
                    <w:spacing w:line="240" w:lineRule="auto"/>
                    <w:ind w:right="46" w:rightChars="19" w:firstLine="0" w:firstLineChars="0"/>
                    <w:jc w:val="center"/>
                    <w:rPr>
                      <w:sz w:val="21"/>
                      <w:szCs w:val="21"/>
                    </w:rPr>
                  </w:pPr>
                  <w:r>
                    <w:rPr>
                      <w:rFonts w:hint="eastAsia"/>
                      <w:sz w:val="21"/>
                      <w:szCs w:val="21"/>
                      <w:lang w:val="zh-CN"/>
                    </w:rPr>
                    <w:t>（无量纲）</w:t>
                  </w:r>
                </w:p>
              </w:tc>
              <w:tc>
                <w:tcPr>
                  <w:tcW w:w="433" w:type="dxa"/>
                  <w:vMerge w:val="continue"/>
                  <w:vAlign w:val="center"/>
                </w:tcPr>
                <w:p>
                  <w:pPr>
                    <w:spacing w:line="240" w:lineRule="auto"/>
                    <w:ind w:right="46" w:rightChars="19" w:firstLine="0" w:firstLineChars="0"/>
                    <w:jc w:val="center"/>
                    <w:rPr>
                      <w:sz w:val="21"/>
                      <w:szCs w:val="21"/>
                    </w:rPr>
                  </w:pPr>
                </w:p>
              </w:tc>
              <w:tc>
                <w:tcPr>
                  <w:tcW w:w="599" w:type="dxa"/>
                  <w:vMerge w:val="continue"/>
                  <w:vAlign w:val="center"/>
                </w:tcPr>
                <w:p>
                  <w:pPr>
                    <w:spacing w:line="240" w:lineRule="auto"/>
                    <w:ind w:right="46" w:rightChars="19" w:firstLine="0" w:firstLineChars="0"/>
                    <w:jc w:val="center"/>
                    <w:rPr>
                      <w:sz w:val="21"/>
                      <w:szCs w:val="21"/>
                    </w:rPr>
                  </w:pPr>
                </w:p>
              </w:tc>
              <w:tc>
                <w:tcPr>
                  <w:tcW w:w="403" w:type="dxa"/>
                  <w:vMerge w:val="continue"/>
                  <w:vAlign w:val="center"/>
                </w:tcPr>
                <w:p>
                  <w:pPr>
                    <w:spacing w:line="240" w:lineRule="auto"/>
                    <w:ind w:right="46" w:rightChars="19" w:firstLine="0" w:firstLineChars="0"/>
                    <w:jc w:val="center"/>
                    <w:rPr>
                      <w:sz w:val="21"/>
                      <w:szCs w:val="21"/>
                    </w:rPr>
                  </w:pPr>
                </w:p>
              </w:tc>
              <w:tc>
                <w:tcPr>
                  <w:tcW w:w="432" w:type="dxa"/>
                  <w:vMerge w:val="continue"/>
                  <w:vAlign w:val="center"/>
                </w:tcPr>
                <w:p>
                  <w:pPr>
                    <w:spacing w:line="240" w:lineRule="auto"/>
                    <w:ind w:right="46" w:rightChars="19" w:firstLine="0" w:firstLineChars="0"/>
                    <w:jc w:val="center"/>
                    <w:rPr>
                      <w:sz w:val="21"/>
                      <w:szCs w:val="21"/>
                    </w:rPr>
                  </w:pPr>
                </w:p>
              </w:tc>
              <w:tc>
                <w:tcPr>
                  <w:tcW w:w="348" w:type="dxa"/>
                  <w:vMerge w:val="continue"/>
                  <w:vAlign w:val="center"/>
                </w:tcPr>
                <w:p>
                  <w:pPr>
                    <w:spacing w:line="240" w:lineRule="auto"/>
                    <w:ind w:right="46" w:rightChars="19" w:firstLine="0" w:firstLineChars="0"/>
                    <w:jc w:val="center"/>
                    <w:rPr>
                      <w:sz w:val="21"/>
                      <w:szCs w:val="21"/>
                    </w:rPr>
                  </w:pPr>
                </w:p>
              </w:tc>
              <w:tc>
                <w:tcPr>
                  <w:tcW w:w="1705" w:type="dxa"/>
                  <w:gridSpan w:val="3"/>
                  <w:vAlign w:val="center"/>
                </w:tcPr>
                <w:p>
                  <w:pPr>
                    <w:spacing w:line="240" w:lineRule="auto"/>
                    <w:ind w:right="46" w:rightChars="19" w:firstLine="0" w:firstLineChars="0"/>
                    <w:jc w:val="center"/>
                    <w:rPr>
                      <w:sz w:val="21"/>
                      <w:szCs w:val="21"/>
                    </w:rPr>
                  </w:pPr>
                  <w:r>
                    <w:rPr>
                      <w:rFonts w:hint="eastAsia"/>
                      <w:sz w:val="21"/>
                      <w:szCs w:val="21"/>
                    </w:rPr>
                    <w:t>750</w:t>
                  </w:r>
                </w:p>
                <w:p>
                  <w:pPr>
                    <w:spacing w:line="240" w:lineRule="auto"/>
                    <w:ind w:right="46" w:rightChars="19" w:firstLine="0" w:firstLineChars="0"/>
                    <w:jc w:val="center"/>
                    <w:rPr>
                      <w:sz w:val="21"/>
                      <w:szCs w:val="21"/>
                    </w:rPr>
                  </w:pPr>
                  <w:r>
                    <w:rPr>
                      <w:rFonts w:hint="eastAsia"/>
                      <w:sz w:val="21"/>
                      <w:szCs w:val="21"/>
                      <w:lang w:val="zh-CN"/>
                    </w:rPr>
                    <w:t>（无量纲）</w:t>
                  </w:r>
                </w:p>
              </w:tc>
              <w:tc>
                <w:tcPr>
                  <w:tcW w:w="1046" w:type="dxa"/>
                  <w:vMerge w:val="continue"/>
                  <w:vAlign w:val="center"/>
                </w:tcPr>
                <w:p>
                  <w:pPr>
                    <w:spacing w:line="240" w:lineRule="auto"/>
                    <w:ind w:right="46" w:rightChars="19" w:firstLine="0" w:firstLineChars="0"/>
                    <w:jc w:val="center"/>
                    <w:rPr>
                      <w:sz w:val="21"/>
                      <w:szCs w:val="21"/>
                    </w:rPr>
                  </w:pPr>
                </w:p>
              </w:tc>
              <w:tc>
                <w:tcPr>
                  <w:tcW w:w="1054" w:type="dxa"/>
                  <w:vMerge w:val="continue"/>
                  <w:vAlign w:val="center"/>
                </w:tcPr>
                <w:p>
                  <w:pPr>
                    <w:spacing w:line="240" w:lineRule="auto"/>
                    <w:ind w:right="46" w:rightChars="19" w:firstLine="0" w:firstLineChars="0"/>
                    <w:jc w:val="center"/>
                    <w:rPr>
                      <w:sz w:val="21"/>
                      <w:szCs w:val="21"/>
                    </w:rPr>
                  </w:pPr>
                </w:p>
              </w:tc>
              <w:tc>
                <w:tcPr>
                  <w:tcW w:w="569" w:type="dxa"/>
                  <w:vMerge w:val="continue"/>
                  <w:vAlign w:val="center"/>
                </w:tcPr>
                <w:p>
                  <w:pPr>
                    <w:spacing w:line="240" w:lineRule="auto"/>
                    <w:ind w:right="46" w:rightChars="19" w:firstLine="0" w:firstLineChars="0"/>
                    <w:jc w:val="center"/>
                    <w:rPr>
                      <w:sz w:val="21"/>
                      <w:szCs w:val="21"/>
                    </w:rPr>
                  </w:pPr>
                </w:p>
              </w:tc>
              <w:tc>
                <w:tcPr>
                  <w:tcW w:w="537" w:type="dxa"/>
                  <w:vMerge w:val="continue"/>
                  <w:vAlign w:val="center"/>
                </w:tcPr>
                <w:p>
                  <w:pPr>
                    <w:spacing w:line="240" w:lineRule="auto"/>
                    <w:ind w:right="46" w:rightChars="19" w:firstLine="0" w:firstLineChars="0"/>
                    <w:jc w:val="center"/>
                    <w:rPr>
                      <w:sz w:val="21"/>
                      <w:szCs w:val="21"/>
                    </w:rPr>
                  </w:pPr>
                </w:p>
              </w:tc>
              <w:tc>
                <w:tcPr>
                  <w:tcW w:w="463" w:type="dxa"/>
                  <w:vMerge w:val="continue"/>
                  <w:vAlign w:val="center"/>
                </w:tcPr>
                <w:p>
                  <w:pPr>
                    <w:spacing w:line="240" w:lineRule="auto"/>
                    <w:ind w:right="46" w:rightChars="19" w:firstLine="0" w:firstLineChars="0"/>
                    <w:jc w:val="center"/>
                    <w:rPr>
                      <w:sz w:val="21"/>
                      <w:szCs w:val="21"/>
                    </w:rPr>
                  </w:pPr>
                </w:p>
              </w:tc>
              <w:tc>
                <w:tcPr>
                  <w:tcW w:w="371" w:type="dxa"/>
                  <w:vMerge w:val="continue"/>
                  <w:vAlign w:val="center"/>
                </w:tcPr>
                <w:p>
                  <w:pPr>
                    <w:spacing w:line="240" w:lineRule="auto"/>
                    <w:ind w:right="46" w:rightChars="19" w:firstLine="0" w:firstLineChars="0"/>
                    <w:jc w:val="center"/>
                    <w:rPr>
                      <w:sz w:val="21"/>
                      <w:szCs w:val="21"/>
                    </w:rPr>
                  </w:pPr>
                </w:p>
              </w:tc>
              <w:tc>
                <w:tcPr>
                  <w:tcW w:w="382" w:type="dxa"/>
                  <w:vMerge w:val="continue"/>
                  <w:vAlign w:val="center"/>
                </w:tcPr>
                <w:p>
                  <w:pPr>
                    <w:spacing w:line="240" w:lineRule="auto"/>
                    <w:ind w:right="46" w:rightChars="19" w:firstLine="0" w:firstLineChars="0"/>
                    <w:jc w:val="center"/>
                    <w:rPr>
                      <w:sz w:val="21"/>
                      <w:szCs w:val="21"/>
                    </w:rPr>
                  </w:pPr>
                </w:p>
              </w:tc>
              <w:tc>
                <w:tcPr>
                  <w:tcW w:w="2723" w:type="dxa"/>
                  <w:vMerge w:val="continue"/>
                  <w:vAlign w:val="center"/>
                </w:tcPr>
                <w:p>
                  <w:pPr>
                    <w:spacing w:line="240" w:lineRule="auto"/>
                    <w:ind w:right="46" w:rightChars="19" w:firstLine="0" w:firstLineChars="0"/>
                    <w:jc w:val="center"/>
                    <w:rPr>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476" w:type="dxa"/>
                  <w:vMerge w:val="restart"/>
                  <w:vAlign w:val="center"/>
                </w:tcPr>
                <w:p>
                  <w:pPr>
                    <w:spacing w:line="240" w:lineRule="auto"/>
                    <w:ind w:right="46" w:rightChars="19" w:firstLine="0" w:firstLineChars="0"/>
                    <w:jc w:val="center"/>
                    <w:rPr>
                      <w:sz w:val="21"/>
                      <w:szCs w:val="21"/>
                    </w:rPr>
                  </w:pPr>
                  <w:r>
                    <w:rPr>
                      <w:rFonts w:hint="eastAsia"/>
                      <w:sz w:val="21"/>
                      <w:szCs w:val="21"/>
                    </w:rPr>
                    <w:t>无组织</w:t>
                  </w:r>
                </w:p>
              </w:tc>
              <w:tc>
                <w:tcPr>
                  <w:tcW w:w="650" w:type="dxa"/>
                  <w:vAlign w:val="center"/>
                </w:tcPr>
                <w:p>
                  <w:pPr>
                    <w:spacing w:line="240" w:lineRule="auto"/>
                    <w:ind w:right="46" w:rightChars="19" w:firstLine="0" w:firstLineChars="0"/>
                    <w:jc w:val="center"/>
                    <w:rPr>
                      <w:sz w:val="21"/>
                      <w:szCs w:val="21"/>
                    </w:rPr>
                  </w:pPr>
                  <w:r>
                    <w:rPr>
                      <w:rFonts w:hint="eastAsia"/>
                      <w:sz w:val="21"/>
                      <w:szCs w:val="21"/>
                    </w:rPr>
                    <w:t>NH</w:t>
                  </w:r>
                  <w:r>
                    <w:rPr>
                      <w:rFonts w:hint="eastAsia"/>
                      <w:sz w:val="21"/>
                      <w:szCs w:val="21"/>
                      <w:vertAlign w:val="subscript"/>
                    </w:rPr>
                    <w:t>3</w:t>
                  </w:r>
                </w:p>
              </w:tc>
              <w:tc>
                <w:tcPr>
                  <w:tcW w:w="844" w:type="dxa"/>
                  <w:vAlign w:val="center"/>
                </w:tcPr>
                <w:p>
                  <w:pPr>
                    <w:spacing w:line="240" w:lineRule="auto"/>
                    <w:ind w:right="46" w:rightChars="19" w:firstLine="0" w:firstLineChars="0"/>
                    <w:jc w:val="center"/>
                    <w:rPr>
                      <w:sz w:val="21"/>
                      <w:szCs w:val="21"/>
                    </w:rPr>
                  </w:pPr>
                  <w:r>
                    <w:rPr>
                      <w:sz w:val="21"/>
                      <w:szCs w:val="21"/>
                    </w:rPr>
                    <w:t>0.00007</w:t>
                  </w:r>
                </w:p>
              </w:tc>
              <w:tc>
                <w:tcPr>
                  <w:tcW w:w="836" w:type="dxa"/>
                  <w:vAlign w:val="center"/>
                </w:tcPr>
                <w:p>
                  <w:pPr>
                    <w:spacing w:line="240" w:lineRule="auto"/>
                    <w:ind w:right="46" w:rightChars="19" w:firstLine="0" w:firstLineChars="0"/>
                    <w:jc w:val="center"/>
                    <w:rPr>
                      <w:sz w:val="21"/>
                      <w:szCs w:val="21"/>
                    </w:rPr>
                  </w:pPr>
                  <w:r>
                    <w:rPr>
                      <w:rFonts w:hint="eastAsia"/>
                      <w:sz w:val="21"/>
                      <w:szCs w:val="21"/>
                    </w:rPr>
                    <w:t>—</w:t>
                  </w:r>
                </w:p>
              </w:tc>
              <w:tc>
                <w:tcPr>
                  <w:tcW w:w="433" w:type="dxa"/>
                  <w:vMerge w:val="restart"/>
                  <w:vAlign w:val="center"/>
                </w:tcPr>
                <w:p>
                  <w:pPr>
                    <w:spacing w:line="240" w:lineRule="auto"/>
                    <w:ind w:right="46" w:rightChars="19" w:firstLine="0" w:firstLineChars="0"/>
                    <w:jc w:val="center"/>
                    <w:rPr>
                      <w:sz w:val="21"/>
                      <w:szCs w:val="21"/>
                    </w:rPr>
                  </w:pPr>
                  <w:r>
                    <w:rPr>
                      <w:rFonts w:hint="eastAsia"/>
                      <w:sz w:val="21"/>
                      <w:szCs w:val="21"/>
                    </w:rPr>
                    <w:t>无组织</w:t>
                  </w:r>
                </w:p>
              </w:tc>
              <w:tc>
                <w:tcPr>
                  <w:tcW w:w="599" w:type="dxa"/>
                  <w:vMerge w:val="restart"/>
                  <w:vAlign w:val="center"/>
                </w:tcPr>
                <w:p>
                  <w:pPr>
                    <w:spacing w:line="240" w:lineRule="auto"/>
                    <w:ind w:right="46" w:rightChars="19" w:firstLine="0" w:firstLineChars="0"/>
                    <w:jc w:val="center"/>
                    <w:rPr>
                      <w:sz w:val="21"/>
                      <w:szCs w:val="21"/>
                    </w:rPr>
                  </w:pPr>
                  <w:r>
                    <w:rPr>
                      <w:rFonts w:hint="eastAsia"/>
                      <w:sz w:val="21"/>
                      <w:szCs w:val="21"/>
                    </w:rPr>
                    <w:t>池体密闭，喷洒除臭剂</w:t>
                  </w:r>
                </w:p>
              </w:tc>
              <w:tc>
                <w:tcPr>
                  <w:tcW w:w="403" w:type="dxa"/>
                  <w:vAlign w:val="center"/>
                </w:tcPr>
                <w:p>
                  <w:pPr>
                    <w:spacing w:line="240" w:lineRule="auto"/>
                    <w:ind w:right="46" w:rightChars="19" w:firstLine="0" w:firstLineChars="0"/>
                    <w:jc w:val="center"/>
                    <w:rPr>
                      <w:sz w:val="21"/>
                      <w:szCs w:val="21"/>
                    </w:rPr>
                  </w:pPr>
                  <w:r>
                    <w:rPr>
                      <w:rFonts w:hint="eastAsia"/>
                      <w:sz w:val="21"/>
                      <w:szCs w:val="21"/>
                    </w:rPr>
                    <w:t>—</w:t>
                  </w:r>
                </w:p>
              </w:tc>
              <w:tc>
                <w:tcPr>
                  <w:tcW w:w="432" w:type="dxa"/>
                  <w:vAlign w:val="center"/>
                </w:tcPr>
                <w:p>
                  <w:pPr>
                    <w:spacing w:line="240" w:lineRule="auto"/>
                    <w:ind w:right="46" w:rightChars="19" w:firstLine="0" w:firstLineChars="0"/>
                    <w:jc w:val="center"/>
                    <w:rPr>
                      <w:sz w:val="21"/>
                      <w:szCs w:val="21"/>
                    </w:rPr>
                  </w:pPr>
                  <w:r>
                    <w:rPr>
                      <w:rFonts w:hint="eastAsia"/>
                      <w:sz w:val="21"/>
                      <w:szCs w:val="21"/>
                    </w:rPr>
                    <w:t>—</w:t>
                  </w:r>
                </w:p>
              </w:tc>
              <w:tc>
                <w:tcPr>
                  <w:tcW w:w="348" w:type="dxa"/>
                  <w:vAlign w:val="center"/>
                </w:tcPr>
                <w:p>
                  <w:pPr>
                    <w:spacing w:line="240" w:lineRule="auto"/>
                    <w:ind w:right="46" w:rightChars="19" w:firstLine="0" w:firstLineChars="0"/>
                    <w:jc w:val="center"/>
                    <w:rPr>
                      <w:sz w:val="21"/>
                      <w:szCs w:val="21"/>
                    </w:rPr>
                  </w:pPr>
                  <w:r>
                    <w:rPr>
                      <w:rFonts w:hint="eastAsia"/>
                      <w:sz w:val="21"/>
                      <w:szCs w:val="21"/>
                    </w:rPr>
                    <w:t>—</w:t>
                  </w:r>
                </w:p>
              </w:tc>
              <w:tc>
                <w:tcPr>
                  <w:tcW w:w="866" w:type="dxa"/>
                  <w:gridSpan w:val="2"/>
                  <w:vAlign w:val="center"/>
                </w:tcPr>
                <w:p>
                  <w:pPr>
                    <w:spacing w:line="240" w:lineRule="auto"/>
                    <w:ind w:right="46" w:rightChars="19" w:firstLine="0" w:firstLineChars="0"/>
                    <w:jc w:val="center"/>
                    <w:rPr>
                      <w:sz w:val="21"/>
                      <w:szCs w:val="21"/>
                    </w:rPr>
                  </w:pPr>
                  <w:r>
                    <w:rPr>
                      <w:sz w:val="21"/>
                      <w:szCs w:val="21"/>
                    </w:rPr>
                    <w:t>0.00007</w:t>
                  </w:r>
                </w:p>
              </w:tc>
              <w:tc>
                <w:tcPr>
                  <w:tcW w:w="839" w:type="dxa"/>
                  <w:vAlign w:val="center"/>
                </w:tcPr>
                <w:p>
                  <w:pPr>
                    <w:spacing w:line="240" w:lineRule="auto"/>
                    <w:ind w:right="46" w:rightChars="19" w:firstLine="0" w:firstLineChars="0"/>
                    <w:jc w:val="center"/>
                    <w:rPr>
                      <w:sz w:val="21"/>
                      <w:szCs w:val="21"/>
                    </w:rPr>
                  </w:pPr>
                  <w:r>
                    <w:rPr>
                      <w:rFonts w:hint="eastAsia"/>
                      <w:sz w:val="21"/>
                      <w:szCs w:val="21"/>
                    </w:rPr>
                    <w:t>—</w:t>
                  </w:r>
                </w:p>
              </w:tc>
              <w:tc>
                <w:tcPr>
                  <w:tcW w:w="1046" w:type="dxa"/>
                  <w:vMerge w:val="restart"/>
                  <w:vAlign w:val="center"/>
                </w:tcPr>
                <w:p>
                  <w:pPr>
                    <w:spacing w:line="240" w:lineRule="auto"/>
                    <w:ind w:right="46" w:rightChars="19" w:firstLine="0" w:firstLineChars="0"/>
                    <w:jc w:val="center"/>
                    <w:rPr>
                      <w:sz w:val="21"/>
                      <w:szCs w:val="21"/>
                    </w:rPr>
                  </w:pPr>
                  <w:r>
                    <w:rPr>
                      <w:rFonts w:hint="eastAsia"/>
                      <w:sz w:val="21"/>
                      <w:szCs w:val="21"/>
                    </w:rPr>
                    <w:t>—</w:t>
                  </w:r>
                </w:p>
              </w:tc>
              <w:tc>
                <w:tcPr>
                  <w:tcW w:w="1054" w:type="dxa"/>
                  <w:vMerge w:val="restart"/>
                  <w:vAlign w:val="center"/>
                </w:tcPr>
                <w:p>
                  <w:pPr>
                    <w:spacing w:line="240" w:lineRule="auto"/>
                    <w:ind w:right="46" w:rightChars="19" w:firstLine="0" w:firstLineChars="0"/>
                    <w:jc w:val="center"/>
                    <w:rPr>
                      <w:sz w:val="21"/>
                      <w:szCs w:val="21"/>
                    </w:rPr>
                  </w:pPr>
                  <w:r>
                    <w:rPr>
                      <w:rFonts w:hint="eastAsia"/>
                      <w:sz w:val="21"/>
                      <w:szCs w:val="21"/>
                    </w:rPr>
                    <w:t>—</w:t>
                  </w:r>
                </w:p>
              </w:tc>
              <w:tc>
                <w:tcPr>
                  <w:tcW w:w="569" w:type="dxa"/>
                  <w:vMerge w:val="restart"/>
                  <w:vAlign w:val="center"/>
                </w:tcPr>
                <w:p>
                  <w:pPr>
                    <w:spacing w:line="240" w:lineRule="auto"/>
                    <w:ind w:right="46" w:rightChars="19" w:firstLine="0" w:firstLineChars="0"/>
                    <w:jc w:val="center"/>
                    <w:rPr>
                      <w:b/>
                      <w:sz w:val="21"/>
                      <w:szCs w:val="21"/>
                    </w:rPr>
                  </w:pPr>
                  <w:r>
                    <w:rPr>
                      <w:rFonts w:hint="eastAsia"/>
                      <w:b/>
                      <w:sz w:val="21"/>
                      <w:szCs w:val="21"/>
                    </w:rPr>
                    <w:t>4</w:t>
                  </w:r>
                </w:p>
              </w:tc>
              <w:tc>
                <w:tcPr>
                  <w:tcW w:w="537" w:type="dxa"/>
                  <w:vMerge w:val="restart"/>
                  <w:vAlign w:val="center"/>
                </w:tcPr>
                <w:p>
                  <w:pPr>
                    <w:spacing w:line="240" w:lineRule="auto"/>
                    <w:ind w:right="46" w:rightChars="19" w:firstLine="0" w:firstLineChars="0"/>
                    <w:jc w:val="center"/>
                    <w:rPr>
                      <w:sz w:val="21"/>
                      <w:szCs w:val="21"/>
                    </w:rPr>
                  </w:pPr>
                  <w:r>
                    <w:rPr>
                      <w:rFonts w:hint="eastAsia"/>
                      <w:sz w:val="21"/>
                      <w:szCs w:val="21"/>
                    </w:rPr>
                    <w:t>2</w:t>
                  </w:r>
                </w:p>
              </w:tc>
              <w:tc>
                <w:tcPr>
                  <w:tcW w:w="463" w:type="dxa"/>
                  <w:vMerge w:val="restart"/>
                  <w:vAlign w:val="center"/>
                </w:tcPr>
                <w:p>
                  <w:pPr>
                    <w:spacing w:line="240" w:lineRule="auto"/>
                    <w:ind w:right="46" w:rightChars="19" w:firstLine="0" w:firstLineChars="0"/>
                    <w:jc w:val="center"/>
                    <w:rPr>
                      <w:sz w:val="21"/>
                      <w:szCs w:val="21"/>
                    </w:rPr>
                  </w:pPr>
                  <w:r>
                    <w:rPr>
                      <w:rFonts w:hint="eastAsia"/>
                      <w:sz w:val="21"/>
                      <w:szCs w:val="21"/>
                    </w:rPr>
                    <w:t>—</w:t>
                  </w:r>
                </w:p>
              </w:tc>
              <w:tc>
                <w:tcPr>
                  <w:tcW w:w="371" w:type="dxa"/>
                  <w:vMerge w:val="restart"/>
                  <w:vAlign w:val="center"/>
                </w:tcPr>
                <w:p>
                  <w:pPr>
                    <w:spacing w:line="240" w:lineRule="auto"/>
                    <w:ind w:right="46" w:rightChars="19" w:firstLine="0" w:firstLineChars="0"/>
                    <w:jc w:val="center"/>
                    <w:rPr>
                      <w:sz w:val="21"/>
                      <w:szCs w:val="21"/>
                    </w:rPr>
                  </w:pPr>
                  <w:r>
                    <w:rPr>
                      <w:rFonts w:hint="eastAsia"/>
                      <w:sz w:val="21"/>
                      <w:szCs w:val="21"/>
                    </w:rPr>
                    <w:t>—</w:t>
                  </w:r>
                </w:p>
              </w:tc>
              <w:tc>
                <w:tcPr>
                  <w:tcW w:w="382" w:type="dxa"/>
                  <w:vMerge w:val="restart"/>
                  <w:vAlign w:val="center"/>
                </w:tcPr>
                <w:p>
                  <w:pPr>
                    <w:spacing w:line="240" w:lineRule="auto"/>
                    <w:ind w:right="46" w:rightChars="19" w:firstLine="0" w:firstLineChars="0"/>
                    <w:jc w:val="center"/>
                    <w:rPr>
                      <w:sz w:val="21"/>
                      <w:szCs w:val="21"/>
                    </w:rPr>
                  </w:pPr>
                  <w:r>
                    <w:rPr>
                      <w:rFonts w:hint="eastAsia"/>
                      <w:sz w:val="21"/>
                      <w:szCs w:val="21"/>
                    </w:rPr>
                    <w:t>—</w:t>
                  </w:r>
                </w:p>
              </w:tc>
              <w:tc>
                <w:tcPr>
                  <w:tcW w:w="2723" w:type="dxa"/>
                  <w:vMerge w:val="restart"/>
                  <w:vAlign w:val="center"/>
                </w:tcPr>
                <w:p>
                  <w:pPr>
                    <w:spacing w:line="240" w:lineRule="auto"/>
                    <w:ind w:right="46" w:rightChars="19" w:firstLine="0" w:firstLineChars="0"/>
                    <w:jc w:val="left"/>
                    <w:rPr>
                      <w:sz w:val="21"/>
                      <w:szCs w:val="21"/>
                    </w:rPr>
                  </w:pPr>
                  <w:r>
                    <w:rPr>
                      <w:rFonts w:hint="eastAsia"/>
                      <w:sz w:val="21"/>
                      <w:szCs w:val="21"/>
                    </w:rPr>
                    <w:t>《医疗机构水污染物排放标准》（GB18466-2005）中表3标准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476" w:type="dxa"/>
                  <w:vMerge w:val="continue"/>
                  <w:vAlign w:val="center"/>
                </w:tcPr>
                <w:p>
                  <w:pPr>
                    <w:spacing w:line="240" w:lineRule="auto"/>
                    <w:ind w:right="46" w:rightChars="19" w:firstLine="0" w:firstLineChars="0"/>
                    <w:jc w:val="center"/>
                    <w:rPr>
                      <w:sz w:val="21"/>
                      <w:szCs w:val="21"/>
                    </w:rPr>
                  </w:pPr>
                </w:p>
              </w:tc>
              <w:tc>
                <w:tcPr>
                  <w:tcW w:w="650" w:type="dxa"/>
                  <w:vAlign w:val="center"/>
                </w:tcPr>
                <w:p>
                  <w:pPr>
                    <w:spacing w:line="240" w:lineRule="auto"/>
                    <w:ind w:right="46" w:rightChars="19" w:firstLine="0" w:firstLineChars="0"/>
                    <w:jc w:val="center"/>
                    <w:rPr>
                      <w:sz w:val="21"/>
                      <w:szCs w:val="21"/>
                    </w:rPr>
                  </w:pPr>
                  <w:r>
                    <w:rPr>
                      <w:rFonts w:hint="eastAsia"/>
                      <w:sz w:val="21"/>
                      <w:szCs w:val="21"/>
                    </w:rPr>
                    <w:t>H</w:t>
                  </w:r>
                  <w:r>
                    <w:rPr>
                      <w:rFonts w:hint="eastAsia"/>
                      <w:sz w:val="21"/>
                      <w:szCs w:val="21"/>
                      <w:vertAlign w:val="subscript"/>
                    </w:rPr>
                    <w:t>2</w:t>
                  </w:r>
                  <w:r>
                    <w:rPr>
                      <w:rFonts w:hint="eastAsia"/>
                      <w:sz w:val="21"/>
                      <w:szCs w:val="21"/>
                    </w:rPr>
                    <w:t>S</w:t>
                  </w:r>
                </w:p>
              </w:tc>
              <w:tc>
                <w:tcPr>
                  <w:tcW w:w="844" w:type="dxa"/>
                  <w:vAlign w:val="center"/>
                </w:tcPr>
                <w:p>
                  <w:pPr>
                    <w:spacing w:line="240" w:lineRule="auto"/>
                    <w:ind w:right="46" w:rightChars="19" w:firstLine="0" w:firstLineChars="0"/>
                    <w:jc w:val="center"/>
                    <w:rPr>
                      <w:sz w:val="21"/>
                      <w:szCs w:val="21"/>
                    </w:rPr>
                  </w:pPr>
                  <w:r>
                    <w:rPr>
                      <w:sz w:val="21"/>
                      <w:szCs w:val="21"/>
                    </w:rPr>
                    <w:t>0.000007</w:t>
                  </w:r>
                </w:p>
              </w:tc>
              <w:tc>
                <w:tcPr>
                  <w:tcW w:w="836" w:type="dxa"/>
                  <w:vAlign w:val="center"/>
                </w:tcPr>
                <w:p>
                  <w:pPr>
                    <w:spacing w:line="240" w:lineRule="auto"/>
                    <w:ind w:right="46" w:rightChars="19" w:firstLine="0" w:firstLineChars="0"/>
                    <w:jc w:val="center"/>
                    <w:rPr>
                      <w:sz w:val="21"/>
                      <w:szCs w:val="21"/>
                    </w:rPr>
                  </w:pPr>
                  <w:r>
                    <w:rPr>
                      <w:rFonts w:hint="eastAsia"/>
                      <w:sz w:val="21"/>
                      <w:szCs w:val="21"/>
                    </w:rPr>
                    <w:t>—</w:t>
                  </w:r>
                </w:p>
              </w:tc>
              <w:tc>
                <w:tcPr>
                  <w:tcW w:w="433" w:type="dxa"/>
                  <w:vMerge w:val="continue"/>
                  <w:vAlign w:val="center"/>
                </w:tcPr>
                <w:p>
                  <w:pPr>
                    <w:spacing w:line="240" w:lineRule="auto"/>
                    <w:ind w:right="46" w:rightChars="19" w:firstLine="0" w:firstLineChars="0"/>
                    <w:jc w:val="center"/>
                    <w:rPr>
                      <w:sz w:val="21"/>
                      <w:szCs w:val="21"/>
                    </w:rPr>
                  </w:pPr>
                </w:p>
              </w:tc>
              <w:tc>
                <w:tcPr>
                  <w:tcW w:w="599" w:type="dxa"/>
                  <w:vMerge w:val="continue"/>
                  <w:vAlign w:val="center"/>
                </w:tcPr>
                <w:p>
                  <w:pPr>
                    <w:spacing w:line="240" w:lineRule="auto"/>
                    <w:ind w:right="46" w:rightChars="19" w:firstLine="0" w:firstLineChars="0"/>
                    <w:jc w:val="center"/>
                    <w:rPr>
                      <w:sz w:val="21"/>
                      <w:szCs w:val="21"/>
                    </w:rPr>
                  </w:pPr>
                </w:p>
              </w:tc>
              <w:tc>
                <w:tcPr>
                  <w:tcW w:w="403" w:type="dxa"/>
                  <w:vAlign w:val="center"/>
                </w:tcPr>
                <w:p>
                  <w:pPr>
                    <w:spacing w:line="240" w:lineRule="auto"/>
                    <w:ind w:right="46" w:rightChars="19" w:firstLine="0" w:firstLineChars="0"/>
                    <w:jc w:val="center"/>
                    <w:rPr>
                      <w:sz w:val="21"/>
                      <w:szCs w:val="21"/>
                    </w:rPr>
                  </w:pPr>
                  <w:r>
                    <w:rPr>
                      <w:rFonts w:hint="eastAsia"/>
                      <w:sz w:val="21"/>
                      <w:szCs w:val="21"/>
                    </w:rPr>
                    <w:t>—</w:t>
                  </w:r>
                </w:p>
              </w:tc>
              <w:tc>
                <w:tcPr>
                  <w:tcW w:w="432" w:type="dxa"/>
                  <w:vAlign w:val="center"/>
                </w:tcPr>
                <w:p>
                  <w:pPr>
                    <w:spacing w:line="240" w:lineRule="auto"/>
                    <w:ind w:right="46" w:rightChars="19" w:firstLine="0" w:firstLineChars="0"/>
                    <w:jc w:val="center"/>
                    <w:rPr>
                      <w:sz w:val="21"/>
                      <w:szCs w:val="21"/>
                    </w:rPr>
                  </w:pPr>
                  <w:r>
                    <w:rPr>
                      <w:rFonts w:hint="eastAsia"/>
                      <w:sz w:val="21"/>
                      <w:szCs w:val="21"/>
                    </w:rPr>
                    <w:t>—</w:t>
                  </w:r>
                </w:p>
              </w:tc>
              <w:tc>
                <w:tcPr>
                  <w:tcW w:w="348" w:type="dxa"/>
                  <w:vAlign w:val="center"/>
                </w:tcPr>
                <w:p>
                  <w:pPr>
                    <w:spacing w:line="240" w:lineRule="auto"/>
                    <w:ind w:right="46" w:rightChars="19" w:firstLine="0" w:firstLineChars="0"/>
                    <w:jc w:val="center"/>
                    <w:rPr>
                      <w:sz w:val="21"/>
                      <w:szCs w:val="21"/>
                    </w:rPr>
                  </w:pPr>
                  <w:r>
                    <w:rPr>
                      <w:rFonts w:hint="eastAsia"/>
                      <w:sz w:val="21"/>
                      <w:szCs w:val="21"/>
                    </w:rPr>
                    <w:t>—</w:t>
                  </w:r>
                </w:p>
              </w:tc>
              <w:tc>
                <w:tcPr>
                  <w:tcW w:w="866" w:type="dxa"/>
                  <w:gridSpan w:val="2"/>
                  <w:vAlign w:val="center"/>
                </w:tcPr>
                <w:p>
                  <w:pPr>
                    <w:spacing w:line="240" w:lineRule="auto"/>
                    <w:ind w:right="46" w:rightChars="19" w:firstLine="0" w:firstLineChars="0"/>
                    <w:jc w:val="center"/>
                    <w:rPr>
                      <w:sz w:val="21"/>
                      <w:szCs w:val="21"/>
                    </w:rPr>
                  </w:pPr>
                  <w:r>
                    <w:rPr>
                      <w:sz w:val="21"/>
                      <w:szCs w:val="21"/>
                    </w:rPr>
                    <w:t>0.000007</w:t>
                  </w:r>
                </w:p>
              </w:tc>
              <w:tc>
                <w:tcPr>
                  <w:tcW w:w="839" w:type="dxa"/>
                  <w:vAlign w:val="center"/>
                </w:tcPr>
                <w:p>
                  <w:pPr>
                    <w:spacing w:line="240" w:lineRule="auto"/>
                    <w:ind w:right="46" w:rightChars="19" w:firstLine="0" w:firstLineChars="0"/>
                    <w:jc w:val="center"/>
                    <w:rPr>
                      <w:sz w:val="21"/>
                      <w:szCs w:val="21"/>
                    </w:rPr>
                  </w:pPr>
                  <w:r>
                    <w:rPr>
                      <w:rFonts w:hint="eastAsia"/>
                      <w:sz w:val="21"/>
                      <w:szCs w:val="21"/>
                    </w:rPr>
                    <w:t>—</w:t>
                  </w:r>
                </w:p>
              </w:tc>
              <w:tc>
                <w:tcPr>
                  <w:tcW w:w="1046" w:type="dxa"/>
                  <w:vMerge w:val="continue"/>
                  <w:vAlign w:val="center"/>
                </w:tcPr>
                <w:p>
                  <w:pPr>
                    <w:spacing w:line="240" w:lineRule="auto"/>
                    <w:ind w:right="46" w:rightChars="19" w:firstLine="0" w:firstLineChars="0"/>
                    <w:jc w:val="center"/>
                    <w:rPr>
                      <w:sz w:val="21"/>
                      <w:szCs w:val="21"/>
                    </w:rPr>
                  </w:pPr>
                </w:p>
              </w:tc>
              <w:tc>
                <w:tcPr>
                  <w:tcW w:w="1054" w:type="dxa"/>
                  <w:vMerge w:val="continue"/>
                  <w:vAlign w:val="center"/>
                </w:tcPr>
                <w:p>
                  <w:pPr>
                    <w:spacing w:line="240" w:lineRule="auto"/>
                    <w:ind w:right="46" w:rightChars="19" w:firstLine="0" w:firstLineChars="0"/>
                    <w:jc w:val="center"/>
                    <w:rPr>
                      <w:sz w:val="21"/>
                      <w:szCs w:val="21"/>
                    </w:rPr>
                  </w:pPr>
                </w:p>
              </w:tc>
              <w:tc>
                <w:tcPr>
                  <w:tcW w:w="569" w:type="dxa"/>
                  <w:vMerge w:val="continue"/>
                  <w:vAlign w:val="center"/>
                </w:tcPr>
                <w:p>
                  <w:pPr>
                    <w:spacing w:line="240" w:lineRule="auto"/>
                    <w:ind w:right="46" w:rightChars="19" w:firstLine="0" w:firstLineChars="0"/>
                    <w:jc w:val="center"/>
                    <w:rPr>
                      <w:b/>
                      <w:sz w:val="21"/>
                      <w:szCs w:val="21"/>
                    </w:rPr>
                  </w:pPr>
                </w:p>
              </w:tc>
              <w:tc>
                <w:tcPr>
                  <w:tcW w:w="537" w:type="dxa"/>
                  <w:vMerge w:val="continue"/>
                  <w:vAlign w:val="center"/>
                </w:tcPr>
                <w:p>
                  <w:pPr>
                    <w:spacing w:line="240" w:lineRule="auto"/>
                    <w:ind w:right="46" w:rightChars="19" w:firstLine="0" w:firstLineChars="0"/>
                    <w:jc w:val="center"/>
                    <w:rPr>
                      <w:sz w:val="21"/>
                      <w:szCs w:val="21"/>
                    </w:rPr>
                  </w:pPr>
                </w:p>
              </w:tc>
              <w:tc>
                <w:tcPr>
                  <w:tcW w:w="463" w:type="dxa"/>
                  <w:vMerge w:val="continue"/>
                  <w:vAlign w:val="center"/>
                </w:tcPr>
                <w:p>
                  <w:pPr>
                    <w:spacing w:line="240" w:lineRule="auto"/>
                    <w:ind w:right="46" w:rightChars="19" w:firstLine="0" w:firstLineChars="0"/>
                    <w:jc w:val="center"/>
                    <w:rPr>
                      <w:sz w:val="21"/>
                      <w:szCs w:val="21"/>
                    </w:rPr>
                  </w:pPr>
                </w:p>
              </w:tc>
              <w:tc>
                <w:tcPr>
                  <w:tcW w:w="371" w:type="dxa"/>
                  <w:vMerge w:val="continue"/>
                  <w:vAlign w:val="center"/>
                </w:tcPr>
                <w:p>
                  <w:pPr>
                    <w:spacing w:line="240" w:lineRule="auto"/>
                    <w:ind w:right="46" w:rightChars="19" w:firstLine="0" w:firstLineChars="0"/>
                    <w:jc w:val="center"/>
                    <w:rPr>
                      <w:sz w:val="21"/>
                      <w:szCs w:val="21"/>
                    </w:rPr>
                  </w:pPr>
                </w:p>
              </w:tc>
              <w:tc>
                <w:tcPr>
                  <w:tcW w:w="382" w:type="dxa"/>
                  <w:vMerge w:val="continue"/>
                  <w:vAlign w:val="center"/>
                </w:tcPr>
                <w:p>
                  <w:pPr>
                    <w:spacing w:line="240" w:lineRule="auto"/>
                    <w:ind w:right="46" w:rightChars="19" w:firstLine="0" w:firstLineChars="0"/>
                    <w:jc w:val="center"/>
                    <w:rPr>
                      <w:sz w:val="21"/>
                      <w:szCs w:val="21"/>
                    </w:rPr>
                  </w:pPr>
                </w:p>
              </w:tc>
              <w:tc>
                <w:tcPr>
                  <w:tcW w:w="2723" w:type="dxa"/>
                  <w:vMerge w:val="continue"/>
                  <w:vAlign w:val="center"/>
                </w:tcPr>
                <w:p>
                  <w:pPr>
                    <w:spacing w:line="240" w:lineRule="auto"/>
                    <w:ind w:right="46" w:rightChars="19" w:firstLine="0" w:firstLineChars="0"/>
                    <w:jc w:val="left"/>
                    <w:rPr>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476" w:type="dxa"/>
                  <w:vMerge w:val="continue"/>
                  <w:vAlign w:val="center"/>
                </w:tcPr>
                <w:p>
                  <w:pPr>
                    <w:spacing w:line="240" w:lineRule="auto"/>
                    <w:ind w:right="46" w:rightChars="19" w:firstLine="0" w:firstLineChars="0"/>
                    <w:jc w:val="center"/>
                    <w:rPr>
                      <w:sz w:val="21"/>
                      <w:szCs w:val="21"/>
                    </w:rPr>
                  </w:pPr>
                </w:p>
              </w:tc>
              <w:tc>
                <w:tcPr>
                  <w:tcW w:w="650" w:type="dxa"/>
                  <w:vAlign w:val="center"/>
                </w:tcPr>
                <w:p>
                  <w:pPr>
                    <w:spacing w:line="240" w:lineRule="auto"/>
                    <w:ind w:right="46" w:rightChars="19" w:firstLine="0" w:firstLineChars="0"/>
                    <w:jc w:val="center"/>
                    <w:rPr>
                      <w:sz w:val="21"/>
                      <w:szCs w:val="21"/>
                    </w:rPr>
                  </w:pPr>
                  <w:r>
                    <w:rPr>
                      <w:rFonts w:hint="eastAsia"/>
                      <w:sz w:val="21"/>
                      <w:szCs w:val="21"/>
                    </w:rPr>
                    <w:t>甲烷</w:t>
                  </w:r>
                </w:p>
              </w:tc>
              <w:tc>
                <w:tcPr>
                  <w:tcW w:w="1680" w:type="dxa"/>
                  <w:gridSpan w:val="2"/>
                  <w:vAlign w:val="center"/>
                </w:tcPr>
                <w:p>
                  <w:pPr>
                    <w:spacing w:line="240" w:lineRule="auto"/>
                    <w:ind w:right="46" w:rightChars="19" w:firstLine="0" w:firstLineChars="0"/>
                    <w:jc w:val="center"/>
                    <w:rPr>
                      <w:sz w:val="21"/>
                      <w:szCs w:val="21"/>
                    </w:rPr>
                  </w:pPr>
                  <w:r>
                    <w:rPr>
                      <w:rFonts w:hint="eastAsia"/>
                    </w:rPr>
                    <w:t>＜1%</w:t>
                  </w:r>
                </w:p>
              </w:tc>
              <w:tc>
                <w:tcPr>
                  <w:tcW w:w="433" w:type="dxa"/>
                  <w:vMerge w:val="continue"/>
                  <w:vAlign w:val="center"/>
                </w:tcPr>
                <w:p>
                  <w:pPr>
                    <w:spacing w:line="240" w:lineRule="auto"/>
                    <w:ind w:right="46" w:rightChars="19" w:firstLine="0" w:firstLineChars="0"/>
                    <w:jc w:val="center"/>
                    <w:rPr>
                      <w:sz w:val="21"/>
                      <w:szCs w:val="21"/>
                    </w:rPr>
                  </w:pPr>
                </w:p>
              </w:tc>
              <w:tc>
                <w:tcPr>
                  <w:tcW w:w="599" w:type="dxa"/>
                  <w:vMerge w:val="continue"/>
                  <w:vAlign w:val="center"/>
                </w:tcPr>
                <w:p>
                  <w:pPr>
                    <w:spacing w:line="240" w:lineRule="auto"/>
                    <w:ind w:right="46" w:rightChars="19" w:firstLine="0" w:firstLineChars="0"/>
                    <w:jc w:val="center"/>
                    <w:rPr>
                      <w:sz w:val="21"/>
                      <w:szCs w:val="21"/>
                    </w:rPr>
                  </w:pPr>
                </w:p>
              </w:tc>
              <w:tc>
                <w:tcPr>
                  <w:tcW w:w="403" w:type="dxa"/>
                  <w:vAlign w:val="center"/>
                </w:tcPr>
                <w:p>
                  <w:pPr>
                    <w:spacing w:line="240" w:lineRule="auto"/>
                    <w:ind w:right="46" w:rightChars="19" w:firstLine="0" w:firstLineChars="0"/>
                    <w:jc w:val="center"/>
                    <w:rPr>
                      <w:sz w:val="21"/>
                      <w:szCs w:val="21"/>
                    </w:rPr>
                  </w:pPr>
                  <w:r>
                    <w:rPr>
                      <w:rFonts w:hint="eastAsia"/>
                      <w:sz w:val="21"/>
                      <w:szCs w:val="21"/>
                    </w:rPr>
                    <w:t>—</w:t>
                  </w:r>
                </w:p>
              </w:tc>
              <w:tc>
                <w:tcPr>
                  <w:tcW w:w="432" w:type="dxa"/>
                  <w:vAlign w:val="center"/>
                </w:tcPr>
                <w:p>
                  <w:pPr>
                    <w:spacing w:line="240" w:lineRule="auto"/>
                    <w:ind w:right="46" w:rightChars="19" w:firstLine="0" w:firstLineChars="0"/>
                    <w:jc w:val="center"/>
                    <w:rPr>
                      <w:sz w:val="21"/>
                      <w:szCs w:val="21"/>
                    </w:rPr>
                  </w:pPr>
                  <w:r>
                    <w:rPr>
                      <w:rFonts w:hint="eastAsia"/>
                      <w:sz w:val="21"/>
                      <w:szCs w:val="21"/>
                    </w:rPr>
                    <w:t>—</w:t>
                  </w:r>
                </w:p>
              </w:tc>
              <w:tc>
                <w:tcPr>
                  <w:tcW w:w="348" w:type="dxa"/>
                  <w:vAlign w:val="center"/>
                </w:tcPr>
                <w:p>
                  <w:pPr>
                    <w:spacing w:line="240" w:lineRule="auto"/>
                    <w:ind w:right="46" w:rightChars="19" w:firstLine="0" w:firstLineChars="0"/>
                    <w:jc w:val="center"/>
                    <w:rPr>
                      <w:sz w:val="21"/>
                      <w:szCs w:val="21"/>
                    </w:rPr>
                  </w:pPr>
                  <w:r>
                    <w:rPr>
                      <w:rFonts w:hint="eastAsia"/>
                      <w:sz w:val="21"/>
                      <w:szCs w:val="21"/>
                    </w:rPr>
                    <w:t>—</w:t>
                  </w:r>
                </w:p>
              </w:tc>
              <w:tc>
                <w:tcPr>
                  <w:tcW w:w="1705" w:type="dxa"/>
                  <w:gridSpan w:val="3"/>
                  <w:vAlign w:val="center"/>
                </w:tcPr>
                <w:p>
                  <w:pPr>
                    <w:spacing w:line="240" w:lineRule="auto"/>
                    <w:ind w:right="46" w:rightChars="19" w:firstLine="0" w:firstLineChars="0"/>
                    <w:jc w:val="center"/>
                    <w:rPr>
                      <w:sz w:val="21"/>
                      <w:szCs w:val="21"/>
                    </w:rPr>
                  </w:pPr>
                  <w:r>
                    <w:rPr>
                      <w:rFonts w:hint="eastAsia"/>
                    </w:rPr>
                    <w:t>＜1%</w:t>
                  </w:r>
                </w:p>
              </w:tc>
              <w:tc>
                <w:tcPr>
                  <w:tcW w:w="1046" w:type="dxa"/>
                  <w:vMerge w:val="continue"/>
                  <w:vAlign w:val="center"/>
                </w:tcPr>
                <w:p>
                  <w:pPr>
                    <w:spacing w:line="240" w:lineRule="auto"/>
                    <w:ind w:right="46" w:rightChars="19" w:firstLine="0" w:firstLineChars="0"/>
                    <w:jc w:val="center"/>
                    <w:rPr>
                      <w:sz w:val="21"/>
                      <w:szCs w:val="21"/>
                    </w:rPr>
                  </w:pPr>
                </w:p>
              </w:tc>
              <w:tc>
                <w:tcPr>
                  <w:tcW w:w="1054" w:type="dxa"/>
                  <w:vMerge w:val="continue"/>
                  <w:vAlign w:val="center"/>
                </w:tcPr>
                <w:p>
                  <w:pPr>
                    <w:spacing w:line="240" w:lineRule="auto"/>
                    <w:ind w:right="46" w:rightChars="19" w:firstLine="0" w:firstLineChars="0"/>
                    <w:jc w:val="center"/>
                    <w:rPr>
                      <w:sz w:val="21"/>
                      <w:szCs w:val="21"/>
                    </w:rPr>
                  </w:pPr>
                </w:p>
              </w:tc>
              <w:tc>
                <w:tcPr>
                  <w:tcW w:w="569" w:type="dxa"/>
                  <w:vMerge w:val="continue"/>
                  <w:vAlign w:val="center"/>
                </w:tcPr>
                <w:p>
                  <w:pPr>
                    <w:spacing w:line="240" w:lineRule="auto"/>
                    <w:ind w:right="46" w:rightChars="19" w:firstLine="0" w:firstLineChars="0"/>
                    <w:jc w:val="center"/>
                    <w:rPr>
                      <w:b/>
                      <w:sz w:val="21"/>
                      <w:szCs w:val="21"/>
                    </w:rPr>
                  </w:pPr>
                </w:p>
              </w:tc>
              <w:tc>
                <w:tcPr>
                  <w:tcW w:w="537" w:type="dxa"/>
                  <w:vMerge w:val="continue"/>
                  <w:vAlign w:val="center"/>
                </w:tcPr>
                <w:p>
                  <w:pPr>
                    <w:spacing w:line="240" w:lineRule="auto"/>
                    <w:ind w:right="46" w:rightChars="19" w:firstLine="0" w:firstLineChars="0"/>
                    <w:jc w:val="center"/>
                    <w:rPr>
                      <w:sz w:val="21"/>
                      <w:szCs w:val="21"/>
                    </w:rPr>
                  </w:pPr>
                </w:p>
              </w:tc>
              <w:tc>
                <w:tcPr>
                  <w:tcW w:w="463" w:type="dxa"/>
                  <w:vMerge w:val="continue"/>
                  <w:vAlign w:val="center"/>
                </w:tcPr>
                <w:p>
                  <w:pPr>
                    <w:spacing w:line="240" w:lineRule="auto"/>
                    <w:ind w:right="46" w:rightChars="19" w:firstLine="0" w:firstLineChars="0"/>
                    <w:jc w:val="center"/>
                    <w:rPr>
                      <w:sz w:val="21"/>
                      <w:szCs w:val="21"/>
                    </w:rPr>
                  </w:pPr>
                </w:p>
              </w:tc>
              <w:tc>
                <w:tcPr>
                  <w:tcW w:w="371" w:type="dxa"/>
                  <w:vMerge w:val="continue"/>
                  <w:vAlign w:val="center"/>
                </w:tcPr>
                <w:p>
                  <w:pPr>
                    <w:spacing w:line="240" w:lineRule="auto"/>
                    <w:ind w:right="46" w:rightChars="19" w:firstLine="0" w:firstLineChars="0"/>
                    <w:jc w:val="center"/>
                    <w:rPr>
                      <w:sz w:val="21"/>
                      <w:szCs w:val="21"/>
                    </w:rPr>
                  </w:pPr>
                </w:p>
              </w:tc>
              <w:tc>
                <w:tcPr>
                  <w:tcW w:w="382" w:type="dxa"/>
                  <w:vMerge w:val="continue"/>
                  <w:vAlign w:val="center"/>
                </w:tcPr>
                <w:p>
                  <w:pPr>
                    <w:spacing w:line="240" w:lineRule="auto"/>
                    <w:ind w:right="46" w:rightChars="19" w:firstLine="0" w:firstLineChars="0"/>
                    <w:jc w:val="center"/>
                    <w:rPr>
                      <w:sz w:val="21"/>
                      <w:szCs w:val="21"/>
                    </w:rPr>
                  </w:pPr>
                </w:p>
              </w:tc>
              <w:tc>
                <w:tcPr>
                  <w:tcW w:w="2723" w:type="dxa"/>
                  <w:vMerge w:val="continue"/>
                  <w:vAlign w:val="center"/>
                </w:tcPr>
                <w:p>
                  <w:pPr>
                    <w:spacing w:line="240" w:lineRule="auto"/>
                    <w:ind w:right="46" w:rightChars="19" w:firstLine="0" w:firstLineChars="0"/>
                    <w:jc w:val="left"/>
                    <w:rPr>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476" w:type="dxa"/>
                  <w:vMerge w:val="continue"/>
                  <w:vAlign w:val="center"/>
                </w:tcPr>
                <w:p>
                  <w:pPr>
                    <w:spacing w:line="240" w:lineRule="auto"/>
                    <w:ind w:right="46" w:rightChars="19" w:firstLine="0" w:firstLineChars="0"/>
                    <w:jc w:val="center"/>
                    <w:rPr>
                      <w:sz w:val="21"/>
                      <w:szCs w:val="21"/>
                    </w:rPr>
                  </w:pPr>
                </w:p>
              </w:tc>
              <w:tc>
                <w:tcPr>
                  <w:tcW w:w="650" w:type="dxa"/>
                  <w:vAlign w:val="center"/>
                </w:tcPr>
                <w:p>
                  <w:pPr>
                    <w:spacing w:line="240" w:lineRule="auto"/>
                    <w:ind w:right="46" w:rightChars="19" w:firstLine="0" w:firstLineChars="0"/>
                    <w:jc w:val="center"/>
                    <w:rPr>
                      <w:sz w:val="21"/>
                      <w:szCs w:val="21"/>
                      <w:lang w:val="zh-CN"/>
                    </w:rPr>
                  </w:pPr>
                  <w:r>
                    <w:rPr>
                      <w:rFonts w:hint="eastAsia"/>
                      <w:sz w:val="21"/>
                      <w:szCs w:val="21"/>
                      <w:lang w:val="zh-CN"/>
                    </w:rPr>
                    <w:t>臭气浓度</w:t>
                  </w:r>
                </w:p>
              </w:tc>
              <w:tc>
                <w:tcPr>
                  <w:tcW w:w="1680" w:type="dxa"/>
                  <w:gridSpan w:val="2"/>
                  <w:vAlign w:val="center"/>
                </w:tcPr>
                <w:p>
                  <w:pPr>
                    <w:spacing w:line="240" w:lineRule="auto"/>
                    <w:ind w:right="46" w:rightChars="19" w:firstLine="0" w:firstLineChars="0"/>
                    <w:jc w:val="center"/>
                    <w:rPr>
                      <w:sz w:val="21"/>
                      <w:szCs w:val="21"/>
                    </w:rPr>
                  </w:pPr>
                  <w:r>
                    <w:rPr>
                      <w:rFonts w:hint="eastAsia"/>
                      <w:sz w:val="21"/>
                      <w:szCs w:val="21"/>
                    </w:rPr>
                    <w:t>10</w:t>
                  </w:r>
                  <w:r>
                    <w:rPr>
                      <w:rFonts w:hint="eastAsia"/>
                      <w:sz w:val="21"/>
                      <w:szCs w:val="21"/>
                      <w:lang w:val="zh-CN"/>
                    </w:rPr>
                    <w:t>（无量纲）</w:t>
                  </w:r>
                </w:p>
              </w:tc>
              <w:tc>
                <w:tcPr>
                  <w:tcW w:w="433" w:type="dxa"/>
                  <w:vMerge w:val="continue"/>
                  <w:vAlign w:val="center"/>
                </w:tcPr>
                <w:p>
                  <w:pPr>
                    <w:spacing w:line="240" w:lineRule="auto"/>
                    <w:ind w:right="46" w:rightChars="19" w:firstLine="0" w:firstLineChars="0"/>
                    <w:jc w:val="center"/>
                    <w:rPr>
                      <w:sz w:val="21"/>
                      <w:szCs w:val="21"/>
                    </w:rPr>
                  </w:pPr>
                </w:p>
              </w:tc>
              <w:tc>
                <w:tcPr>
                  <w:tcW w:w="599" w:type="dxa"/>
                  <w:vMerge w:val="continue"/>
                  <w:vAlign w:val="center"/>
                </w:tcPr>
                <w:p>
                  <w:pPr>
                    <w:spacing w:line="240" w:lineRule="auto"/>
                    <w:ind w:right="46" w:rightChars="19" w:firstLine="0" w:firstLineChars="0"/>
                    <w:jc w:val="center"/>
                    <w:rPr>
                      <w:sz w:val="21"/>
                      <w:szCs w:val="21"/>
                    </w:rPr>
                  </w:pPr>
                </w:p>
              </w:tc>
              <w:tc>
                <w:tcPr>
                  <w:tcW w:w="403" w:type="dxa"/>
                  <w:vAlign w:val="center"/>
                </w:tcPr>
                <w:p>
                  <w:pPr>
                    <w:spacing w:line="240" w:lineRule="auto"/>
                    <w:ind w:right="46" w:rightChars="19" w:firstLine="0" w:firstLineChars="0"/>
                    <w:jc w:val="center"/>
                    <w:rPr>
                      <w:sz w:val="21"/>
                      <w:szCs w:val="21"/>
                    </w:rPr>
                  </w:pPr>
                  <w:r>
                    <w:rPr>
                      <w:rFonts w:hint="eastAsia"/>
                      <w:sz w:val="21"/>
                      <w:szCs w:val="21"/>
                    </w:rPr>
                    <w:t>—</w:t>
                  </w:r>
                </w:p>
              </w:tc>
              <w:tc>
                <w:tcPr>
                  <w:tcW w:w="432" w:type="dxa"/>
                  <w:vAlign w:val="center"/>
                </w:tcPr>
                <w:p>
                  <w:pPr>
                    <w:spacing w:line="240" w:lineRule="auto"/>
                    <w:ind w:right="46" w:rightChars="19" w:firstLine="0" w:firstLineChars="0"/>
                    <w:jc w:val="center"/>
                    <w:rPr>
                      <w:sz w:val="21"/>
                      <w:szCs w:val="21"/>
                    </w:rPr>
                  </w:pPr>
                  <w:r>
                    <w:rPr>
                      <w:rFonts w:hint="eastAsia"/>
                      <w:sz w:val="21"/>
                      <w:szCs w:val="21"/>
                    </w:rPr>
                    <w:t>—</w:t>
                  </w:r>
                </w:p>
              </w:tc>
              <w:tc>
                <w:tcPr>
                  <w:tcW w:w="348" w:type="dxa"/>
                  <w:vAlign w:val="center"/>
                </w:tcPr>
                <w:p>
                  <w:pPr>
                    <w:spacing w:line="240" w:lineRule="auto"/>
                    <w:ind w:right="46" w:rightChars="19" w:firstLine="0" w:firstLineChars="0"/>
                    <w:jc w:val="center"/>
                    <w:rPr>
                      <w:sz w:val="21"/>
                      <w:szCs w:val="21"/>
                    </w:rPr>
                  </w:pPr>
                  <w:r>
                    <w:rPr>
                      <w:rFonts w:hint="eastAsia"/>
                      <w:sz w:val="21"/>
                      <w:szCs w:val="21"/>
                    </w:rPr>
                    <w:t>—</w:t>
                  </w:r>
                </w:p>
              </w:tc>
              <w:tc>
                <w:tcPr>
                  <w:tcW w:w="1705" w:type="dxa"/>
                  <w:gridSpan w:val="3"/>
                  <w:vAlign w:val="center"/>
                </w:tcPr>
                <w:p>
                  <w:pPr>
                    <w:spacing w:line="240" w:lineRule="auto"/>
                    <w:ind w:right="46" w:rightChars="19" w:firstLine="0" w:firstLineChars="0"/>
                    <w:jc w:val="center"/>
                    <w:rPr>
                      <w:sz w:val="21"/>
                      <w:szCs w:val="21"/>
                    </w:rPr>
                  </w:pPr>
                  <w:r>
                    <w:rPr>
                      <w:rFonts w:hint="eastAsia"/>
                      <w:sz w:val="21"/>
                      <w:szCs w:val="21"/>
                    </w:rPr>
                    <w:t>10</w:t>
                  </w:r>
                  <w:r>
                    <w:rPr>
                      <w:rFonts w:hint="eastAsia"/>
                      <w:sz w:val="21"/>
                      <w:szCs w:val="21"/>
                      <w:lang w:val="zh-CN"/>
                    </w:rPr>
                    <w:t>（无量纲）</w:t>
                  </w:r>
                </w:p>
              </w:tc>
              <w:tc>
                <w:tcPr>
                  <w:tcW w:w="1046" w:type="dxa"/>
                  <w:vMerge w:val="continue"/>
                  <w:vAlign w:val="center"/>
                </w:tcPr>
                <w:p>
                  <w:pPr>
                    <w:spacing w:line="240" w:lineRule="auto"/>
                    <w:ind w:right="46" w:rightChars="19" w:firstLine="0" w:firstLineChars="0"/>
                    <w:jc w:val="center"/>
                    <w:rPr>
                      <w:sz w:val="21"/>
                      <w:szCs w:val="21"/>
                    </w:rPr>
                  </w:pPr>
                </w:p>
              </w:tc>
              <w:tc>
                <w:tcPr>
                  <w:tcW w:w="1054" w:type="dxa"/>
                  <w:vMerge w:val="continue"/>
                  <w:vAlign w:val="center"/>
                </w:tcPr>
                <w:p>
                  <w:pPr>
                    <w:spacing w:line="240" w:lineRule="auto"/>
                    <w:ind w:right="46" w:rightChars="19" w:firstLine="0" w:firstLineChars="0"/>
                    <w:jc w:val="center"/>
                    <w:rPr>
                      <w:sz w:val="21"/>
                      <w:szCs w:val="21"/>
                    </w:rPr>
                  </w:pPr>
                </w:p>
              </w:tc>
              <w:tc>
                <w:tcPr>
                  <w:tcW w:w="569" w:type="dxa"/>
                  <w:vMerge w:val="continue"/>
                  <w:vAlign w:val="center"/>
                </w:tcPr>
                <w:p>
                  <w:pPr>
                    <w:spacing w:line="240" w:lineRule="auto"/>
                    <w:ind w:right="46" w:rightChars="19" w:firstLine="0" w:firstLineChars="0"/>
                    <w:jc w:val="center"/>
                    <w:rPr>
                      <w:b/>
                      <w:sz w:val="21"/>
                      <w:szCs w:val="21"/>
                    </w:rPr>
                  </w:pPr>
                </w:p>
              </w:tc>
              <w:tc>
                <w:tcPr>
                  <w:tcW w:w="537" w:type="dxa"/>
                  <w:vMerge w:val="continue"/>
                  <w:vAlign w:val="center"/>
                </w:tcPr>
                <w:p>
                  <w:pPr>
                    <w:spacing w:line="240" w:lineRule="auto"/>
                    <w:ind w:right="46" w:rightChars="19" w:firstLine="0" w:firstLineChars="0"/>
                    <w:jc w:val="center"/>
                    <w:rPr>
                      <w:sz w:val="21"/>
                      <w:szCs w:val="21"/>
                    </w:rPr>
                  </w:pPr>
                </w:p>
              </w:tc>
              <w:tc>
                <w:tcPr>
                  <w:tcW w:w="463" w:type="dxa"/>
                  <w:vMerge w:val="continue"/>
                  <w:vAlign w:val="center"/>
                </w:tcPr>
                <w:p>
                  <w:pPr>
                    <w:spacing w:line="240" w:lineRule="auto"/>
                    <w:ind w:right="46" w:rightChars="19" w:firstLine="0" w:firstLineChars="0"/>
                    <w:jc w:val="center"/>
                    <w:rPr>
                      <w:sz w:val="21"/>
                      <w:szCs w:val="21"/>
                    </w:rPr>
                  </w:pPr>
                </w:p>
              </w:tc>
              <w:tc>
                <w:tcPr>
                  <w:tcW w:w="371" w:type="dxa"/>
                  <w:vMerge w:val="continue"/>
                  <w:vAlign w:val="center"/>
                </w:tcPr>
                <w:p>
                  <w:pPr>
                    <w:spacing w:line="240" w:lineRule="auto"/>
                    <w:ind w:right="46" w:rightChars="19" w:firstLine="0" w:firstLineChars="0"/>
                    <w:jc w:val="center"/>
                    <w:rPr>
                      <w:sz w:val="21"/>
                      <w:szCs w:val="21"/>
                    </w:rPr>
                  </w:pPr>
                </w:p>
              </w:tc>
              <w:tc>
                <w:tcPr>
                  <w:tcW w:w="382" w:type="dxa"/>
                  <w:vMerge w:val="continue"/>
                  <w:vAlign w:val="center"/>
                </w:tcPr>
                <w:p>
                  <w:pPr>
                    <w:spacing w:line="240" w:lineRule="auto"/>
                    <w:ind w:right="46" w:rightChars="19" w:firstLine="0" w:firstLineChars="0"/>
                    <w:jc w:val="center"/>
                    <w:rPr>
                      <w:sz w:val="21"/>
                      <w:szCs w:val="21"/>
                    </w:rPr>
                  </w:pPr>
                </w:p>
              </w:tc>
              <w:tc>
                <w:tcPr>
                  <w:tcW w:w="2723" w:type="dxa"/>
                  <w:vMerge w:val="continue"/>
                  <w:vAlign w:val="center"/>
                </w:tcPr>
                <w:p>
                  <w:pPr>
                    <w:spacing w:line="240" w:lineRule="auto"/>
                    <w:ind w:right="46" w:rightChars="19" w:firstLine="0" w:firstLineChars="0"/>
                    <w:jc w:val="left"/>
                    <w:rPr>
                      <w:sz w:val="21"/>
                      <w:szCs w:val="21"/>
                    </w:rPr>
                  </w:pPr>
                </w:p>
              </w:tc>
            </w:tr>
          </w:tbl>
          <w:p>
            <w:pPr>
              <w:spacing w:line="240" w:lineRule="auto"/>
              <w:ind w:right="46" w:rightChars="19" w:firstLine="0" w:firstLineChars="0"/>
            </w:pPr>
          </w:p>
          <w:p>
            <w:pPr>
              <w:spacing w:line="240" w:lineRule="auto"/>
              <w:ind w:right="46" w:rightChars="19" w:firstLine="0" w:firstLineChars="0"/>
            </w:pPr>
          </w:p>
          <w:p>
            <w:pPr>
              <w:spacing w:line="240" w:lineRule="auto"/>
              <w:ind w:right="46" w:rightChars="19" w:firstLine="0" w:firstLineChars="0"/>
            </w:pPr>
          </w:p>
          <w:p>
            <w:pPr>
              <w:spacing w:line="240" w:lineRule="auto"/>
              <w:ind w:right="46" w:rightChars="19" w:firstLine="0" w:firstLineChars="0"/>
            </w:pPr>
          </w:p>
          <w:p>
            <w:pPr>
              <w:spacing w:line="240" w:lineRule="auto"/>
              <w:ind w:right="46" w:rightChars="19" w:firstLine="0" w:firstLineChars="0"/>
            </w:pPr>
          </w:p>
          <w:p>
            <w:pPr>
              <w:ind w:right="46" w:rightChars="19" w:firstLine="480"/>
            </w:pPr>
          </w:p>
        </w:tc>
      </w:tr>
    </w:tbl>
    <w:p>
      <w:pPr>
        <w:spacing w:line="240" w:lineRule="auto"/>
        <w:ind w:left="-360" w:leftChars="-150" w:right="-360" w:rightChars="-150" w:firstLine="0" w:firstLineChars="0"/>
      </w:pPr>
    </w:p>
    <w:p>
      <w:pPr>
        <w:ind w:firstLine="480"/>
        <w:sectPr>
          <w:pgSz w:w="16838" w:h="11906" w:orient="landscape"/>
          <w:pgMar w:top="1800" w:right="1440" w:bottom="1800" w:left="1440" w:header="851" w:footer="992" w:gutter="0"/>
          <w:cols w:space="425" w:num="1"/>
          <w:docGrid w:type="lines" w:linePitch="326" w:charSpace="0"/>
        </w:sectPr>
      </w:pPr>
    </w:p>
    <w:tbl>
      <w:tblPr>
        <w:tblStyle w:val="17"/>
        <w:tblW w:w="570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589"/>
        <w:gridCol w:w="89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2748" w:hRule="atLeast"/>
          <w:jc w:val="center"/>
        </w:trPr>
        <w:tc>
          <w:tcPr>
            <w:tcW w:w="310" w:type="pct"/>
            <w:vAlign w:val="center"/>
          </w:tcPr>
          <w:p>
            <w:pPr>
              <w:spacing w:line="400" w:lineRule="exact"/>
              <w:ind w:right="46" w:rightChars="19" w:firstLine="0" w:firstLineChars="0"/>
              <w:jc w:val="center"/>
            </w:pPr>
            <w:r>
              <w:rPr>
                <w:rFonts w:hint="eastAsia"/>
              </w:rPr>
              <w:t>运营期环境影响和保护措施</w:t>
            </w:r>
          </w:p>
        </w:tc>
        <w:tc>
          <w:tcPr>
            <w:tcW w:w="4690" w:type="pct"/>
            <w:vAlign w:val="center"/>
          </w:tcPr>
          <w:p>
            <w:pPr>
              <w:ind w:left="120" w:leftChars="50" w:right="120" w:rightChars="50" w:firstLine="480"/>
              <w:jc w:val="left"/>
            </w:pPr>
            <w:r>
              <w:rPr>
                <w:rFonts w:hint="eastAsia"/>
              </w:rPr>
              <w:t>（2）废气收集排放措施</w:t>
            </w:r>
          </w:p>
          <w:p>
            <w:pPr>
              <w:ind w:left="120" w:leftChars="50" w:right="120" w:rightChars="50" w:firstLine="480"/>
              <w:jc w:val="left"/>
            </w:pPr>
            <w:r>
              <w:rPr>
                <w:rFonts w:hint="eastAsia"/>
              </w:rPr>
              <w:t>本项目产生废气的单元有污水处理设备和煎药室，煎药室建筑面积36.45m</w:t>
            </w:r>
            <w:r>
              <w:rPr>
                <w:rFonts w:hint="eastAsia"/>
                <w:vertAlign w:val="superscript"/>
              </w:rPr>
              <w:t>2</w:t>
            </w:r>
            <w:r>
              <w:rPr>
                <w:rFonts w:hint="eastAsia"/>
              </w:rPr>
              <w:t>，房间高4.85m；煎药室内集气罩面积4m</w:t>
            </w:r>
            <w:r>
              <w:rPr>
                <w:rFonts w:hint="eastAsia"/>
                <w:vertAlign w:val="superscript"/>
              </w:rPr>
              <w:t>2</w:t>
            </w:r>
            <w:r>
              <w:rPr>
                <w:rFonts w:hint="eastAsia"/>
              </w:rPr>
              <w:t>；污水调节池容积1.5m</w:t>
            </w:r>
            <w:r>
              <w:rPr>
                <w:rFonts w:hint="eastAsia"/>
                <w:vertAlign w:val="superscript"/>
              </w:rPr>
              <w:t>3</w:t>
            </w:r>
            <w:r>
              <w:rPr>
                <w:rFonts w:hint="eastAsia"/>
              </w:rPr>
              <w:t>，一体化污水处理设备容积12m</w:t>
            </w:r>
            <w:r>
              <w:rPr>
                <w:rFonts w:hint="eastAsia"/>
                <w:vertAlign w:val="superscript"/>
              </w:rPr>
              <w:t>3</w:t>
            </w:r>
            <w:r>
              <w:rPr>
                <w:rFonts w:hint="eastAsia"/>
              </w:rPr>
              <w:t>；单位面积集气口气量不低于0.6m/s，房间和污水处理池体最小换气量按11次/h计。</w:t>
            </w:r>
          </w:p>
          <w:p>
            <w:pPr>
              <w:pStyle w:val="14"/>
            </w:pPr>
            <w:r>
              <w:rPr>
                <w:rFonts w:hint="eastAsia"/>
              </w:rPr>
              <w:t>表23  各产气单元集气设备布设情况</w:t>
            </w:r>
          </w:p>
          <w:tbl>
            <w:tblPr>
              <w:tblStyle w:val="1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1228"/>
              <w:gridCol w:w="1134"/>
              <w:gridCol w:w="1559"/>
              <w:gridCol w:w="851"/>
              <w:gridCol w:w="992"/>
              <w:gridCol w:w="896"/>
              <w:gridCol w:w="947"/>
              <w:gridCol w:w="11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228" w:type="dxa"/>
                  <w:vAlign w:val="center"/>
                </w:tcPr>
                <w:p>
                  <w:pPr>
                    <w:spacing w:line="240" w:lineRule="auto"/>
                    <w:ind w:firstLine="0" w:firstLineChars="0"/>
                    <w:jc w:val="center"/>
                    <w:rPr>
                      <w:sz w:val="21"/>
                      <w:szCs w:val="21"/>
                      <w:lang w:val="zh-CN"/>
                    </w:rPr>
                  </w:pPr>
                  <w:r>
                    <w:rPr>
                      <w:rFonts w:hint="eastAsia"/>
                      <w:sz w:val="21"/>
                      <w:szCs w:val="21"/>
                      <w:lang w:val="zh-CN"/>
                    </w:rPr>
                    <w:t>单元</w:t>
                  </w:r>
                </w:p>
              </w:tc>
              <w:tc>
                <w:tcPr>
                  <w:tcW w:w="1134" w:type="dxa"/>
                  <w:vAlign w:val="center"/>
                </w:tcPr>
                <w:p>
                  <w:pPr>
                    <w:spacing w:line="240" w:lineRule="auto"/>
                    <w:ind w:firstLine="0" w:firstLineChars="0"/>
                    <w:jc w:val="center"/>
                    <w:rPr>
                      <w:sz w:val="21"/>
                      <w:szCs w:val="21"/>
                      <w:lang w:val="zh-CN"/>
                    </w:rPr>
                  </w:pPr>
                  <w:r>
                    <w:rPr>
                      <w:rFonts w:hint="eastAsia"/>
                      <w:sz w:val="21"/>
                      <w:szCs w:val="21"/>
                      <w:lang w:val="zh-CN"/>
                    </w:rPr>
                    <w:t>集气设备</w:t>
                  </w:r>
                </w:p>
              </w:tc>
              <w:tc>
                <w:tcPr>
                  <w:tcW w:w="1559" w:type="dxa"/>
                  <w:vAlign w:val="center"/>
                </w:tcPr>
                <w:p>
                  <w:pPr>
                    <w:spacing w:line="240" w:lineRule="auto"/>
                    <w:ind w:firstLine="0" w:firstLineChars="0"/>
                    <w:jc w:val="center"/>
                    <w:rPr>
                      <w:sz w:val="21"/>
                      <w:szCs w:val="21"/>
                      <w:lang w:val="zh-CN"/>
                    </w:rPr>
                  </w:pPr>
                  <w:r>
                    <w:rPr>
                      <w:rFonts w:hint="eastAsia"/>
                      <w:sz w:val="21"/>
                      <w:szCs w:val="21"/>
                      <w:lang w:val="zh-CN"/>
                    </w:rPr>
                    <w:t>单个集气设备/房间面积（m</w:t>
                  </w:r>
                  <w:r>
                    <w:rPr>
                      <w:rFonts w:hint="eastAsia"/>
                      <w:sz w:val="21"/>
                      <w:szCs w:val="21"/>
                      <w:vertAlign w:val="superscript"/>
                      <w:lang w:val="zh-CN"/>
                    </w:rPr>
                    <w:t>2</w:t>
                  </w:r>
                  <w:r>
                    <w:rPr>
                      <w:rFonts w:hint="eastAsia"/>
                      <w:sz w:val="21"/>
                      <w:szCs w:val="21"/>
                      <w:lang w:val="zh-CN"/>
                    </w:rPr>
                    <w:t>）</w:t>
                  </w:r>
                </w:p>
              </w:tc>
              <w:tc>
                <w:tcPr>
                  <w:tcW w:w="851" w:type="dxa"/>
                  <w:vAlign w:val="center"/>
                </w:tcPr>
                <w:p>
                  <w:pPr>
                    <w:spacing w:line="240" w:lineRule="auto"/>
                    <w:ind w:firstLine="0" w:firstLineChars="0"/>
                    <w:jc w:val="center"/>
                    <w:rPr>
                      <w:sz w:val="21"/>
                      <w:szCs w:val="21"/>
                      <w:lang w:val="zh-CN"/>
                    </w:rPr>
                  </w:pPr>
                  <w:r>
                    <w:rPr>
                      <w:rFonts w:hint="eastAsia"/>
                      <w:sz w:val="21"/>
                      <w:szCs w:val="21"/>
                      <w:lang w:val="zh-CN"/>
                    </w:rPr>
                    <w:t>集气设施数量</w:t>
                  </w:r>
                </w:p>
              </w:tc>
              <w:tc>
                <w:tcPr>
                  <w:tcW w:w="992" w:type="dxa"/>
                  <w:vAlign w:val="center"/>
                </w:tcPr>
                <w:p>
                  <w:pPr>
                    <w:spacing w:line="240" w:lineRule="auto"/>
                    <w:ind w:firstLine="0" w:firstLineChars="0"/>
                    <w:jc w:val="center"/>
                    <w:rPr>
                      <w:sz w:val="21"/>
                      <w:szCs w:val="21"/>
                      <w:lang w:val="zh-CN"/>
                    </w:rPr>
                  </w:pPr>
                  <w:r>
                    <w:rPr>
                      <w:rFonts w:hint="eastAsia"/>
                      <w:sz w:val="21"/>
                      <w:szCs w:val="21"/>
                      <w:lang w:val="zh-CN"/>
                    </w:rPr>
                    <w:t>集气面积（m</w:t>
                  </w:r>
                  <w:r>
                    <w:rPr>
                      <w:rFonts w:hint="eastAsia"/>
                      <w:sz w:val="21"/>
                      <w:szCs w:val="21"/>
                      <w:vertAlign w:val="superscript"/>
                      <w:lang w:val="zh-CN"/>
                    </w:rPr>
                    <w:t>2</w:t>
                  </w:r>
                  <w:r>
                    <w:rPr>
                      <w:rFonts w:hint="eastAsia"/>
                      <w:sz w:val="21"/>
                      <w:szCs w:val="21"/>
                      <w:lang w:val="zh-CN"/>
                    </w:rPr>
                    <w:t>）</w:t>
                  </w:r>
                </w:p>
              </w:tc>
              <w:tc>
                <w:tcPr>
                  <w:tcW w:w="896" w:type="dxa"/>
                  <w:vAlign w:val="center"/>
                </w:tcPr>
                <w:p>
                  <w:pPr>
                    <w:spacing w:line="240" w:lineRule="auto"/>
                    <w:ind w:firstLine="0" w:firstLineChars="0"/>
                    <w:jc w:val="center"/>
                    <w:rPr>
                      <w:sz w:val="21"/>
                      <w:szCs w:val="21"/>
                      <w:lang w:val="zh-CN"/>
                    </w:rPr>
                  </w:pPr>
                  <w:r>
                    <w:rPr>
                      <w:rFonts w:hint="eastAsia"/>
                      <w:sz w:val="21"/>
                      <w:szCs w:val="21"/>
                      <w:lang w:val="zh-CN"/>
                    </w:rPr>
                    <w:t>体积</w:t>
                  </w:r>
                </w:p>
                <w:p>
                  <w:pPr>
                    <w:spacing w:line="240" w:lineRule="auto"/>
                    <w:ind w:firstLine="0" w:firstLineChars="0"/>
                    <w:jc w:val="center"/>
                    <w:rPr>
                      <w:sz w:val="21"/>
                      <w:szCs w:val="21"/>
                      <w:lang w:val="zh-CN"/>
                    </w:rPr>
                  </w:pPr>
                  <w:r>
                    <w:rPr>
                      <w:rFonts w:hint="eastAsia"/>
                      <w:sz w:val="21"/>
                      <w:szCs w:val="21"/>
                      <w:lang w:val="zh-CN"/>
                    </w:rPr>
                    <w:t>（m</w:t>
                  </w:r>
                  <w:r>
                    <w:rPr>
                      <w:rFonts w:hint="eastAsia"/>
                      <w:sz w:val="21"/>
                      <w:szCs w:val="21"/>
                      <w:vertAlign w:val="superscript"/>
                      <w:lang w:val="zh-CN"/>
                    </w:rPr>
                    <w:t>3</w:t>
                  </w:r>
                  <w:r>
                    <w:rPr>
                      <w:rFonts w:hint="eastAsia"/>
                      <w:sz w:val="21"/>
                      <w:szCs w:val="21"/>
                      <w:lang w:val="zh-CN"/>
                    </w:rPr>
                    <w:t>）</w:t>
                  </w:r>
                </w:p>
              </w:tc>
              <w:tc>
                <w:tcPr>
                  <w:tcW w:w="947" w:type="dxa"/>
                  <w:vAlign w:val="center"/>
                </w:tcPr>
                <w:p>
                  <w:pPr>
                    <w:spacing w:line="240" w:lineRule="auto"/>
                    <w:ind w:firstLine="0" w:firstLineChars="0"/>
                    <w:jc w:val="center"/>
                    <w:rPr>
                      <w:sz w:val="21"/>
                      <w:szCs w:val="21"/>
                      <w:lang w:val="zh-CN"/>
                    </w:rPr>
                  </w:pPr>
                  <w:r>
                    <w:rPr>
                      <w:rFonts w:hint="eastAsia"/>
                      <w:sz w:val="21"/>
                      <w:szCs w:val="21"/>
                      <w:lang w:val="zh-CN"/>
                    </w:rPr>
                    <w:t>换气次数/h</w:t>
                  </w:r>
                </w:p>
              </w:tc>
              <w:tc>
                <w:tcPr>
                  <w:tcW w:w="1182" w:type="dxa"/>
                  <w:vAlign w:val="center"/>
                </w:tcPr>
                <w:p>
                  <w:pPr>
                    <w:spacing w:line="240" w:lineRule="auto"/>
                    <w:ind w:firstLine="0" w:firstLineChars="0"/>
                    <w:jc w:val="center"/>
                    <w:rPr>
                      <w:sz w:val="21"/>
                      <w:szCs w:val="21"/>
                      <w:lang w:val="zh-CN"/>
                    </w:rPr>
                  </w:pPr>
                  <w:r>
                    <w:rPr>
                      <w:rFonts w:hint="eastAsia"/>
                      <w:sz w:val="21"/>
                      <w:szCs w:val="21"/>
                      <w:lang w:val="zh-CN"/>
                    </w:rPr>
                    <w:t>出风风量（m</w:t>
                  </w:r>
                  <w:r>
                    <w:rPr>
                      <w:rFonts w:hint="eastAsia"/>
                      <w:sz w:val="21"/>
                      <w:szCs w:val="21"/>
                      <w:vertAlign w:val="superscript"/>
                      <w:lang w:val="zh-CN"/>
                    </w:rPr>
                    <w:t>3</w:t>
                  </w:r>
                  <w:r>
                    <w:rPr>
                      <w:rFonts w:hint="eastAsia"/>
                      <w:sz w:val="21"/>
                      <w:szCs w:val="21"/>
                      <w:lang w:val="zh-CN"/>
                    </w:rPr>
                    <w:t>/h）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228" w:type="dxa"/>
                  <w:vMerge w:val="restart"/>
                  <w:vAlign w:val="center"/>
                </w:tcPr>
                <w:p>
                  <w:pPr>
                    <w:spacing w:line="240" w:lineRule="auto"/>
                    <w:ind w:firstLine="0" w:firstLineChars="0"/>
                    <w:jc w:val="center"/>
                    <w:rPr>
                      <w:sz w:val="21"/>
                      <w:szCs w:val="21"/>
                      <w:lang w:val="zh-CN"/>
                    </w:rPr>
                  </w:pPr>
                  <w:r>
                    <w:rPr>
                      <w:rFonts w:hint="eastAsia"/>
                      <w:sz w:val="21"/>
                      <w:szCs w:val="21"/>
                      <w:lang w:val="zh-CN"/>
                    </w:rPr>
                    <w:t>煎药室</w:t>
                  </w:r>
                </w:p>
              </w:tc>
              <w:tc>
                <w:tcPr>
                  <w:tcW w:w="1134" w:type="dxa"/>
                  <w:vAlign w:val="center"/>
                </w:tcPr>
                <w:p>
                  <w:pPr>
                    <w:spacing w:line="240" w:lineRule="auto"/>
                    <w:ind w:firstLine="0" w:firstLineChars="0"/>
                    <w:jc w:val="center"/>
                    <w:rPr>
                      <w:rFonts w:ascii="宋体" w:hAnsi="宋体" w:cs="宋体"/>
                      <w:sz w:val="22"/>
                      <w:szCs w:val="22"/>
                    </w:rPr>
                  </w:pPr>
                  <w:r>
                    <w:rPr>
                      <w:rFonts w:hint="eastAsia"/>
                      <w:sz w:val="22"/>
                      <w:szCs w:val="22"/>
                    </w:rPr>
                    <w:t>集气罩</w:t>
                  </w:r>
                </w:p>
              </w:tc>
              <w:tc>
                <w:tcPr>
                  <w:tcW w:w="1559" w:type="dxa"/>
                  <w:vAlign w:val="center"/>
                </w:tcPr>
                <w:p>
                  <w:pPr>
                    <w:spacing w:line="240" w:lineRule="auto"/>
                    <w:ind w:firstLine="0" w:firstLineChars="0"/>
                    <w:jc w:val="center"/>
                    <w:rPr>
                      <w:sz w:val="21"/>
                      <w:szCs w:val="21"/>
                      <w:lang w:val="zh-CN"/>
                    </w:rPr>
                  </w:pPr>
                  <w:r>
                    <w:rPr>
                      <w:rFonts w:hint="eastAsia"/>
                      <w:sz w:val="21"/>
                      <w:szCs w:val="21"/>
                      <w:lang w:val="zh-CN"/>
                    </w:rPr>
                    <w:t>3.5</w:t>
                  </w:r>
                </w:p>
              </w:tc>
              <w:tc>
                <w:tcPr>
                  <w:tcW w:w="851" w:type="dxa"/>
                  <w:vAlign w:val="center"/>
                </w:tcPr>
                <w:p>
                  <w:pPr>
                    <w:spacing w:line="240" w:lineRule="auto"/>
                    <w:ind w:firstLine="0" w:firstLineChars="0"/>
                    <w:jc w:val="center"/>
                    <w:rPr>
                      <w:sz w:val="21"/>
                      <w:szCs w:val="21"/>
                      <w:lang w:val="zh-CN"/>
                    </w:rPr>
                  </w:pPr>
                  <w:r>
                    <w:rPr>
                      <w:rFonts w:hint="eastAsia"/>
                      <w:sz w:val="21"/>
                      <w:szCs w:val="21"/>
                      <w:lang w:val="zh-CN"/>
                    </w:rPr>
                    <w:t>1</w:t>
                  </w:r>
                </w:p>
              </w:tc>
              <w:tc>
                <w:tcPr>
                  <w:tcW w:w="992" w:type="dxa"/>
                  <w:vAlign w:val="center"/>
                </w:tcPr>
                <w:p>
                  <w:pPr>
                    <w:spacing w:line="240" w:lineRule="auto"/>
                    <w:ind w:firstLine="0" w:firstLineChars="0"/>
                    <w:jc w:val="center"/>
                    <w:rPr>
                      <w:sz w:val="21"/>
                      <w:szCs w:val="21"/>
                      <w:lang w:val="zh-CN"/>
                    </w:rPr>
                  </w:pPr>
                  <w:r>
                    <w:rPr>
                      <w:rFonts w:hint="eastAsia"/>
                      <w:sz w:val="21"/>
                      <w:szCs w:val="21"/>
                      <w:lang w:val="zh-CN"/>
                    </w:rPr>
                    <w:t>3.5</w:t>
                  </w:r>
                </w:p>
              </w:tc>
              <w:tc>
                <w:tcPr>
                  <w:tcW w:w="896" w:type="dxa"/>
                  <w:vAlign w:val="center"/>
                </w:tcPr>
                <w:p>
                  <w:pPr>
                    <w:spacing w:line="240" w:lineRule="auto"/>
                    <w:ind w:firstLine="0" w:firstLineChars="0"/>
                    <w:jc w:val="center"/>
                    <w:rPr>
                      <w:sz w:val="21"/>
                      <w:szCs w:val="21"/>
                      <w:lang w:val="zh-CN"/>
                    </w:rPr>
                  </w:pPr>
                  <w:r>
                    <w:rPr>
                      <w:rFonts w:hint="eastAsia"/>
                      <w:sz w:val="21"/>
                      <w:szCs w:val="21"/>
                      <w:lang w:val="zh-CN"/>
                    </w:rPr>
                    <w:t>/</w:t>
                  </w:r>
                </w:p>
              </w:tc>
              <w:tc>
                <w:tcPr>
                  <w:tcW w:w="947" w:type="dxa"/>
                  <w:vAlign w:val="center"/>
                </w:tcPr>
                <w:p>
                  <w:pPr>
                    <w:spacing w:line="240" w:lineRule="auto"/>
                    <w:ind w:firstLine="0" w:firstLineChars="0"/>
                    <w:jc w:val="center"/>
                    <w:rPr>
                      <w:sz w:val="21"/>
                      <w:szCs w:val="21"/>
                      <w:lang w:val="zh-CN"/>
                    </w:rPr>
                  </w:pPr>
                  <w:r>
                    <w:rPr>
                      <w:rFonts w:hint="eastAsia"/>
                      <w:sz w:val="21"/>
                      <w:szCs w:val="21"/>
                      <w:lang w:val="zh-CN"/>
                    </w:rPr>
                    <w:t>/</w:t>
                  </w:r>
                </w:p>
              </w:tc>
              <w:tc>
                <w:tcPr>
                  <w:tcW w:w="1182" w:type="dxa"/>
                  <w:vAlign w:val="center"/>
                </w:tcPr>
                <w:p>
                  <w:pPr>
                    <w:spacing w:line="240" w:lineRule="auto"/>
                    <w:ind w:firstLine="0" w:firstLineChars="0"/>
                    <w:jc w:val="center"/>
                    <w:rPr>
                      <w:sz w:val="21"/>
                      <w:szCs w:val="21"/>
                      <w:lang w:val="zh-CN"/>
                    </w:rPr>
                  </w:pPr>
                  <w:r>
                    <w:rPr>
                      <w:rFonts w:hint="eastAsia"/>
                      <w:sz w:val="21"/>
                      <w:szCs w:val="21"/>
                      <w:lang w:val="zh-CN"/>
                    </w:rPr>
                    <w:t>7560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228" w:type="dxa"/>
                  <w:vMerge w:val="continue"/>
                  <w:vAlign w:val="center"/>
                </w:tcPr>
                <w:p>
                  <w:pPr>
                    <w:spacing w:line="240" w:lineRule="auto"/>
                    <w:ind w:firstLine="0" w:firstLineChars="0"/>
                    <w:jc w:val="center"/>
                    <w:rPr>
                      <w:sz w:val="21"/>
                      <w:szCs w:val="21"/>
                      <w:lang w:val="zh-CN"/>
                    </w:rPr>
                  </w:pPr>
                </w:p>
              </w:tc>
              <w:tc>
                <w:tcPr>
                  <w:tcW w:w="1134" w:type="dxa"/>
                  <w:vAlign w:val="center"/>
                </w:tcPr>
                <w:p>
                  <w:pPr>
                    <w:spacing w:line="240" w:lineRule="auto"/>
                    <w:ind w:firstLine="0" w:firstLineChars="0"/>
                    <w:jc w:val="center"/>
                    <w:rPr>
                      <w:rFonts w:ascii="宋体" w:hAnsi="宋体" w:cs="宋体"/>
                      <w:sz w:val="22"/>
                      <w:szCs w:val="22"/>
                    </w:rPr>
                  </w:pPr>
                  <w:r>
                    <w:rPr>
                      <w:rFonts w:hint="eastAsia"/>
                      <w:sz w:val="22"/>
                      <w:szCs w:val="22"/>
                    </w:rPr>
                    <w:t>排风管道</w:t>
                  </w:r>
                </w:p>
              </w:tc>
              <w:tc>
                <w:tcPr>
                  <w:tcW w:w="1559" w:type="dxa"/>
                  <w:vAlign w:val="center"/>
                </w:tcPr>
                <w:p>
                  <w:pPr>
                    <w:spacing w:line="240" w:lineRule="auto"/>
                    <w:ind w:firstLine="0" w:firstLineChars="0"/>
                    <w:jc w:val="center"/>
                    <w:rPr>
                      <w:sz w:val="21"/>
                      <w:szCs w:val="21"/>
                      <w:lang w:val="zh-CN"/>
                    </w:rPr>
                  </w:pPr>
                  <w:r>
                    <w:rPr>
                      <w:rFonts w:hint="eastAsia"/>
                      <w:sz w:val="21"/>
                      <w:szCs w:val="21"/>
                      <w:lang w:val="zh-CN"/>
                    </w:rPr>
                    <w:t>36.45</w:t>
                  </w:r>
                </w:p>
              </w:tc>
              <w:tc>
                <w:tcPr>
                  <w:tcW w:w="851" w:type="dxa"/>
                  <w:vAlign w:val="center"/>
                </w:tcPr>
                <w:p>
                  <w:pPr>
                    <w:spacing w:line="240" w:lineRule="auto"/>
                    <w:ind w:firstLine="0" w:firstLineChars="0"/>
                    <w:jc w:val="center"/>
                    <w:rPr>
                      <w:sz w:val="21"/>
                      <w:szCs w:val="21"/>
                      <w:lang w:val="zh-CN"/>
                    </w:rPr>
                  </w:pPr>
                  <w:r>
                    <w:rPr>
                      <w:rFonts w:hint="eastAsia"/>
                      <w:sz w:val="21"/>
                      <w:szCs w:val="21"/>
                      <w:lang w:val="zh-CN"/>
                    </w:rPr>
                    <w:t>/</w:t>
                  </w:r>
                </w:p>
              </w:tc>
              <w:tc>
                <w:tcPr>
                  <w:tcW w:w="992" w:type="dxa"/>
                  <w:vAlign w:val="center"/>
                </w:tcPr>
                <w:p>
                  <w:pPr>
                    <w:spacing w:line="240" w:lineRule="auto"/>
                    <w:ind w:firstLine="0" w:firstLineChars="0"/>
                    <w:jc w:val="center"/>
                    <w:rPr>
                      <w:sz w:val="21"/>
                      <w:szCs w:val="21"/>
                      <w:lang w:val="zh-CN"/>
                    </w:rPr>
                  </w:pPr>
                  <w:r>
                    <w:rPr>
                      <w:rFonts w:hint="eastAsia"/>
                      <w:sz w:val="21"/>
                      <w:szCs w:val="21"/>
                      <w:lang w:val="zh-CN"/>
                    </w:rPr>
                    <w:t>/</w:t>
                  </w:r>
                </w:p>
              </w:tc>
              <w:tc>
                <w:tcPr>
                  <w:tcW w:w="896" w:type="dxa"/>
                  <w:vAlign w:val="center"/>
                </w:tcPr>
                <w:p>
                  <w:pPr>
                    <w:spacing w:line="240" w:lineRule="auto"/>
                    <w:ind w:firstLine="0" w:firstLineChars="0"/>
                    <w:jc w:val="center"/>
                    <w:rPr>
                      <w:sz w:val="21"/>
                      <w:szCs w:val="21"/>
                      <w:lang w:val="zh-CN"/>
                    </w:rPr>
                  </w:pPr>
                  <w:r>
                    <w:rPr>
                      <w:rFonts w:hint="eastAsia"/>
                      <w:sz w:val="21"/>
                      <w:szCs w:val="21"/>
                      <w:lang w:val="zh-CN"/>
                    </w:rPr>
                    <w:t>177</w:t>
                  </w:r>
                </w:p>
              </w:tc>
              <w:tc>
                <w:tcPr>
                  <w:tcW w:w="947" w:type="dxa"/>
                  <w:vAlign w:val="center"/>
                </w:tcPr>
                <w:p>
                  <w:pPr>
                    <w:spacing w:line="240" w:lineRule="auto"/>
                    <w:ind w:firstLine="0" w:firstLineChars="0"/>
                    <w:jc w:val="center"/>
                    <w:rPr>
                      <w:sz w:val="21"/>
                      <w:szCs w:val="21"/>
                      <w:lang w:val="zh-CN"/>
                    </w:rPr>
                  </w:pPr>
                  <w:r>
                    <w:rPr>
                      <w:rFonts w:hint="eastAsia"/>
                      <w:sz w:val="21"/>
                      <w:szCs w:val="21"/>
                      <w:lang w:val="zh-CN"/>
                    </w:rPr>
                    <w:t>11</w:t>
                  </w:r>
                </w:p>
              </w:tc>
              <w:tc>
                <w:tcPr>
                  <w:tcW w:w="1182" w:type="dxa"/>
                  <w:vAlign w:val="center"/>
                </w:tcPr>
                <w:p>
                  <w:pPr>
                    <w:spacing w:line="240" w:lineRule="auto"/>
                    <w:ind w:firstLine="0" w:firstLineChars="0"/>
                    <w:jc w:val="center"/>
                    <w:rPr>
                      <w:sz w:val="21"/>
                      <w:szCs w:val="21"/>
                      <w:lang w:val="zh-CN"/>
                    </w:rPr>
                  </w:pPr>
                  <w:r>
                    <w:rPr>
                      <w:rFonts w:hint="eastAsia"/>
                      <w:sz w:val="21"/>
                      <w:szCs w:val="21"/>
                      <w:lang w:val="zh-CN"/>
                    </w:rPr>
                    <w:t>1947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228" w:type="dxa"/>
                  <w:vAlign w:val="center"/>
                </w:tcPr>
                <w:p>
                  <w:pPr>
                    <w:spacing w:line="240" w:lineRule="auto"/>
                    <w:ind w:firstLine="0" w:firstLineChars="0"/>
                    <w:jc w:val="center"/>
                    <w:rPr>
                      <w:sz w:val="21"/>
                      <w:szCs w:val="21"/>
                      <w:lang w:val="zh-CN"/>
                    </w:rPr>
                  </w:pPr>
                  <w:r>
                    <w:rPr>
                      <w:rFonts w:hint="eastAsia"/>
                      <w:sz w:val="21"/>
                      <w:szCs w:val="21"/>
                      <w:lang w:val="zh-CN"/>
                    </w:rPr>
                    <w:t>调节池</w:t>
                  </w:r>
                </w:p>
              </w:tc>
              <w:tc>
                <w:tcPr>
                  <w:tcW w:w="1134" w:type="dxa"/>
                  <w:vAlign w:val="center"/>
                </w:tcPr>
                <w:p>
                  <w:pPr>
                    <w:spacing w:line="240" w:lineRule="auto"/>
                    <w:ind w:firstLine="0" w:firstLineChars="0"/>
                    <w:jc w:val="center"/>
                    <w:rPr>
                      <w:rFonts w:ascii="宋体" w:hAnsi="宋体" w:cs="宋体"/>
                      <w:sz w:val="22"/>
                      <w:szCs w:val="22"/>
                    </w:rPr>
                  </w:pPr>
                  <w:r>
                    <w:rPr>
                      <w:rFonts w:hint="eastAsia"/>
                      <w:sz w:val="22"/>
                      <w:szCs w:val="22"/>
                    </w:rPr>
                    <w:t>排风管道</w:t>
                  </w:r>
                </w:p>
              </w:tc>
              <w:tc>
                <w:tcPr>
                  <w:tcW w:w="1559" w:type="dxa"/>
                  <w:vAlign w:val="center"/>
                </w:tcPr>
                <w:p>
                  <w:pPr>
                    <w:spacing w:line="240" w:lineRule="auto"/>
                    <w:ind w:firstLine="0" w:firstLineChars="0"/>
                    <w:jc w:val="center"/>
                    <w:rPr>
                      <w:sz w:val="21"/>
                      <w:szCs w:val="21"/>
                      <w:lang w:val="zh-CN"/>
                    </w:rPr>
                  </w:pPr>
                  <w:r>
                    <w:rPr>
                      <w:rFonts w:hint="eastAsia"/>
                      <w:sz w:val="21"/>
                      <w:szCs w:val="21"/>
                      <w:lang w:val="zh-CN"/>
                    </w:rPr>
                    <w:t>/</w:t>
                  </w:r>
                </w:p>
              </w:tc>
              <w:tc>
                <w:tcPr>
                  <w:tcW w:w="851" w:type="dxa"/>
                  <w:vAlign w:val="center"/>
                </w:tcPr>
                <w:p>
                  <w:pPr>
                    <w:spacing w:line="240" w:lineRule="auto"/>
                    <w:ind w:firstLine="0" w:firstLineChars="0"/>
                    <w:jc w:val="center"/>
                    <w:rPr>
                      <w:sz w:val="21"/>
                      <w:szCs w:val="21"/>
                      <w:lang w:val="zh-CN"/>
                    </w:rPr>
                  </w:pPr>
                  <w:r>
                    <w:rPr>
                      <w:rFonts w:hint="eastAsia"/>
                      <w:sz w:val="21"/>
                      <w:szCs w:val="21"/>
                      <w:lang w:val="zh-CN"/>
                    </w:rPr>
                    <w:t>/</w:t>
                  </w:r>
                </w:p>
              </w:tc>
              <w:tc>
                <w:tcPr>
                  <w:tcW w:w="992" w:type="dxa"/>
                  <w:vAlign w:val="center"/>
                </w:tcPr>
                <w:p>
                  <w:pPr>
                    <w:spacing w:line="240" w:lineRule="auto"/>
                    <w:ind w:firstLine="0" w:firstLineChars="0"/>
                    <w:jc w:val="center"/>
                    <w:rPr>
                      <w:sz w:val="21"/>
                      <w:szCs w:val="21"/>
                      <w:lang w:val="zh-CN"/>
                    </w:rPr>
                  </w:pPr>
                  <w:r>
                    <w:rPr>
                      <w:rFonts w:hint="eastAsia"/>
                      <w:sz w:val="21"/>
                      <w:szCs w:val="21"/>
                      <w:lang w:val="zh-CN"/>
                    </w:rPr>
                    <w:t>/</w:t>
                  </w:r>
                </w:p>
              </w:tc>
              <w:tc>
                <w:tcPr>
                  <w:tcW w:w="896" w:type="dxa"/>
                  <w:vAlign w:val="center"/>
                </w:tcPr>
                <w:p>
                  <w:pPr>
                    <w:spacing w:line="240" w:lineRule="auto"/>
                    <w:ind w:firstLine="0" w:firstLineChars="0"/>
                    <w:jc w:val="center"/>
                    <w:rPr>
                      <w:sz w:val="21"/>
                      <w:szCs w:val="21"/>
                      <w:lang w:val="zh-CN"/>
                    </w:rPr>
                  </w:pPr>
                  <w:r>
                    <w:rPr>
                      <w:rFonts w:hint="eastAsia"/>
                      <w:sz w:val="21"/>
                      <w:szCs w:val="21"/>
                      <w:lang w:val="zh-CN"/>
                    </w:rPr>
                    <w:t>1.5</w:t>
                  </w:r>
                </w:p>
              </w:tc>
              <w:tc>
                <w:tcPr>
                  <w:tcW w:w="947" w:type="dxa"/>
                  <w:vAlign w:val="center"/>
                </w:tcPr>
                <w:p>
                  <w:pPr>
                    <w:spacing w:line="240" w:lineRule="auto"/>
                    <w:ind w:firstLine="0" w:firstLineChars="0"/>
                    <w:jc w:val="center"/>
                    <w:rPr>
                      <w:sz w:val="21"/>
                      <w:szCs w:val="21"/>
                      <w:lang w:val="zh-CN"/>
                    </w:rPr>
                  </w:pPr>
                  <w:r>
                    <w:rPr>
                      <w:rFonts w:hint="eastAsia"/>
                      <w:sz w:val="21"/>
                      <w:szCs w:val="21"/>
                      <w:lang w:val="zh-CN"/>
                    </w:rPr>
                    <w:t>11</w:t>
                  </w:r>
                </w:p>
              </w:tc>
              <w:tc>
                <w:tcPr>
                  <w:tcW w:w="1182" w:type="dxa"/>
                  <w:vAlign w:val="center"/>
                </w:tcPr>
                <w:p>
                  <w:pPr>
                    <w:spacing w:line="240" w:lineRule="auto"/>
                    <w:ind w:firstLine="0" w:firstLineChars="0"/>
                    <w:jc w:val="center"/>
                    <w:rPr>
                      <w:sz w:val="21"/>
                      <w:szCs w:val="21"/>
                      <w:lang w:val="zh-CN"/>
                    </w:rPr>
                  </w:pPr>
                  <w:r>
                    <w:rPr>
                      <w:rFonts w:hint="eastAsia"/>
                      <w:sz w:val="21"/>
                      <w:szCs w:val="21"/>
                      <w:lang w:val="zh-CN"/>
                    </w:rPr>
                    <w:t>17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228" w:type="dxa"/>
                  <w:vAlign w:val="center"/>
                </w:tcPr>
                <w:p>
                  <w:pPr>
                    <w:spacing w:line="240" w:lineRule="auto"/>
                    <w:ind w:firstLine="0" w:firstLineChars="0"/>
                    <w:jc w:val="center"/>
                    <w:rPr>
                      <w:sz w:val="21"/>
                      <w:szCs w:val="21"/>
                      <w:lang w:val="zh-CN"/>
                    </w:rPr>
                  </w:pPr>
                  <w:r>
                    <w:rPr>
                      <w:rFonts w:hint="eastAsia"/>
                      <w:sz w:val="21"/>
                      <w:szCs w:val="21"/>
                      <w:lang w:val="zh-CN"/>
                    </w:rPr>
                    <w:t>一体化污水处理设备</w:t>
                  </w:r>
                </w:p>
              </w:tc>
              <w:tc>
                <w:tcPr>
                  <w:tcW w:w="1134" w:type="dxa"/>
                  <w:vAlign w:val="center"/>
                </w:tcPr>
                <w:p>
                  <w:pPr>
                    <w:spacing w:line="240" w:lineRule="auto"/>
                    <w:ind w:firstLine="0" w:firstLineChars="0"/>
                    <w:jc w:val="center"/>
                    <w:rPr>
                      <w:rFonts w:ascii="宋体" w:hAnsi="宋体" w:cs="宋体"/>
                      <w:sz w:val="22"/>
                      <w:szCs w:val="22"/>
                    </w:rPr>
                  </w:pPr>
                  <w:r>
                    <w:rPr>
                      <w:rFonts w:hint="eastAsia"/>
                      <w:sz w:val="22"/>
                      <w:szCs w:val="22"/>
                    </w:rPr>
                    <w:t>排风管道</w:t>
                  </w:r>
                </w:p>
              </w:tc>
              <w:tc>
                <w:tcPr>
                  <w:tcW w:w="1559" w:type="dxa"/>
                  <w:vAlign w:val="center"/>
                </w:tcPr>
                <w:p>
                  <w:pPr>
                    <w:spacing w:line="240" w:lineRule="auto"/>
                    <w:ind w:firstLine="0" w:firstLineChars="0"/>
                    <w:jc w:val="center"/>
                    <w:rPr>
                      <w:sz w:val="21"/>
                      <w:szCs w:val="21"/>
                      <w:lang w:val="zh-CN"/>
                    </w:rPr>
                  </w:pPr>
                  <w:r>
                    <w:rPr>
                      <w:rFonts w:hint="eastAsia"/>
                      <w:sz w:val="21"/>
                      <w:szCs w:val="21"/>
                      <w:lang w:val="zh-CN"/>
                    </w:rPr>
                    <w:t>/</w:t>
                  </w:r>
                </w:p>
              </w:tc>
              <w:tc>
                <w:tcPr>
                  <w:tcW w:w="851" w:type="dxa"/>
                  <w:vAlign w:val="center"/>
                </w:tcPr>
                <w:p>
                  <w:pPr>
                    <w:spacing w:line="240" w:lineRule="auto"/>
                    <w:ind w:firstLine="0" w:firstLineChars="0"/>
                    <w:jc w:val="center"/>
                    <w:rPr>
                      <w:sz w:val="21"/>
                      <w:szCs w:val="21"/>
                      <w:lang w:val="zh-CN"/>
                    </w:rPr>
                  </w:pPr>
                  <w:r>
                    <w:rPr>
                      <w:rFonts w:hint="eastAsia"/>
                      <w:sz w:val="21"/>
                      <w:szCs w:val="21"/>
                      <w:lang w:val="zh-CN"/>
                    </w:rPr>
                    <w:t>/</w:t>
                  </w:r>
                </w:p>
              </w:tc>
              <w:tc>
                <w:tcPr>
                  <w:tcW w:w="992" w:type="dxa"/>
                  <w:vAlign w:val="center"/>
                </w:tcPr>
                <w:p>
                  <w:pPr>
                    <w:spacing w:line="240" w:lineRule="auto"/>
                    <w:ind w:firstLine="0" w:firstLineChars="0"/>
                    <w:jc w:val="center"/>
                    <w:rPr>
                      <w:sz w:val="21"/>
                      <w:szCs w:val="21"/>
                      <w:lang w:val="zh-CN"/>
                    </w:rPr>
                  </w:pPr>
                  <w:r>
                    <w:rPr>
                      <w:rFonts w:hint="eastAsia"/>
                      <w:sz w:val="21"/>
                      <w:szCs w:val="21"/>
                      <w:lang w:val="zh-CN"/>
                    </w:rPr>
                    <w:t>/</w:t>
                  </w:r>
                </w:p>
              </w:tc>
              <w:tc>
                <w:tcPr>
                  <w:tcW w:w="896" w:type="dxa"/>
                  <w:vAlign w:val="center"/>
                </w:tcPr>
                <w:p>
                  <w:pPr>
                    <w:spacing w:line="240" w:lineRule="auto"/>
                    <w:ind w:firstLine="0" w:firstLineChars="0"/>
                    <w:jc w:val="center"/>
                    <w:rPr>
                      <w:sz w:val="21"/>
                      <w:szCs w:val="21"/>
                      <w:lang w:val="zh-CN"/>
                    </w:rPr>
                  </w:pPr>
                  <w:r>
                    <w:rPr>
                      <w:rFonts w:hint="eastAsia"/>
                      <w:sz w:val="21"/>
                      <w:szCs w:val="21"/>
                      <w:lang w:val="zh-CN"/>
                    </w:rPr>
                    <w:t>12</w:t>
                  </w:r>
                </w:p>
              </w:tc>
              <w:tc>
                <w:tcPr>
                  <w:tcW w:w="947" w:type="dxa"/>
                  <w:vAlign w:val="center"/>
                </w:tcPr>
                <w:p>
                  <w:pPr>
                    <w:spacing w:line="240" w:lineRule="auto"/>
                    <w:ind w:firstLine="0" w:firstLineChars="0"/>
                    <w:jc w:val="center"/>
                    <w:rPr>
                      <w:sz w:val="21"/>
                      <w:szCs w:val="21"/>
                      <w:lang w:val="zh-CN"/>
                    </w:rPr>
                  </w:pPr>
                  <w:r>
                    <w:rPr>
                      <w:rFonts w:hint="eastAsia"/>
                      <w:sz w:val="21"/>
                      <w:szCs w:val="21"/>
                      <w:lang w:val="zh-CN"/>
                    </w:rPr>
                    <w:t>11</w:t>
                  </w:r>
                </w:p>
              </w:tc>
              <w:tc>
                <w:tcPr>
                  <w:tcW w:w="1182" w:type="dxa"/>
                  <w:vAlign w:val="center"/>
                </w:tcPr>
                <w:p>
                  <w:pPr>
                    <w:spacing w:line="240" w:lineRule="auto"/>
                    <w:ind w:firstLine="0" w:firstLineChars="0"/>
                    <w:jc w:val="center"/>
                    <w:rPr>
                      <w:sz w:val="21"/>
                      <w:szCs w:val="21"/>
                      <w:lang w:val="zh-CN"/>
                    </w:rPr>
                  </w:pPr>
                  <w:r>
                    <w:rPr>
                      <w:rFonts w:hint="eastAsia"/>
                      <w:sz w:val="21"/>
                      <w:szCs w:val="21"/>
                      <w:lang w:val="zh-CN"/>
                    </w:rPr>
                    <w:t>132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7607" w:type="dxa"/>
                  <w:gridSpan w:val="7"/>
                  <w:vAlign w:val="center"/>
                </w:tcPr>
                <w:p>
                  <w:pPr>
                    <w:spacing w:line="240" w:lineRule="auto"/>
                    <w:ind w:firstLine="0" w:firstLineChars="0"/>
                    <w:jc w:val="center"/>
                    <w:rPr>
                      <w:sz w:val="21"/>
                      <w:szCs w:val="21"/>
                      <w:lang w:val="zh-CN"/>
                    </w:rPr>
                  </w:pPr>
                  <w:r>
                    <w:rPr>
                      <w:rFonts w:hint="eastAsia"/>
                      <w:sz w:val="21"/>
                      <w:szCs w:val="21"/>
                      <w:lang w:val="zh-CN"/>
                    </w:rPr>
                    <w:t>合计</w:t>
                  </w:r>
                </w:p>
              </w:tc>
              <w:tc>
                <w:tcPr>
                  <w:tcW w:w="1182" w:type="dxa"/>
                  <w:vAlign w:val="center"/>
                </w:tcPr>
                <w:p>
                  <w:pPr>
                    <w:spacing w:line="240" w:lineRule="auto"/>
                    <w:ind w:firstLine="0" w:firstLineChars="0"/>
                    <w:jc w:val="center"/>
                    <w:rPr>
                      <w:sz w:val="21"/>
                      <w:szCs w:val="21"/>
                      <w:lang w:val="zh-CN"/>
                    </w:rPr>
                  </w:pPr>
                  <w:r>
                    <w:rPr>
                      <w:rFonts w:hint="eastAsia"/>
                      <w:sz w:val="21"/>
                      <w:szCs w:val="21"/>
                      <w:lang w:val="zh-CN"/>
                    </w:rPr>
                    <w:t>9656</w:t>
                  </w:r>
                </w:p>
              </w:tc>
            </w:tr>
          </w:tbl>
          <w:p>
            <w:pPr>
              <w:ind w:left="120" w:leftChars="50" w:right="120" w:rightChars="50" w:firstLine="480"/>
              <w:jc w:val="left"/>
            </w:pPr>
            <w:r>
              <w:rPr>
                <w:rFonts w:hint="eastAsia"/>
              </w:rPr>
              <w:t>综上，医院合计排风量为9656m</w:t>
            </w:r>
            <w:r>
              <w:rPr>
                <w:vertAlign w:val="superscript"/>
              </w:rPr>
              <w:t>3</w:t>
            </w:r>
            <w:r>
              <w:t>/h</w:t>
            </w:r>
            <w:r>
              <w:rPr>
                <w:rFonts w:hint="eastAsia"/>
              </w:rPr>
              <w:t>，本次环评按10000m</w:t>
            </w:r>
            <w:r>
              <w:rPr>
                <w:vertAlign w:val="superscript"/>
              </w:rPr>
              <w:t>3</w:t>
            </w:r>
            <w:r>
              <w:t>/h</w:t>
            </w:r>
            <w:r>
              <w:rPr>
                <w:rFonts w:hint="eastAsia"/>
              </w:rPr>
              <w:t>计。</w:t>
            </w:r>
          </w:p>
          <w:p>
            <w:pPr>
              <w:ind w:left="120" w:leftChars="50" w:right="120" w:rightChars="50" w:firstLine="480"/>
              <w:jc w:val="left"/>
            </w:pPr>
            <w:r>
              <w:rPr>
                <w:rFonts w:hint="eastAsia"/>
              </w:rPr>
              <w:t>（3）废气污染物产生、排放分析</w:t>
            </w:r>
          </w:p>
          <w:p>
            <w:pPr>
              <w:ind w:left="48" w:leftChars="20" w:right="48" w:rightChars="20" w:firstLine="480"/>
            </w:pPr>
            <w:r>
              <w:rPr>
                <w:rFonts w:hint="eastAsia"/>
              </w:rPr>
              <w:t>①煎药室废气</w:t>
            </w:r>
          </w:p>
          <w:p>
            <w:pPr>
              <w:ind w:left="48" w:leftChars="20" w:right="48" w:rightChars="20" w:firstLine="480"/>
            </w:pPr>
            <w:r>
              <w:rPr>
                <w:rFonts w:hint="eastAsia"/>
              </w:rPr>
              <w:t>医院煎煮中药使用自动煎药机且为电加热设备，煎煮过程中产生中药气味，以臭气浓度计，类比同类项目，中药煎药室废气臭气浓度约2500（无量纲）。医院在煎药室设置集中抽风口，废气经集中抽风后通过密闭管道引入二级活性炭吸附装置吸附处理，处理效率70%，则处理后煎药室废气臭气浓度约750（无量纲），可以满足《恶臭污染物排放标准》（GB14554-93）表2标准要求，处理后废气经管道引至楼顶5m高排气筒（DA001）排放（楼高10m，排气筒出口距离地面15m）。</w:t>
            </w:r>
          </w:p>
          <w:p>
            <w:pPr>
              <w:ind w:left="48" w:leftChars="20" w:right="48" w:rightChars="20" w:firstLine="480"/>
            </w:pPr>
            <w:r>
              <w:rPr>
                <w:rFonts w:hint="eastAsia"/>
              </w:rPr>
              <w:t>②污水处理废气</w:t>
            </w:r>
          </w:p>
          <w:p>
            <w:pPr>
              <w:ind w:left="48" w:leftChars="20" w:right="48" w:rightChars="20" w:firstLine="480"/>
            </w:pPr>
            <w:r>
              <w:rPr>
                <w:rFonts w:hint="eastAsia"/>
              </w:rPr>
              <w:t>项目污水处理间设有格栅、调节池、一体化污水处理池体，污水处理废气主要来自污水处理过程原生动物、病毒、细菌团等微生物新陈代谢产生的恶臭气体，主要成分为硫化氢、氨等，废气在各处理单元的排污系数通过单位面积散发量来表征，根据美国EPA对城市污水处理厂恶臭污染物产生情况的研究，每处理1g的BOD</w:t>
            </w:r>
            <w:r>
              <w:rPr>
                <w:rFonts w:hint="eastAsia"/>
                <w:vertAlign w:val="subscript"/>
              </w:rPr>
              <w:t>5</w:t>
            </w:r>
            <w:r>
              <w:rPr>
                <w:rFonts w:hint="eastAsia"/>
              </w:rPr>
              <w:t>，可产生0.0031g的NH</w:t>
            </w:r>
            <w:r>
              <w:rPr>
                <w:rFonts w:hint="eastAsia"/>
                <w:vertAlign w:val="subscript"/>
              </w:rPr>
              <w:t>3</w:t>
            </w:r>
            <w:r>
              <w:rPr>
                <w:rFonts w:hint="eastAsia"/>
              </w:rPr>
              <w:t>和0.00012g的H</w:t>
            </w:r>
            <w:r>
              <w:rPr>
                <w:rFonts w:hint="eastAsia"/>
                <w:vertAlign w:val="subscript"/>
              </w:rPr>
              <w:t>2</w:t>
            </w:r>
            <w:r>
              <w:rPr>
                <w:rFonts w:hint="eastAsia"/>
              </w:rPr>
              <w:t>S。本项目污水处理装置进口处BOD</w:t>
            </w:r>
            <w:r>
              <w:rPr>
                <w:rFonts w:hint="eastAsia"/>
                <w:vertAlign w:val="subscript"/>
              </w:rPr>
              <w:t>5</w:t>
            </w:r>
            <w:r>
              <w:rPr>
                <w:rFonts w:hint="eastAsia"/>
              </w:rPr>
              <w:t>浓度约</w:t>
            </w:r>
            <w:r>
              <w:rPr>
                <w:rFonts w:hint="eastAsia"/>
                <w:color w:val="000000"/>
              </w:rPr>
              <w:t>166.409mg/L，出口处</w:t>
            </w:r>
            <w:r>
              <w:rPr>
                <w:rFonts w:hint="eastAsia"/>
              </w:rPr>
              <w:t>BOD</w:t>
            </w:r>
            <w:r>
              <w:rPr>
                <w:rFonts w:hint="eastAsia"/>
                <w:vertAlign w:val="subscript"/>
              </w:rPr>
              <w:t>5</w:t>
            </w:r>
            <w:r>
              <w:rPr>
                <w:rFonts w:hint="eastAsia"/>
              </w:rPr>
              <w:t>浓度约</w:t>
            </w:r>
            <w:r>
              <w:rPr>
                <w:rFonts w:hint="eastAsia"/>
                <w:color w:val="000000"/>
              </w:rPr>
              <w:t>58.243mg/L，年处理水量4288.75</w:t>
            </w:r>
            <w:r>
              <w:rPr>
                <w:color w:val="000000"/>
              </w:rPr>
              <w:t>m</w:t>
            </w:r>
            <w:r>
              <w:rPr>
                <w:color w:val="000000"/>
                <w:vertAlign w:val="superscript"/>
              </w:rPr>
              <w:t>3</w:t>
            </w:r>
            <w:r>
              <w:rPr>
                <w:color w:val="000000"/>
              </w:rPr>
              <w:t>/a</w:t>
            </w:r>
            <w:r>
              <w:rPr>
                <w:rFonts w:hint="eastAsia"/>
                <w:color w:val="000000"/>
              </w:rPr>
              <w:t>，则</w:t>
            </w:r>
            <w:r>
              <w:rPr>
                <w:rFonts w:hint="eastAsia"/>
              </w:rPr>
              <w:t>BOD</w:t>
            </w:r>
            <w:r>
              <w:rPr>
                <w:rFonts w:hint="eastAsia"/>
                <w:vertAlign w:val="subscript"/>
              </w:rPr>
              <w:t>5</w:t>
            </w:r>
            <w:r>
              <w:rPr>
                <w:rFonts w:hint="eastAsia"/>
                <w:color w:val="000000"/>
              </w:rPr>
              <w:t>处理量约0.464t/a，处理</w:t>
            </w:r>
            <w:r>
              <w:rPr>
                <w:rFonts w:hint="eastAsia"/>
              </w:rPr>
              <w:t>BOD</w:t>
            </w:r>
            <w:r>
              <w:rPr>
                <w:rFonts w:hint="eastAsia"/>
                <w:vertAlign w:val="subscript"/>
              </w:rPr>
              <w:t>5</w:t>
            </w:r>
            <w:r>
              <w:rPr>
                <w:rFonts w:hint="eastAsia"/>
                <w:color w:val="000000"/>
              </w:rPr>
              <w:t>产生的</w:t>
            </w:r>
            <w:r>
              <w:rPr>
                <w:rFonts w:hint="eastAsia"/>
              </w:rPr>
              <w:t>NH</w:t>
            </w:r>
            <w:r>
              <w:rPr>
                <w:rFonts w:hint="eastAsia"/>
                <w:vertAlign w:val="subscript"/>
              </w:rPr>
              <w:t>3</w:t>
            </w:r>
            <w:r>
              <w:rPr>
                <w:rFonts w:hint="eastAsia"/>
                <w:color w:val="000000"/>
              </w:rPr>
              <w:t>和</w:t>
            </w:r>
            <w:r>
              <w:rPr>
                <w:rFonts w:hint="eastAsia"/>
              </w:rPr>
              <w:t>H</w:t>
            </w:r>
            <w:r>
              <w:rPr>
                <w:rFonts w:hint="eastAsia"/>
                <w:vertAlign w:val="subscript"/>
              </w:rPr>
              <w:t>2</w:t>
            </w:r>
            <w:r>
              <w:rPr>
                <w:rFonts w:hint="eastAsia"/>
              </w:rPr>
              <w:t>S量分别为0.00144t/a、0.00006t/a，NH</w:t>
            </w:r>
            <w:r>
              <w:rPr>
                <w:rFonts w:hint="eastAsia"/>
                <w:vertAlign w:val="subscript"/>
              </w:rPr>
              <w:t>3</w:t>
            </w:r>
            <w:r>
              <w:rPr>
                <w:rFonts w:hint="eastAsia"/>
                <w:color w:val="000000"/>
              </w:rPr>
              <w:t>和</w:t>
            </w:r>
            <w:r>
              <w:rPr>
                <w:rFonts w:hint="eastAsia"/>
              </w:rPr>
              <w:t>H</w:t>
            </w:r>
            <w:r>
              <w:rPr>
                <w:rFonts w:hint="eastAsia"/>
                <w:vertAlign w:val="subscript"/>
              </w:rPr>
              <w:t>2</w:t>
            </w:r>
            <w:r>
              <w:rPr>
                <w:rFonts w:hint="eastAsia"/>
              </w:rPr>
              <w:t>S产生速率分别为0.00016kg/h、0.000006kg/h。</w:t>
            </w:r>
          </w:p>
          <w:p>
            <w:pPr>
              <w:ind w:left="48" w:leftChars="20" w:right="48" w:rightChars="20" w:firstLine="480"/>
            </w:pPr>
            <w:r>
              <w:rPr>
                <w:rFonts w:hint="eastAsia"/>
              </w:rPr>
              <w:t>污水处理间各池体采用碳钢池体，按照《医院污水处理设计规范》中的要求“医院污水处理设施各构筑物均应加盖”，本项目格栅、调节池、一体化处理池体的水解酸化池、二级接触氧化池等臭味发生源设置盖板密闭，此措施可以通过密闭措施减少无组织恶臭污染物的逸散。此外，污水处理间定期喷洒生物除臭剂，生物除臭剂可以通过复合型功能菌的大量繁殖，快速对臭味源进行分解转化，从根本上分解掉臭气里的主要成分，以达到瞬间除臭、净化空气的效果。污水处理池体内废气采用负压收集，</w:t>
            </w:r>
            <w:r>
              <w:t>收集效率</w:t>
            </w:r>
            <w:r>
              <w:rPr>
                <w:rFonts w:hint="eastAsia"/>
              </w:rPr>
              <w:t>9</w:t>
            </w:r>
            <w:r>
              <w:t>5%</w:t>
            </w:r>
            <w:r>
              <w:rPr>
                <w:rFonts w:hint="eastAsia"/>
              </w:rPr>
              <w:t>，</w:t>
            </w:r>
            <w:r>
              <w:t>风机</w:t>
            </w:r>
            <w:r>
              <w:rPr>
                <w:rFonts w:hint="eastAsia"/>
              </w:rPr>
              <w:t>风量</w:t>
            </w:r>
            <w:r>
              <w:t>约</w:t>
            </w:r>
            <w:r>
              <w:rPr>
                <w:rFonts w:hint="eastAsia"/>
              </w:rPr>
              <w:t>10000m</w:t>
            </w:r>
            <w:r>
              <w:rPr>
                <w:rFonts w:hint="eastAsia"/>
                <w:vertAlign w:val="superscript"/>
              </w:rPr>
              <w:t>3</w:t>
            </w:r>
            <w:r>
              <w:rPr>
                <w:rFonts w:hint="eastAsia"/>
              </w:rPr>
              <w:t>/h</w:t>
            </w:r>
            <w:r>
              <w:t>，</w:t>
            </w:r>
            <w:r>
              <w:rPr>
                <w:rFonts w:hint="eastAsia"/>
              </w:rPr>
              <w:t>则</w:t>
            </w:r>
            <w:r>
              <w:t>有</w:t>
            </w:r>
            <w:r>
              <w:rPr>
                <w:rFonts w:hint="eastAsia"/>
              </w:rPr>
              <w:t>组织NH</w:t>
            </w:r>
            <w:r>
              <w:rPr>
                <w:rFonts w:hint="eastAsia"/>
                <w:vertAlign w:val="subscript"/>
              </w:rPr>
              <w:t>3</w:t>
            </w:r>
            <w:r>
              <w:rPr>
                <w:rFonts w:hint="eastAsia"/>
              </w:rPr>
              <w:t>、H</w:t>
            </w:r>
            <w:r>
              <w:rPr>
                <w:rFonts w:hint="eastAsia"/>
                <w:vertAlign w:val="subscript"/>
              </w:rPr>
              <w:t>2</w:t>
            </w:r>
            <w:r>
              <w:rPr>
                <w:rFonts w:hint="eastAsia"/>
              </w:rPr>
              <w:t>S产生量</w:t>
            </w:r>
            <w:r>
              <w:t>分别为</w:t>
            </w:r>
            <w:r>
              <w:rPr>
                <w:rFonts w:hint="eastAsia"/>
              </w:rPr>
              <w:t>0.00137</w:t>
            </w:r>
            <w:r>
              <w:t>t/a</w:t>
            </w:r>
            <w:r>
              <w:rPr>
                <w:rFonts w:hint="eastAsia"/>
              </w:rPr>
              <w:t>、0.000053</w:t>
            </w:r>
            <w:r>
              <w:t>t/a</w:t>
            </w:r>
            <w:r>
              <w:rPr>
                <w:rFonts w:hint="eastAsia"/>
              </w:rPr>
              <w:t>，</w:t>
            </w:r>
            <w:r>
              <w:t>产生速率分别为</w:t>
            </w:r>
            <w:r>
              <w:rPr>
                <w:rFonts w:hint="eastAsia"/>
              </w:rPr>
              <w:t>0.00016</w:t>
            </w:r>
            <w:r>
              <w:t>kg/h</w:t>
            </w:r>
            <w:r>
              <w:rPr>
                <w:rFonts w:hint="eastAsia"/>
              </w:rPr>
              <w:t>、0.000006</w:t>
            </w:r>
            <w:r>
              <w:t>kg/h</w:t>
            </w:r>
            <w:r>
              <w:rPr>
                <w:rFonts w:hint="eastAsia"/>
              </w:rPr>
              <w:t>、</w:t>
            </w:r>
            <w:r>
              <w:t>产生浓度分别为</w:t>
            </w:r>
            <w:r>
              <w:rPr>
                <w:rFonts w:hint="eastAsia"/>
              </w:rPr>
              <w:t>0.016mg/m</w:t>
            </w:r>
            <w:r>
              <w:rPr>
                <w:rFonts w:hint="eastAsia"/>
                <w:vertAlign w:val="superscript"/>
              </w:rPr>
              <w:t>3</w:t>
            </w:r>
            <w:r>
              <w:rPr>
                <w:rFonts w:hint="eastAsia"/>
              </w:rPr>
              <w:t>、</w:t>
            </w:r>
            <w:r>
              <w:t>0.0</w:t>
            </w:r>
            <w:r>
              <w:rPr>
                <w:rFonts w:hint="eastAsia"/>
              </w:rPr>
              <w:t>006</w:t>
            </w:r>
            <w:r>
              <w:t>mg/m</w:t>
            </w:r>
            <w:r>
              <w:rPr>
                <w:vertAlign w:val="superscript"/>
              </w:rPr>
              <w:t>3</w:t>
            </w:r>
            <w:r>
              <w:rPr>
                <w:rFonts w:hint="eastAsia"/>
              </w:rPr>
              <w:t>，收集后废气通过密闭管道引入二级活性炭吸附装置（与煎药废气共同使用）吸附处理，处理效率约70%，则</w:t>
            </w:r>
            <w:r>
              <w:t>有</w:t>
            </w:r>
            <w:r>
              <w:rPr>
                <w:rFonts w:hint="eastAsia"/>
              </w:rPr>
              <w:t>组织NH</w:t>
            </w:r>
            <w:r>
              <w:rPr>
                <w:rFonts w:hint="eastAsia"/>
                <w:vertAlign w:val="subscript"/>
              </w:rPr>
              <w:t>3</w:t>
            </w:r>
            <w:r>
              <w:rPr>
                <w:rFonts w:hint="eastAsia"/>
              </w:rPr>
              <w:t>、H</w:t>
            </w:r>
            <w:r>
              <w:rPr>
                <w:rFonts w:hint="eastAsia"/>
                <w:vertAlign w:val="subscript"/>
              </w:rPr>
              <w:t>2</w:t>
            </w:r>
            <w:r>
              <w:rPr>
                <w:rFonts w:hint="eastAsia"/>
              </w:rPr>
              <w:t>S排放量</w:t>
            </w:r>
            <w:r>
              <w:t>分别为</w:t>
            </w:r>
            <w:r>
              <w:rPr>
                <w:rFonts w:hint="eastAsia"/>
              </w:rPr>
              <w:t>0.0004</w:t>
            </w:r>
            <w:r>
              <w:t>t/a</w:t>
            </w:r>
            <w:r>
              <w:rPr>
                <w:rFonts w:hint="eastAsia"/>
              </w:rPr>
              <w:t>、0.00002</w:t>
            </w:r>
            <w:r>
              <w:t>t/a</w:t>
            </w:r>
            <w:r>
              <w:rPr>
                <w:rFonts w:hint="eastAsia"/>
              </w:rPr>
              <w:t>，排放</w:t>
            </w:r>
            <w:r>
              <w:t>速率分别为</w:t>
            </w:r>
            <w:r>
              <w:rPr>
                <w:rFonts w:hint="eastAsia"/>
              </w:rPr>
              <w:t>0.000047</w:t>
            </w:r>
            <w:r>
              <w:t>kg/h</w:t>
            </w:r>
            <w:r>
              <w:rPr>
                <w:rFonts w:hint="eastAsia"/>
              </w:rPr>
              <w:t>、0.000002</w:t>
            </w:r>
            <w:r>
              <w:t>kg/h</w:t>
            </w:r>
            <w:r>
              <w:rPr>
                <w:rFonts w:hint="eastAsia"/>
              </w:rPr>
              <w:t>，</w:t>
            </w:r>
            <w:r>
              <w:t>排放浓度分别为</w:t>
            </w:r>
            <w:r>
              <w:rPr>
                <w:rFonts w:hint="eastAsia"/>
              </w:rPr>
              <w:t>0.0047mg/m</w:t>
            </w:r>
            <w:r>
              <w:rPr>
                <w:rFonts w:hint="eastAsia"/>
                <w:vertAlign w:val="superscript"/>
              </w:rPr>
              <w:t>3</w:t>
            </w:r>
            <w:r>
              <w:rPr>
                <w:rFonts w:hint="eastAsia"/>
              </w:rPr>
              <w:t>、0.00018</w:t>
            </w:r>
            <w:r>
              <w:t>mg/m</w:t>
            </w:r>
            <w:r>
              <w:rPr>
                <w:vertAlign w:val="superscript"/>
              </w:rPr>
              <w:t>3</w:t>
            </w:r>
            <w:r>
              <w:t>。</w:t>
            </w:r>
            <w:r>
              <w:rPr>
                <w:rFonts w:hint="eastAsia"/>
              </w:rPr>
              <w:t>NH</w:t>
            </w:r>
            <w:r>
              <w:rPr>
                <w:rFonts w:hint="eastAsia"/>
                <w:vertAlign w:val="subscript"/>
              </w:rPr>
              <w:t>3</w:t>
            </w:r>
            <w:r>
              <w:rPr>
                <w:rFonts w:hint="eastAsia"/>
              </w:rPr>
              <w:t>、H</w:t>
            </w:r>
            <w:r>
              <w:rPr>
                <w:rFonts w:hint="eastAsia"/>
                <w:vertAlign w:val="subscript"/>
              </w:rPr>
              <w:t>2</w:t>
            </w:r>
            <w:r>
              <w:rPr>
                <w:rFonts w:hint="eastAsia"/>
              </w:rPr>
              <w:t>S有组织排放速率均满足《恶臭污染物排放标准》（GB14554-1993）表2 标准要求。类比</w:t>
            </w:r>
            <w:r>
              <w:rPr>
                <w:rFonts w:hint="eastAsia"/>
                <w:kern w:val="0"/>
              </w:rPr>
              <w:t>石家庄平安医院污水处理站废气处理措施-二级活性炭吸附装置废气现状监测数据，有组织臭气浓度≤1320</w:t>
            </w:r>
            <w:r>
              <w:rPr>
                <w:rFonts w:hint="eastAsia"/>
              </w:rPr>
              <w:t>（</w:t>
            </w:r>
            <w:r>
              <w:t>无量</w:t>
            </w:r>
            <w:r>
              <w:rPr>
                <w:rFonts w:hint="eastAsia"/>
              </w:rPr>
              <w:t>纲</w:t>
            </w:r>
            <w:r>
              <w:t>）</w:t>
            </w:r>
            <w:r>
              <w:rPr>
                <w:rFonts w:hint="eastAsia"/>
              </w:rPr>
              <w:t>，</w:t>
            </w:r>
            <w:r>
              <w:t>满足</w:t>
            </w:r>
            <w:r>
              <w:rPr>
                <w:rFonts w:hint="eastAsia"/>
              </w:rPr>
              <w:t>《恶臭污染物排放标准》（GB14554-1993）表2标准要求。</w:t>
            </w:r>
          </w:p>
          <w:p>
            <w:pPr>
              <w:ind w:left="48" w:leftChars="20" w:right="48" w:rightChars="20" w:firstLine="480"/>
            </w:pPr>
            <w:r>
              <w:rPr>
                <w:rFonts w:hint="eastAsia"/>
              </w:rPr>
              <w:t>③无组织废气</w:t>
            </w:r>
          </w:p>
          <w:p>
            <w:pPr>
              <w:ind w:left="48" w:leftChars="20" w:right="48" w:rightChars="20" w:firstLine="480"/>
            </w:pPr>
            <w:r>
              <w:rPr>
                <w:rFonts w:hint="eastAsia"/>
              </w:rPr>
              <w:t>污水</w:t>
            </w:r>
            <w:r>
              <w:t>处理</w:t>
            </w:r>
            <w:r>
              <w:rPr>
                <w:rFonts w:hint="eastAsia"/>
              </w:rPr>
              <w:t>间未</w:t>
            </w:r>
            <w:r>
              <w:t>收集的废气</w:t>
            </w:r>
            <w:r>
              <w:rPr>
                <w:rFonts w:hint="eastAsia"/>
              </w:rPr>
              <w:t>以</w:t>
            </w:r>
            <w:r>
              <w:t>无组织</w:t>
            </w:r>
            <w:r>
              <w:rPr>
                <w:rFonts w:hint="eastAsia"/>
              </w:rPr>
              <w:t>形式</w:t>
            </w:r>
            <w:r>
              <w:t>排放</w:t>
            </w:r>
            <w:r>
              <w:rPr>
                <w:rFonts w:hint="eastAsia"/>
              </w:rPr>
              <w:t>，无组织NH</w:t>
            </w:r>
            <w:r>
              <w:rPr>
                <w:rFonts w:hint="eastAsia"/>
                <w:vertAlign w:val="subscript"/>
              </w:rPr>
              <w:t>3</w:t>
            </w:r>
            <w:r>
              <w:rPr>
                <w:rFonts w:hint="eastAsia"/>
              </w:rPr>
              <w:t>、H</w:t>
            </w:r>
            <w:r>
              <w:rPr>
                <w:rFonts w:hint="eastAsia"/>
                <w:vertAlign w:val="subscript"/>
              </w:rPr>
              <w:t>2</w:t>
            </w:r>
            <w:r>
              <w:rPr>
                <w:rFonts w:hint="eastAsia"/>
              </w:rPr>
              <w:t>S产生量</w:t>
            </w:r>
            <w:r>
              <w:t>分别为</w:t>
            </w:r>
            <w:r>
              <w:rPr>
                <w:rFonts w:hint="eastAsia"/>
              </w:rPr>
              <w:t>0.00007</w:t>
            </w:r>
            <w:r>
              <w:t>t/a</w:t>
            </w:r>
            <w:r>
              <w:rPr>
                <w:rFonts w:hint="eastAsia"/>
              </w:rPr>
              <w:t>、0.000007</w:t>
            </w:r>
            <w:r>
              <w:t>t/a</w:t>
            </w:r>
            <w:r>
              <w:rPr>
                <w:rFonts w:hint="eastAsia"/>
              </w:rPr>
              <w:t>，产生速率</w:t>
            </w:r>
            <w:r>
              <w:t>分别为0.0000080kg/h</w:t>
            </w:r>
            <w:r>
              <w:rPr>
                <w:rFonts w:hint="eastAsia"/>
              </w:rPr>
              <w:t>、</w:t>
            </w:r>
            <w:r>
              <w:t>0.0000008kg/h</w:t>
            </w:r>
            <w:r>
              <w:rPr>
                <w:rFonts w:hint="eastAsia"/>
              </w:rPr>
              <w:t>。经估算模式预测及类比石家庄平安医院污水处理站实测数据，污水处理间周边大气污染物NH</w:t>
            </w:r>
            <w:r>
              <w:rPr>
                <w:rFonts w:hint="eastAsia"/>
                <w:vertAlign w:val="subscript"/>
              </w:rPr>
              <w:t>3</w:t>
            </w:r>
            <w:r>
              <w:rPr>
                <w:rFonts w:hint="eastAsia"/>
              </w:rPr>
              <w:t>排放浓度＜0.1558</w:t>
            </w:r>
            <w:r>
              <w:t>μ</w:t>
            </w:r>
            <w:r>
              <w:rPr>
                <w:rFonts w:hint="eastAsia"/>
              </w:rPr>
              <w:t>g/m</w:t>
            </w:r>
            <w:r>
              <w:rPr>
                <w:rFonts w:hint="eastAsia"/>
                <w:vertAlign w:val="superscript"/>
              </w:rPr>
              <w:t>3</w:t>
            </w:r>
            <w:r>
              <w:rPr>
                <w:rFonts w:hint="eastAsia"/>
              </w:rPr>
              <w:t>、H</w:t>
            </w:r>
            <w:r>
              <w:rPr>
                <w:rFonts w:hint="eastAsia"/>
                <w:vertAlign w:val="subscript"/>
              </w:rPr>
              <w:t>2</w:t>
            </w:r>
            <w:r>
              <w:rPr>
                <w:rFonts w:hint="eastAsia"/>
              </w:rPr>
              <w:t>S排放浓度＜0.0078</w:t>
            </w:r>
            <w:r>
              <w:t>μ</w:t>
            </w:r>
            <w:r>
              <w:rPr>
                <w:rFonts w:hint="eastAsia"/>
              </w:rPr>
              <w:t>g/m</w:t>
            </w:r>
            <w:r>
              <w:rPr>
                <w:rFonts w:hint="eastAsia"/>
                <w:vertAlign w:val="superscript"/>
              </w:rPr>
              <w:t>3</w:t>
            </w:r>
            <w:r>
              <w:rPr>
                <w:rFonts w:hint="eastAsia"/>
              </w:rPr>
              <w:t>、臭气浓度＜10（无量纲）、甲烷＜1%（污水站内最高体积百分数）；本项目污水处理</w:t>
            </w:r>
            <w:r>
              <w:rPr>
                <w:szCs w:val="21"/>
              </w:rPr>
              <w:t>消毒剂使用次氯酸钠，</w:t>
            </w:r>
            <w:r>
              <w:rPr>
                <w:rFonts w:hint="eastAsia"/>
                <w:szCs w:val="21"/>
              </w:rPr>
              <w:t>消毒</w:t>
            </w:r>
            <w:r>
              <w:rPr>
                <w:szCs w:val="21"/>
              </w:rPr>
              <w:t>过程中不会生成氯气，</w:t>
            </w:r>
            <w:r>
              <w:rPr>
                <w:rFonts w:hint="eastAsia"/>
                <w:szCs w:val="21"/>
              </w:rPr>
              <w:t>因此</w:t>
            </w:r>
            <w:r>
              <w:rPr>
                <w:szCs w:val="21"/>
              </w:rPr>
              <w:t>污水处理站周</w:t>
            </w:r>
            <w:r>
              <w:rPr>
                <w:rFonts w:hint="eastAsia"/>
                <w:szCs w:val="21"/>
              </w:rPr>
              <w:t>边</w:t>
            </w:r>
            <w:r>
              <w:rPr>
                <w:szCs w:val="21"/>
              </w:rPr>
              <w:t>氯气浓度</w:t>
            </w:r>
            <w:r>
              <w:t>＜</w:t>
            </w:r>
            <w:r>
              <w:rPr>
                <w:szCs w:val="21"/>
              </w:rPr>
              <w:t>0.1mg/m</w:t>
            </w:r>
            <w:r>
              <w:rPr>
                <w:szCs w:val="21"/>
                <w:vertAlign w:val="superscript"/>
              </w:rPr>
              <w:t>3</w:t>
            </w:r>
            <w:r>
              <w:rPr>
                <w:rFonts w:hint="eastAsia"/>
                <w:szCs w:val="21"/>
              </w:rPr>
              <w:t>，</w:t>
            </w:r>
            <w:r>
              <w:rPr>
                <w:szCs w:val="21"/>
              </w:rPr>
              <w:t>污水</w:t>
            </w:r>
            <w:r>
              <w:rPr>
                <w:rFonts w:hint="eastAsia"/>
                <w:szCs w:val="21"/>
              </w:rPr>
              <w:t>处理站</w:t>
            </w:r>
            <w:r>
              <w:rPr>
                <w:szCs w:val="21"/>
              </w:rPr>
              <w:t>周</w:t>
            </w:r>
            <w:r>
              <w:rPr>
                <w:rFonts w:hint="eastAsia"/>
                <w:szCs w:val="21"/>
              </w:rPr>
              <w:t>边</w:t>
            </w:r>
            <w:r>
              <w:rPr>
                <w:szCs w:val="21"/>
              </w:rPr>
              <w:t>各污染物浓度均可满足</w:t>
            </w:r>
            <w:r>
              <w:rPr>
                <w:rFonts w:hint="eastAsia"/>
                <w:szCs w:val="21"/>
              </w:rPr>
              <w:t>《医疗机构水污染物排放标准》（GB18466-2005）表3标准。</w:t>
            </w:r>
          </w:p>
          <w:p>
            <w:pPr>
              <w:ind w:left="48" w:leftChars="20" w:right="48" w:rightChars="20" w:firstLine="480"/>
            </w:pPr>
            <w:r>
              <w:rPr>
                <w:rFonts w:hint="eastAsia"/>
              </w:rPr>
              <w:t>（4）废气治理措施可行性</w:t>
            </w:r>
          </w:p>
          <w:p>
            <w:pPr>
              <w:ind w:left="48" w:leftChars="20" w:right="48" w:rightChars="20" w:firstLine="480"/>
              <w:rPr>
                <w:bCs/>
              </w:rPr>
            </w:pPr>
            <w:r>
              <w:rPr>
                <w:rFonts w:hint="eastAsia"/>
                <w:bCs/>
              </w:rPr>
              <w:t>活性炭孔径平均（10～40）×10</w:t>
            </w:r>
            <w:r>
              <w:rPr>
                <w:rFonts w:hint="eastAsia"/>
                <w:bCs/>
                <w:vertAlign w:val="superscript"/>
              </w:rPr>
              <w:t>-8</w:t>
            </w:r>
            <w:r>
              <w:rPr>
                <w:rFonts w:hint="eastAsia"/>
                <w:bCs/>
              </w:rPr>
              <w:t>cm，比表面一般在600～1500m</w:t>
            </w:r>
            <w:r>
              <w:rPr>
                <w:rFonts w:hint="eastAsia"/>
                <w:bCs/>
                <w:vertAlign w:val="superscript"/>
              </w:rPr>
              <w:t>2</w:t>
            </w:r>
            <w:r>
              <w:rPr>
                <w:rFonts w:hint="eastAsia"/>
                <w:bCs/>
              </w:rPr>
              <w:t>/g范围，具有优良的吸附能力。对照《环境</w:t>
            </w:r>
            <w:r>
              <w:rPr>
                <w:bCs/>
              </w:rPr>
              <w:t>工程技术手册</w:t>
            </w:r>
            <w:r>
              <w:rPr>
                <w:rFonts w:hint="eastAsia"/>
                <w:bCs/>
              </w:rPr>
              <w:t xml:space="preserve"> 废水</w:t>
            </w:r>
            <w:r>
              <w:rPr>
                <w:bCs/>
              </w:rPr>
              <w:t>污染控制技术手册》</w:t>
            </w:r>
            <w:r>
              <w:rPr>
                <w:rFonts w:hint="eastAsia"/>
                <w:bCs/>
              </w:rPr>
              <w:t>（化学</w:t>
            </w:r>
            <w:r>
              <w:rPr>
                <w:bCs/>
              </w:rPr>
              <w:t>工业出版社）</w:t>
            </w:r>
            <w:r>
              <w:rPr>
                <w:rFonts w:hint="eastAsia"/>
                <w:bCs/>
              </w:rPr>
              <w:t>，</w:t>
            </w:r>
            <w:r>
              <w:rPr>
                <w:bCs/>
              </w:rPr>
              <w:t>活性炭是对污水处理系统臭气进行脱除操作中最常用的吸附剂。</w:t>
            </w:r>
            <w:r>
              <w:rPr>
                <w:rFonts w:hint="eastAsia"/>
                <w:bCs/>
              </w:rPr>
              <w:t>活性炭是一种具有非极性表面、疏水性、新有机物的吸附剂，是一种常见的空气净化材料，其原理是通过吸附分子的方式捕获空气中的有害物质和气味，达到去除异味和净化空气的效果。</w:t>
            </w:r>
          </w:p>
          <w:p>
            <w:pPr>
              <w:ind w:left="48" w:leftChars="20" w:right="48" w:rightChars="20" w:firstLine="480"/>
            </w:pPr>
            <w:r>
              <w:rPr>
                <w:rFonts w:hint="eastAsia"/>
              </w:rPr>
              <w:t>对照《排污许可证申请与核发技术规范 医疗机构》（HJ1105-2020）污染防治可行性技术参照表，本项目污水处理间废气处理措施与排污许可规范污染防治可行技术对比情况详见下表。</w:t>
            </w:r>
          </w:p>
          <w:p>
            <w:pPr>
              <w:pStyle w:val="14"/>
            </w:pPr>
            <w:r>
              <w:rPr>
                <w:rFonts w:hint="eastAsia"/>
              </w:rPr>
              <w:t>表24   本项目废气污染防治技术与排污许可规范对比表</w:t>
            </w:r>
          </w:p>
          <w:tbl>
            <w:tblPr>
              <w:tblStyle w:val="17"/>
              <w:tblW w:w="0" w:type="auto"/>
              <w:tblInd w:w="4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519"/>
              <w:gridCol w:w="567"/>
              <w:gridCol w:w="1701"/>
              <w:gridCol w:w="993"/>
              <w:gridCol w:w="2835"/>
              <w:gridCol w:w="212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519" w:type="dxa"/>
                  <w:vAlign w:val="center"/>
                </w:tcPr>
                <w:p>
                  <w:pPr>
                    <w:spacing w:line="240" w:lineRule="auto"/>
                    <w:ind w:right="48" w:rightChars="20" w:firstLine="0" w:firstLineChars="0"/>
                    <w:jc w:val="center"/>
                    <w:rPr>
                      <w:sz w:val="21"/>
                      <w:szCs w:val="21"/>
                    </w:rPr>
                  </w:pPr>
                  <w:r>
                    <w:rPr>
                      <w:rFonts w:hint="eastAsia"/>
                      <w:sz w:val="21"/>
                      <w:szCs w:val="21"/>
                    </w:rPr>
                    <w:t>行业</w:t>
                  </w:r>
                </w:p>
              </w:tc>
              <w:tc>
                <w:tcPr>
                  <w:tcW w:w="567" w:type="dxa"/>
                  <w:vAlign w:val="center"/>
                </w:tcPr>
                <w:p>
                  <w:pPr>
                    <w:spacing w:line="240" w:lineRule="auto"/>
                    <w:ind w:right="48" w:rightChars="20" w:firstLine="0" w:firstLineChars="0"/>
                    <w:jc w:val="center"/>
                    <w:rPr>
                      <w:sz w:val="21"/>
                      <w:szCs w:val="21"/>
                    </w:rPr>
                  </w:pPr>
                  <w:r>
                    <w:rPr>
                      <w:rFonts w:hint="eastAsia"/>
                      <w:sz w:val="21"/>
                      <w:szCs w:val="21"/>
                    </w:rPr>
                    <w:t>设施</w:t>
                  </w:r>
                </w:p>
              </w:tc>
              <w:tc>
                <w:tcPr>
                  <w:tcW w:w="2694" w:type="dxa"/>
                  <w:gridSpan w:val="2"/>
                  <w:vAlign w:val="center"/>
                </w:tcPr>
                <w:p>
                  <w:pPr>
                    <w:spacing w:line="240" w:lineRule="auto"/>
                    <w:ind w:right="48" w:rightChars="20" w:firstLine="0" w:firstLineChars="0"/>
                    <w:jc w:val="center"/>
                    <w:rPr>
                      <w:sz w:val="21"/>
                      <w:szCs w:val="21"/>
                    </w:rPr>
                  </w:pPr>
                  <w:r>
                    <w:rPr>
                      <w:rFonts w:hint="eastAsia"/>
                      <w:sz w:val="21"/>
                      <w:szCs w:val="21"/>
                    </w:rPr>
                    <w:t>污染物种类</w:t>
                  </w:r>
                </w:p>
              </w:tc>
              <w:tc>
                <w:tcPr>
                  <w:tcW w:w="2835" w:type="dxa"/>
                  <w:vAlign w:val="center"/>
                </w:tcPr>
                <w:p>
                  <w:pPr>
                    <w:spacing w:line="240" w:lineRule="auto"/>
                    <w:ind w:right="48" w:rightChars="20" w:firstLine="0" w:firstLineChars="0"/>
                    <w:jc w:val="center"/>
                    <w:rPr>
                      <w:sz w:val="21"/>
                      <w:szCs w:val="21"/>
                    </w:rPr>
                  </w:pPr>
                  <w:r>
                    <w:rPr>
                      <w:rFonts w:hint="eastAsia"/>
                      <w:sz w:val="21"/>
                      <w:szCs w:val="21"/>
                    </w:rPr>
                    <w:t>规范推荐可行性技术</w:t>
                  </w:r>
                </w:p>
              </w:tc>
              <w:tc>
                <w:tcPr>
                  <w:tcW w:w="2126" w:type="dxa"/>
                  <w:vAlign w:val="center"/>
                </w:tcPr>
                <w:p>
                  <w:pPr>
                    <w:spacing w:line="240" w:lineRule="auto"/>
                    <w:ind w:right="48" w:rightChars="20" w:firstLine="0" w:firstLineChars="0"/>
                    <w:jc w:val="center"/>
                    <w:rPr>
                      <w:sz w:val="21"/>
                      <w:szCs w:val="21"/>
                    </w:rPr>
                  </w:pPr>
                  <w:r>
                    <w:rPr>
                      <w:rFonts w:hint="eastAsia"/>
                      <w:sz w:val="21"/>
                      <w:szCs w:val="21"/>
                    </w:rPr>
                    <w:t>本项目废气处理措施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519" w:type="dxa"/>
                  <w:vMerge w:val="restart"/>
                  <w:vAlign w:val="center"/>
                </w:tcPr>
                <w:p>
                  <w:pPr>
                    <w:spacing w:line="240" w:lineRule="auto"/>
                    <w:ind w:right="48" w:rightChars="20" w:firstLine="0" w:firstLineChars="0"/>
                    <w:jc w:val="center"/>
                    <w:rPr>
                      <w:sz w:val="21"/>
                      <w:szCs w:val="21"/>
                    </w:rPr>
                  </w:pPr>
                  <w:r>
                    <w:rPr>
                      <w:rFonts w:hint="eastAsia"/>
                      <w:sz w:val="21"/>
                      <w:szCs w:val="21"/>
                    </w:rPr>
                    <w:t>医疗机构</w:t>
                  </w:r>
                </w:p>
              </w:tc>
              <w:tc>
                <w:tcPr>
                  <w:tcW w:w="567" w:type="dxa"/>
                  <w:vMerge w:val="restart"/>
                  <w:vAlign w:val="center"/>
                </w:tcPr>
                <w:p>
                  <w:pPr>
                    <w:spacing w:line="240" w:lineRule="auto"/>
                    <w:ind w:right="48" w:rightChars="20" w:firstLine="0" w:firstLineChars="0"/>
                    <w:jc w:val="center"/>
                    <w:rPr>
                      <w:sz w:val="21"/>
                      <w:szCs w:val="21"/>
                    </w:rPr>
                  </w:pPr>
                  <w:r>
                    <w:rPr>
                      <w:rFonts w:hint="eastAsia"/>
                      <w:sz w:val="21"/>
                      <w:szCs w:val="21"/>
                    </w:rPr>
                    <w:t>污水处理间</w:t>
                  </w:r>
                </w:p>
              </w:tc>
              <w:tc>
                <w:tcPr>
                  <w:tcW w:w="1701" w:type="dxa"/>
                  <w:vAlign w:val="center"/>
                </w:tcPr>
                <w:p>
                  <w:pPr>
                    <w:spacing w:line="240" w:lineRule="auto"/>
                    <w:ind w:right="48" w:rightChars="20" w:firstLine="0" w:firstLineChars="0"/>
                    <w:jc w:val="left"/>
                    <w:rPr>
                      <w:sz w:val="21"/>
                      <w:szCs w:val="21"/>
                    </w:rPr>
                  </w:pPr>
                  <w:r>
                    <w:rPr>
                      <w:rFonts w:hint="eastAsia"/>
                      <w:sz w:val="21"/>
                      <w:szCs w:val="21"/>
                    </w:rPr>
                    <w:t>NH</w:t>
                  </w:r>
                  <w:r>
                    <w:rPr>
                      <w:rFonts w:hint="eastAsia"/>
                      <w:sz w:val="21"/>
                      <w:szCs w:val="21"/>
                      <w:vertAlign w:val="subscript"/>
                    </w:rPr>
                    <w:t>3</w:t>
                  </w:r>
                  <w:r>
                    <w:rPr>
                      <w:rFonts w:hint="eastAsia"/>
                      <w:sz w:val="21"/>
                      <w:szCs w:val="21"/>
                    </w:rPr>
                    <w:t>、H</w:t>
                  </w:r>
                  <w:r>
                    <w:rPr>
                      <w:rFonts w:hint="eastAsia"/>
                      <w:sz w:val="21"/>
                      <w:szCs w:val="21"/>
                      <w:vertAlign w:val="subscript"/>
                    </w:rPr>
                    <w:t>2</w:t>
                  </w:r>
                  <w:r>
                    <w:rPr>
                      <w:rFonts w:hint="eastAsia"/>
                      <w:sz w:val="21"/>
                      <w:szCs w:val="21"/>
                    </w:rPr>
                    <w:t>S、臭气浓度</w:t>
                  </w:r>
                </w:p>
              </w:tc>
              <w:tc>
                <w:tcPr>
                  <w:tcW w:w="993" w:type="dxa"/>
                  <w:vAlign w:val="center"/>
                </w:tcPr>
                <w:p>
                  <w:pPr>
                    <w:spacing w:line="240" w:lineRule="auto"/>
                    <w:ind w:right="48" w:rightChars="20" w:firstLine="0" w:firstLineChars="0"/>
                    <w:jc w:val="center"/>
                    <w:rPr>
                      <w:sz w:val="21"/>
                      <w:szCs w:val="21"/>
                    </w:rPr>
                  </w:pPr>
                  <w:r>
                    <w:rPr>
                      <w:rFonts w:hint="eastAsia"/>
                      <w:sz w:val="21"/>
                      <w:szCs w:val="21"/>
                    </w:rPr>
                    <w:t>有组织</w:t>
                  </w:r>
                </w:p>
              </w:tc>
              <w:tc>
                <w:tcPr>
                  <w:tcW w:w="2835" w:type="dxa"/>
                  <w:vAlign w:val="center"/>
                </w:tcPr>
                <w:p>
                  <w:pPr>
                    <w:spacing w:line="240" w:lineRule="auto"/>
                    <w:ind w:right="48" w:rightChars="20" w:firstLine="0" w:firstLineChars="0"/>
                    <w:jc w:val="left"/>
                    <w:rPr>
                      <w:sz w:val="21"/>
                      <w:szCs w:val="21"/>
                    </w:rPr>
                  </w:pPr>
                  <w:r>
                    <w:rPr>
                      <w:rFonts w:hint="eastAsia"/>
                      <w:sz w:val="21"/>
                      <w:szCs w:val="21"/>
                    </w:rPr>
                    <w:t>集中收集恶臭气体经处理（喷淋塔除臭、活性炭吸附、生物除臭等）后经排气筒排放</w:t>
                  </w:r>
                </w:p>
              </w:tc>
              <w:tc>
                <w:tcPr>
                  <w:tcW w:w="2126" w:type="dxa"/>
                  <w:vAlign w:val="center"/>
                </w:tcPr>
                <w:p>
                  <w:pPr>
                    <w:spacing w:line="240" w:lineRule="auto"/>
                    <w:ind w:right="48" w:rightChars="20" w:firstLine="0" w:firstLineChars="0"/>
                    <w:jc w:val="center"/>
                    <w:rPr>
                      <w:sz w:val="21"/>
                      <w:szCs w:val="21"/>
                    </w:rPr>
                  </w:pPr>
                  <w:r>
                    <w:rPr>
                      <w:rFonts w:hint="eastAsia"/>
                      <w:sz w:val="21"/>
                      <w:szCs w:val="21"/>
                    </w:rPr>
                    <w:t>二级活性炭吸附装置+15m排气筒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519" w:type="dxa"/>
                  <w:vMerge w:val="continue"/>
                  <w:vAlign w:val="center"/>
                </w:tcPr>
                <w:p>
                  <w:pPr>
                    <w:spacing w:line="240" w:lineRule="auto"/>
                    <w:ind w:right="48" w:rightChars="20" w:firstLine="0" w:firstLineChars="0"/>
                    <w:jc w:val="center"/>
                    <w:rPr>
                      <w:sz w:val="21"/>
                      <w:szCs w:val="21"/>
                    </w:rPr>
                  </w:pPr>
                </w:p>
              </w:tc>
              <w:tc>
                <w:tcPr>
                  <w:tcW w:w="567" w:type="dxa"/>
                  <w:vMerge w:val="continue"/>
                  <w:vAlign w:val="center"/>
                </w:tcPr>
                <w:p>
                  <w:pPr>
                    <w:spacing w:line="240" w:lineRule="auto"/>
                    <w:ind w:right="48" w:rightChars="20" w:firstLine="0" w:firstLineChars="0"/>
                    <w:jc w:val="center"/>
                    <w:rPr>
                      <w:sz w:val="21"/>
                      <w:szCs w:val="21"/>
                    </w:rPr>
                  </w:pPr>
                </w:p>
              </w:tc>
              <w:tc>
                <w:tcPr>
                  <w:tcW w:w="1701" w:type="dxa"/>
                  <w:vAlign w:val="center"/>
                </w:tcPr>
                <w:p>
                  <w:pPr>
                    <w:spacing w:line="240" w:lineRule="auto"/>
                    <w:ind w:right="48" w:rightChars="20" w:firstLine="0" w:firstLineChars="0"/>
                    <w:jc w:val="left"/>
                    <w:rPr>
                      <w:sz w:val="21"/>
                      <w:szCs w:val="21"/>
                    </w:rPr>
                  </w:pPr>
                  <w:r>
                    <w:rPr>
                      <w:rFonts w:hint="eastAsia"/>
                      <w:sz w:val="21"/>
                      <w:szCs w:val="21"/>
                    </w:rPr>
                    <w:t>NH</w:t>
                  </w:r>
                  <w:r>
                    <w:rPr>
                      <w:rFonts w:hint="eastAsia"/>
                      <w:sz w:val="21"/>
                      <w:szCs w:val="21"/>
                      <w:vertAlign w:val="subscript"/>
                    </w:rPr>
                    <w:t>3</w:t>
                  </w:r>
                  <w:r>
                    <w:rPr>
                      <w:rFonts w:hint="eastAsia"/>
                      <w:sz w:val="21"/>
                      <w:szCs w:val="21"/>
                    </w:rPr>
                    <w:t>、H</w:t>
                  </w:r>
                  <w:r>
                    <w:rPr>
                      <w:rFonts w:hint="eastAsia"/>
                      <w:sz w:val="21"/>
                      <w:szCs w:val="21"/>
                      <w:vertAlign w:val="subscript"/>
                    </w:rPr>
                    <w:t>2</w:t>
                  </w:r>
                  <w:r>
                    <w:rPr>
                      <w:rFonts w:hint="eastAsia"/>
                      <w:sz w:val="21"/>
                      <w:szCs w:val="21"/>
                    </w:rPr>
                    <w:t>S、臭气浓度、甲烷、氯气</w:t>
                  </w:r>
                </w:p>
              </w:tc>
              <w:tc>
                <w:tcPr>
                  <w:tcW w:w="993" w:type="dxa"/>
                  <w:vAlign w:val="center"/>
                </w:tcPr>
                <w:p>
                  <w:pPr>
                    <w:spacing w:line="240" w:lineRule="auto"/>
                    <w:ind w:right="48" w:rightChars="20" w:firstLine="0" w:firstLineChars="0"/>
                    <w:jc w:val="center"/>
                    <w:rPr>
                      <w:sz w:val="21"/>
                      <w:szCs w:val="21"/>
                    </w:rPr>
                  </w:pPr>
                  <w:r>
                    <w:rPr>
                      <w:rFonts w:hint="eastAsia"/>
                      <w:sz w:val="21"/>
                      <w:szCs w:val="21"/>
                    </w:rPr>
                    <w:t>无组织</w:t>
                  </w:r>
                </w:p>
              </w:tc>
              <w:tc>
                <w:tcPr>
                  <w:tcW w:w="2835" w:type="dxa"/>
                  <w:vAlign w:val="center"/>
                </w:tcPr>
                <w:p>
                  <w:pPr>
                    <w:spacing w:line="240" w:lineRule="auto"/>
                    <w:ind w:right="48" w:rightChars="20" w:firstLine="0" w:firstLineChars="0"/>
                    <w:jc w:val="left"/>
                    <w:rPr>
                      <w:sz w:val="21"/>
                      <w:szCs w:val="21"/>
                    </w:rPr>
                  </w:pPr>
                  <w:r>
                    <w:rPr>
                      <w:rFonts w:hint="eastAsia"/>
                      <w:sz w:val="21"/>
                      <w:szCs w:val="21"/>
                    </w:rPr>
                    <w:t>产生恶臭区域加罩或加盖，投放除臭剂</w:t>
                  </w:r>
                </w:p>
              </w:tc>
              <w:tc>
                <w:tcPr>
                  <w:tcW w:w="2126" w:type="dxa"/>
                  <w:vAlign w:val="center"/>
                </w:tcPr>
                <w:p>
                  <w:pPr>
                    <w:spacing w:line="240" w:lineRule="auto"/>
                    <w:ind w:right="48" w:rightChars="20" w:firstLine="0" w:firstLineChars="0"/>
                    <w:jc w:val="left"/>
                    <w:rPr>
                      <w:sz w:val="21"/>
                      <w:szCs w:val="21"/>
                    </w:rPr>
                  </w:pPr>
                  <w:r>
                    <w:rPr>
                      <w:rFonts w:hint="eastAsia"/>
                      <w:sz w:val="21"/>
                      <w:szCs w:val="21"/>
                    </w:rPr>
                    <w:t>污水处理站密闭、定期喷洒除臭剂</w:t>
                  </w:r>
                </w:p>
              </w:tc>
            </w:tr>
          </w:tbl>
          <w:p>
            <w:pPr>
              <w:ind w:left="48" w:leftChars="20" w:right="48" w:rightChars="20" w:firstLine="480"/>
            </w:pPr>
            <w:r>
              <w:rPr>
                <w:rFonts w:hint="eastAsia"/>
                <w:bCs/>
              </w:rPr>
              <w:t>由上表可知，本项目污水处理废气处理措施属于</w:t>
            </w:r>
            <w:r>
              <w:rPr>
                <w:rFonts w:hint="eastAsia"/>
              </w:rPr>
              <w:t>《排污许可证申请与核发技术规范 医疗机构》（HJ1105-2020）中推荐的可行技术。</w:t>
            </w:r>
          </w:p>
          <w:p>
            <w:pPr>
              <w:ind w:left="48" w:leftChars="20" w:right="48" w:rightChars="20" w:firstLine="480"/>
              <w:rPr>
                <w:bCs/>
              </w:rPr>
            </w:pPr>
            <w:r>
              <w:rPr>
                <w:rFonts w:hint="eastAsia"/>
                <w:bCs/>
              </w:rPr>
              <w:t>《排污许可证申请与核发技术规范 医疗机构》（HJ1105-2020）等技术规范暂无涉及中药煎药室的污染防治可行性技术的相关内容，对照《排污许可证申请与核发技术规范 总则》（HJ942-2018）中4.5.2.1废气污染治理设施相关内容：恶臭治理设施（水洗、吸收、氧化、活性炭吸附、过滤、其他），本项目煎药室中药异味废气采用活性炭吸附装置，属于上述规范中推荐的可行性技术。</w:t>
            </w:r>
          </w:p>
          <w:p>
            <w:pPr>
              <w:ind w:left="48" w:leftChars="20" w:right="48" w:rightChars="20" w:firstLine="480"/>
              <w:rPr>
                <w:lang w:val="zh-CN"/>
              </w:rPr>
            </w:pPr>
            <w:r>
              <w:rPr>
                <w:rFonts w:hint="eastAsia"/>
                <w:lang w:val="zh-CN"/>
              </w:rPr>
              <w:t>（5）监测计划</w:t>
            </w:r>
          </w:p>
          <w:p>
            <w:pPr>
              <w:ind w:left="48" w:leftChars="20" w:right="48" w:rightChars="20" w:firstLine="480"/>
            </w:pPr>
            <w:r>
              <w:rPr>
                <w:rFonts w:hint="eastAsia"/>
              </w:rPr>
              <w:t>根据《排污许可证申请与核发技术规范 医疗机构》（HJ1105-2020）等规范要求</w:t>
            </w:r>
            <w:r>
              <w:t>，本项目废气污染源监测计划见</w:t>
            </w:r>
            <w:r>
              <w:rPr>
                <w:rFonts w:hint="eastAsia"/>
              </w:rPr>
              <w:t>下表。</w:t>
            </w:r>
          </w:p>
          <w:p>
            <w:pPr>
              <w:pStyle w:val="14"/>
            </w:pPr>
          </w:p>
          <w:p>
            <w:pPr>
              <w:pStyle w:val="14"/>
            </w:pPr>
          </w:p>
          <w:p>
            <w:pPr>
              <w:pStyle w:val="14"/>
            </w:pPr>
          </w:p>
          <w:p>
            <w:pPr>
              <w:pStyle w:val="14"/>
            </w:pPr>
          </w:p>
          <w:p>
            <w:pPr>
              <w:pStyle w:val="14"/>
            </w:pPr>
          </w:p>
          <w:p>
            <w:pPr>
              <w:pStyle w:val="14"/>
            </w:pPr>
            <w:r>
              <w:rPr>
                <w:rFonts w:hint="eastAsia"/>
              </w:rPr>
              <w:t>表25  废气污染物监测计划一览表</w:t>
            </w:r>
          </w:p>
          <w:tbl>
            <w:tblPr>
              <w:tblStyle w:val="16"/>
              <w:tblW w:w="492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497"/>
              <w:gridCol w:w="1275"/>
              <w:gridCol w:w="2126"/>
              <w:gridCol w:w="1418"/>
              <w:gridCol w:w="34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013" w:type="pct"/>
                  <w:gridSpan w:val="2"/>
                  <w:vAlign w:val="center"/>
                </w:tcPr>
                <w:p>
                  <w:pPr>
                    <w:spacing w:line="240" w:lineRule="auto"/>
                    <w:ind w:right="46" w:rightChars="19" w:firstLine="0" w:firstLineChars="0"/>
                    <w:jc w:val="center"/>
                    <w:rPr>
                      <w:sz w:val="21"/>
                      <w:szCs w:val="21"/>
                    </w:rPr>
                  </w:pPr>
                  <w:r>
                    <w:rPr>
                      <w:rFonts w:hint="eastAsia"/>
                      <w:sz w:val="21"/>
                      <w:szCs w:val="21"/>
                    </w:rPr>
                    <w:t>采样位置</w:t>
                  </w:r>
                </w:p>
              </w:tc>
              <w:tc>
                <w:tcPr>
                  <w:tcW w:w="1216" w:type="pct"/>
                  <w:shd w:val="clear" w:color="auto" w:fill="auto"/>
                  <w:vAlign w:val="center"/>
                </w:tcPr>
                <w:p>
                  <w:pPr>
                    <w:spacing w:line="240" w:lineRule="auto"/>
                    <w:ind w:right="46" w:rightChars="19" w:firstLine="0" w:firstLineChars="0"/>
                    <w:jc w:val="center"/>
                    <w:rPr>
                      <w:sz w:val="21"/>
                      <w:szCs w:val="21"/>
                    </w:rPr>
                  </w:pPr>
                  <w:r>
                    <w:rPr>
                      <w:rFonts w:hint="eastAsia"/>
                      <w:sz w:val="21"/>
                      <w:szCs w:val="21"/>
                    </w:rPr>
                    <w:t>监测因子</w:t>
                  </w:r>
                </w:p>
              </w:tc>
              <w:tc>
                <w:tcPr>
                  <w:tcW w:w="811" w:type="pct"/>
                  <w:shd w:val="clear" w:color="auto" w:fill="auto"/>
                  <w:vAlign w:val="center"/>
                </w:tcPr>
                <w:p>
                  <w:pPr>
                    <w:spacing w:line="240" w:lineRule="auto"/>
                    <w:ind w:right="46" w:rightChars="19" w:firstLine="0" w:firstLineChars="0"/>
                    <w:jc w:val="center"/>
                    <w:rPr>
                      <w:sz w:val="21"/>
                      <w:szCs w:val="21"/>
                    </w:rPr>
                  </w:pPr>
                  <w:r>
                    <w:rPr>
                      <w:rFonts w:hint="eastAsia"/>
                      <w:sz w:val="21"/>
                      <w:szCs w:val="21"/>
                    </w:rPr>
                    <w:t>监测频次</w:t>
                  </w:r>
                </w:p>
              </w:tc>
              <w:tc>
                <w:tcPr>
                  <w:tcW w:w="1960" w:type="pct"/>
                  <w:shd w:val="clear" w:color="auto" w:fill="auto"/>
                  <w:vAlign w:val="center"/>
                </w:tcPr>
                <w:p>
                  <w:pPr>
                    <w:spacing w:line="240" w:lineRule="auto"/>
                    <w:ind w:right="46" w:rightChars="19" w:firstLine="0" w:firstLineChars="0"/>
                    <w:jc w:val="center"/>
                    <w:rPr>
                      <w:sz w:val="21"/>
                      <w:szCs w:val="21"/>
                    </w:rPr>
                  </w:pPr>
                  <w:r>
                    <w:rPr>
                      <w:rFonts w:hint="eastAsia"/>
                      <w:sz w:val="21"/>
                      <w:szCs w:val="21"/>
                    </w:rPr>
                    <w:t>执行排放标准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284" w:type="pct"/>
                  <w:vMerge w:val="restart"/>
                  <w:vAlign w:val="center"/>
                </w:tcPr>
                <w:p>
                  <w:pPr>
                    <w:spacing w:line="240" w:lineRule="auto"/>
                    <w:ind w:right="46" w:rightChars="19" w:firstLine="0" w:firstLineChars="0"/>
                    <w:jc w:val="center"/>
                    <w:rPr>
                      <w:sz w:val="21"/>
                      <w:szCs w:val="21"/>
                    </w:rPr>
                  </w:pPr>
                  <w:r>
                    <w:rPr>
                      <w:rFonts w:hint="eastAsia"/>
                      <w:sz w:val="21"/>
                      <w:szCs w:val="21"/>
                    </w:rPr>
                    <w:t>排气筒</w:t>
                  </w:r>
                </w:p>
              </w:tc>
              <w:tc>
                <w:tcPr>
                  <w:tcW w:w="729" w:type="pct"/>
                  <w:vMerge w:val="restart"/>
                  <w:vAlign w:val="center"/>
                </w:tcPr>
                <w:p>
                  <w:pPr>
                    <w:spacing w:line="240" w:lineRule="auto"/>
                    <w:ind w:firstLine="0" w:firstLineChars="0"/>
                    <w:jc w:val="center"/>
                    <w:rPr>
                      <w:sz w:val="21"/>
                      <w:szCs w:val="21"/>
                      <w:lang w:val="zh-CN"/>
                    </w:rPr>
                  </w:pPr>
                  <w:r>
                    <w:rPr>
                      <w:rFonts w:hint="eastAsia"/>
                      <w:sz w:val="21"/>
                      <w:szCs w:val="21"/>
                      <w:lang w:val="zh-CN"/>
                    </w:rPr>
                    <w:t>DA001</w:t>
                  </w:r>
                </w:p>
              </w:tc>
              <w:tc>
                <w:tcPr>
                  <w:tcW w:w="1216" w:type="pct"/>
                  <w:shd w:val="clear" w:color="auto" w:fill="auto"/>
                  <w:vAlign w:val="center"/>
                </w:tcPr>
                <w:p>
                  <w:pPr>
                    <w:spacing w:line="240" w:lineRule="auto"/>
                    <w:ind w:firstLine="0" w:firstLineChars="0"/>
                    <w:jc w:val="center"/>
                    <w:rPr>
                      <w:sz w:val="21"/>
                      <w:szCs w:val="21"/>
                      <w:lang w:val="zh-CN"/>
                    </w:rPr>
                  </w:pPr>
                  <w:r>
                    <w:rPr>
                      <w:rFonts w:hint="eastAsia"/>
                      <w:sz w:val="21"/>
                      <w:szCs w:val="21"/>
                    </w:rPr>
                    <w:t>NH</w:t>
                  </w:r>
                  <w:r>
                    <w:rPr>
                      <w:rFonts w:hint="eastAsia"/>
                      <w:sz w:val="21"/>
                      <w:szCs w:val="21"/>
                      <w:vertAlign w:val="subscript"/>
                    </w:rPr>
                    <w:t>3</w:t>
                  </w:r>
                </w:p>
              </w:tc>
              <w:tc>
                <w:tcPr>
                  <w:tcW w:w="811" w:type="pct"/>
                  <w:vMerge w:val="restart"/>
                  <w:shd w:val="clear" w:color="auto" w:fill="auto"/>
                  <w:vAlign w:val="center"/>
                </w:tcPr>
                <w:p>
                  <w:pPr>
                    <w:spacing w:line="240" w:lineRule="auto"/>
                    <w:ind w:right="46" w:rightChars="19" w:firstLine="0" w:firstLineChars="0"/>
                    <w:jc w:val="center"/>
                    <w:rPr>
                      <w:sz w:val="21"/>
                      <w:szCs w:val="21"/>
                    </w:rPr>
                  </w:pPr>
                  <w:r>
                    <w:rPr>
                      <w:rFonts w:hint="eastAsia"/>
                      <w:sz w:val="21"/>
                      <w:szCs w:val="21"/>
                    </w:rPr>
                    <w:t>1次/季度</w:t>
                  </w:r>
                </w:p>
              </w:tc>
              <w:tc>
                <w:tcPr>
                  <w:tcW w:w="1960" w:type="pct"/>
                  <w:vMerge w:val="restart"/>
                  <w:shd w:val="clear" w:color="auto" w:fill="auto"/>
                  <w:vAlign w:val="center"/>
                </w:tcPr>
                <w:p>
                  <w:pPr>
                    <w:spacing w:line="240" w:lineRule="auto"/>
                    <w:ind w:firstLine="0" w:firstLineChars="0"/>
                    <w:jc w:val="center"/>
                    <w:rPr>
                      <w:sz w:val="21"/>
                      <w:szCs w:val="21"/>
                      <w:lang w:val="zh-CN"/>
                    </w:rPr>
                  </w:pPr>
                  <w:r>
                    <w:rPr>
                      <w:rFonts w:hint="eastAsia"/>
                      <w:sz w:val="21"/>
                      <w:szCs w:val="21"/>
                      <w:lang w:val="zh-CN"/>
                    </w:rPr>
                    <w:t>《恶臭污染物排放标准》（GB14554-93）表2标准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284" w:type="pct"/>
                  <w:vMerge w:val="continue"/>
                  <w:vAlign w:val="center"/>
                </w:tcPr>
                <w:p>
                  <w:pPr>
                    <w:spacing w:line="240" w:lineRule="auto"/>
                    <w:ind w:right="46" w:rightChars="19" w:firstLine="0" w:firstLineChars="0"/>
                    <w:jc w:val="center"/>
                    <w:rPr>
                      <w:sz w:val="21"/>
                      <w:szCs w:val="21"/>
                    </w:rPr>
                  </w:pPr>
                </w:p>
              </w:tc>
              <w:tc>
                <w:tcPr>
                  <w:tcW w:w="729" w:type="pct"/>
                  <w:vMerge w:val="continue"/>
                  <w:vAlign w:val="center"/>
                </w:tcPr>
                <w:p>
                  <w:pPr>
                    <w:spacing w:line="240" w:lineRule="auto"/>
                    <w:ind w:firstLine="0" w:firstLineChars="0"/>
                    <w:jc w:val="center"/>
                    <w:rPr>
                      <w:sz w:val="21"/>
                      <w:szCs w:val="21"/>
                      <w:lang w:val="zh-CN"/>
                    </w:rPr>
                  </w:pPr>
                </w:p>
              </w:tc>
              <w:tc>
                <w:tcPr>
                  <w:tcW w:w="1216" w:type="pct"/>
                  <w:shd w:val="clear" w:color="auto" w:fill="auto"/>
                  <w:vAlign w:val="center"/>
                </w:tcPr>
                <w:p>
                  <w:pPr>
                    <w:spacing w:line="240" w:lineRule="auto"/>
                    <w:ind w:firstLine="0" w:firstLineChars="0"/>
                    <w:jc w:val="center"/>
                    <w:rPr>
                      <w:sz w:val="21"/>
                      <w:szCs w:val="21"/>
                      <w:lang w:val="zh-CN"/>
                    </w:rPr>
                  </w:pPr>
                  <w:r>
                    <w:rPr>
                      <w:rFonts w:hint="eastAsia"/>
                      <w:sz w:val="21"/>
                      <w:szCs w:val="21"/>
                    </w:rPr>
                    <w:t>H</w:t>
                  </w:r>
                  <w:r>
                    <w:rPr>
                      <w:rFonts w:hint="eastAsia"/>
                      <w:sz w:val="21"/>
                      <w:szCs w:val="21"/>
                      <w:vertAlign w:val="subscript"/>
                    </w:rPr>
                    <w:t>2</w:t>
                  </w:r>
                  <w:r>
                    <w:rPr>
                      <w:rFonts w:hint="eastAsia"/>
                      <w:sz w:val="21"/>
                      <w:szCs w:val="21"/>
                    </w:rPr>
                    <w:t>S</w:t>
                  </w:r>
                </w:p>
              </w:tc>
              <w:tc>
                <w:tcPr>
                  <w:tcW w:w="811" w:type="pct"/>
                  <w:vMerge w:val="continue"/>
                  <w:shd w:val="clear" w:color="auto" w:fill="auto"/>
                  <w:vAlign w:val="center"/>
                </w:tcPr>
                <w:p>
                  <w:pPr>
                    <w:spacing w:line="240" w:lineRule="auto"/>
                    <w:ind w:right="46" w:rightChars="19" w:firstLine="0" w:firstLineChars="0"/>
                    <w:jc w:val="center"/>
                    <w:rPr>
                      <w:sz w:val="21"/>
                      <w:szCs w:val="21"/>
                    </w:rPr>
                  </w:pPr>
                </w:p>
              </w:tc>
              <w:tc>
                <w:tcPr>
                  <w:tcW w:w="1960" w:type="pct"/>
                  <w:vMerge w:val="continue"/>
                  <w:shd w:val="clear" w:color="auto" w:fill="auto"/>
                  <w:vAlign w:val="center"/>
                </w:tcPr>
                <w:p>
                  <w:pPr>
                    <w:spacing w:line="240" w:lineRule="auto"/>
                    <w:ind w:firstLine="0" w:firstLineChars="0"/>
                    <w:jc w:val="center"/>
                    <w:rPr>
                      <w:sz w:val="21"/>
                      <w:szCs w:val="21"/>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2" w:hRule="atLeast"/>
                <w:jc w:val="center"/>
              </w:trPr>
              <w:tc>
                <w:tcPr>
                  <w:tcW w:w="284" w:type="pct"/>
                  <w:vMerge w:val="continue"/>
                  <w:vAlign w:val="center"/>
                </w:tcPr>
                <w:p>
                  <w:pPr>
                    <w:spacing w:line="240" w:lineRule="auto"/>
                    <w:ind w:right="46" w:rightChars="19" w:firstLine="0" w:firstLineChars="0"/>
                    <w:jc w:val="center"/>
                    <w:rPr>
                      <w:sz w:val="21"/>
                      <w:szCs w:val="21"/>
                    </w:rPr>
                  </w:pPr>
                </w:p>
              </w:tc>
              <w:tc>
                <w:tcPr>
                  <w:tcW w:w="729" w:type="pct"/>
                  <w:vMerge w:val="continue"/>
                  <w:vAlign w:val="center"/>
                </w:tcPr>
                <w:p>
                  <w:pPr>
                    <w:spacing w:line="240" w:lineRule="auto"/>
                    <w:ind w:firstLine="0" w:firstLineChars="0"/>
                    <w:jc w:val="center"/>
                    <w:rPr>
                      <w:sz w:val="21"/>
                      <w:szCs w:val="21"/>
                      <w:lang w:val="zh-CN"/>
                    </w:rPr>
                  </w:pPr>
                </w:p>
              </w:tc>
              <w:tc>
                <w:tcPr>
                  <w:tcW w:w="1216" w:type="pct"/>
                  <w:shd w:val="clear" w:color="auto" w:fill="auto"/>
                  <w:vAlign w:val="center"/>
                </w:tcPr>
                <w:p>
                  <w:pPr>
                    <w:spacing w:line="240" w:lineRule="auto"/>
                    <w:ind w:firstLine="0" w:firstLineChars="0"/>
                    <w:jc w:val="center"/>
                    <w:rPr>
                      <w:spacing w:val="4"/>
                      <w:sz w:val="21"/>
                      <w:szCs w:val="21"/>
                    </w:rPr>
                  </w:pPr>
                  <w:r>
                    <w:rPr>
                      <w:rFonts w:hint="eastAsia"/>
                      <w:sz w:val="21"/>
                      <w:szCs w:val="21"/>
                    </w:rPr>
                    <w:t>臭气浓度</w:t>
                  </w:r>
                </w:p>
              </w:tc>
              <w:tc>
                <w:tcPr>
                  <w:tcW w:w="811" w:type="pct"/>
                  <w:vMerge w:val="continue"/>
                  <w:shd w:val="clear" w:color="auto" w:fill="auto"/>
                  <w:vAlign w:val="center"/>
                </w:tcPr>
                <w:p>
                  <w:pPr>
                    <w:spacing w:line="240" w:lineRule="auto"/>
                    <w:ind w:right="46" w:rightChars="19" w:firstLine="0" w:firstLineChars="0"/>
                    <w:jc w:val="center"/>
                    <w:rPr>
                      <w:sz w:val="21"/>
                      <w:szCs w:val="21"/>
                    </w:rPr>
                  </w:pPr>
                </w:p>
              </w:tc>
              <w:tc>
                <w:tcPr>
                  <w:tcW w:w="1960" w:type="pct"/>
                  <w:vMerge w:val="continue"/>
                  <w:shd w:val="clear" w:color="auto" w:fill="auto"/>
                  <w:vAlign w:val="center"/>
                </w:tcPr>
                <w:p>
                  <w:pPr>
                    <w:spacing w:line="240" w:lineRule="auto"/>
                    <w:ind w:firstLine="0" w:firstLineChars="0"/>
                    <w:jc w:val="center"/>
                    <w:rPr>
                      <w:sz w:val="21"/>
                      <w:szCs w:val="21"/>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284" w:type="pct"/>
                  <w:vMerge w:val="restart"/>
                  <w:vAlign w:val="center"/>
                </w:tcPr>
                <w:p>
                  <w:pPr>
                    <w:spacing w:line="240" w:lineRule="auto"/>
                    <w:ind w:right="46" w:rightChars="19" w:firstLine="0" w:firstLineChars="0"/>
                    <w:jc w:val="center"/>
                    <w:rPr>
                      <w:sz w:val="21"/>
                      <w:szCs w:val="21"/>
                    </w:rPr>
                  </w:pPr>
                  <w:r>
                    <w:rPr>
                      <w:rFonts w:hint="eastAsia"/>
                      <w:sz w:val="21"/>
                      <w:szCs w:val="21"/>
                    </w:rPr>
                    <w:t>无组织废气</w:t>
                  </w:r>
                </w:p>
              </w:tc>
              <w:tc>
                <w:tcPr>
                  <w:tcW w:w="729" w:type="pct"/>
                  <w:vAlign w:val="center"/>
                </w:tcPr>
                <w:p>
                  <w:pPr>
                    <w:spacing w:line="240" w:lineRule="auto"/>
                    <w:ind w:right="46" w:rightChars="19" w:firstLine="0" w:firstLineChars="0"/>
                    <w:jc w:val="center"/>
                    <w:rPr>
                      <w:sz w:val="21"/>
                      <w:szCs w:val="21"/>
                    </w:rPr>
                  </w:pPr>
                  <w:r>
                    <w:rPr>
                      <w:rFonts w:hint="eastAsia"/>
                      <w:sz w:val="21"/>
                      <w:szCs w:val="21"/>
                    </w:rPr>
                    <w:t>污水处理站周边</w:t>
                  </w:r>
                </w:p>
              </w:tc>
              <w:tc>
                <w:tcPr>
                  <w:tcW w:w="1216" w:type="pct"/>
                  <w:shd w:val="clear" w:color="auto" w:fill="auto"/>
                  <w:vAlign w:val="center"/>
                </w:tcPr>
                <w:p>
                  <w:pPr>
                    <w:spacing w:line="240" w:lineRule="auto"/>
                    <w:ind w:right="46" w:rightChars="19" w:firstLine="0" w:firstLineChars="0"/>
                    <w:jc w:val="center"/>
                    <w:rPr>
                      <w:sz w:val="21"/>
                      <w:szCs w:val="21"/>
                    </w:rPr>
                  </w:pPr>
                  <w:r>
                    <w:rPr>
                      <w:rFonts w:hint="eastAsia"/>
                      <w:snapToGrid w:val="0"/>
                      <w:kern w:val="0"/>
                      <w:sz w:val="21"/>
                      <w:szCs w:val="21"/>
                    </w:rPr>
                    <w:t>N</w:t>
                  </w:r>
                  <w:r>
                    <w:rPr>
                      <w:snapToGrid w:val="0"/>
                      <w:kern w:val="0"/>
                      <w:sz w:val="21"/>
                      <w:szCs w:val="21"/>
                    </w:rPr>
                    <w:t>H</w:t>
                  </w:r>
                  <w:r>
                    <w:rPr>
                      <w:snapToGrid w:val="0"/>
                      <w:kern w:val="0"/>
                      <w:sz w:val="21"/>
                      <w:szCs w:val="21"/>
                      <w:vertAlign w:val="subscript"/>
                    </w:rPr>
                    <w:t>3</w:t>
                  </w:r>
                  <w:r>
                    <w:rPr>
                      <w:rFonts w:hint="eastAsia"/>
                      <w:snapToGrid w:val="0"/>
                      <w:kern w:val="0"/>
                      <w:sz w:val="21"/>
                      <w:szCs w:val="21"/>
                    </w:rPr>
                    <w:t>、H</w:t>
                  </w:r>
                  <w:r>
                    <w:rPr>
                      <w:rFonts w:hint="eastAsia"/>
                      <w:snapToGrid w:val="0"/>
                      <w:kern w:val="0"/>
                      <w:sz w:val="21"/>
                      <w:szCs w:val="21"/>
                      <w:vertAlign w:val="subscript"/>
                    </w:rPr>
                    <w:t>2</w:t>
                  </w:r>
                  <w:r>
                    <w:rPr>
                      <w:rFonts w:hint="eastAsia"/>
                      <w:snapToGrid w:val="0"/>
                      <w:kern w:val="0"/>
                      <w:sz w:val="21"/>
                      <w:szCs w:val="21"/>
                    </w:rPr>
                    <w:t>S、</w:t>
                  </w:r>
                  <w:r>
                    <w:rPr>
                      <w:snapToGrid w:val="0"/>
                      <w:kern w:val="0"/>
                      <w:sz w:val="21"/>
                      <w:szCs w:val="21"/>
                    </w:rPr>
                    <w:t>臭气浓度</w:t>
                  </w:r>
                  <w:r>
                    <w:rPr>
                      <w:rFonts w:hint="eastAsia"/>
                      <w:snapToGrid w:val="0"/>
                      <w:kern w:val="0"/>
                      <w:sz w:val="21"/>
                      <w:szCs w:val="21"/>
                    </w:rPr>
                    <w:t>、</w:t>
                  </w:r>
                  <w:r>
                    <w:rPr>
                      <w:snapToGrid w:val="0"/>
                      <w:kern w:val="0"/>
                      <w:sz w:val="21"/>
                      <w:szCs w:val="21"/>
                    </w:rPr>
                    <w:t>氯气、</w:t>
                  </w:r>
                  <w:r>
                    <w:rPr>
                      <w:rFonts w:hint="eastAsia"/>
                      <w:snapToGrid w:val="0"/>
                      <w:kern w:val="0"/>
                      <w:sz w:val="21"/>
                      <w:szCs w:val="21"/>
                    </w:rPr>
                    <w:t>甲烷</w:t>
                  </w:r>
                </w:p>
              </w:tc>
              <w:tc>
                <w:tcPr>
                  <w:tcW w:w="811" w:type="pct"/>
                  <w:shd w:val="clear" w:color="auto" w:fill="auto"/>
                  <w:vAlign w:val="center"/>
                </w:tcPr>
                <w:p>
                  <w:pPr>
                    <w:spacing w:line="240" w:lineRule="auto"/>
                    <w:ind w:right="46" w:rightChars="19" w:firstLine="0" w:firstLineChars="0"/>
                    <w:jc w:val="center"/>
                    <w:rPr>
                      <w:sz w:val="21"/>
                      <w:szCs w:val="21"/>
                    </w:rPr>
                  </w:pPr>
                  <w:r>
                    <w:rPr>
                      <w:rFonts w:hint="eastAsia"/>
                      <w:sz w:val="21"/>
                      <w:szCs w:val="21"/>
                    </w:rPr>
                    <w:t>1次/季度</w:t>
                  </w:r>
                </w:p>
              </w:tc>
              <w:tc>
                <w:tcPr>
                  <w:tcW w:w="1960" w:type="pct"/>
                  <w:shd w:val="clear" w:color="auto" w:fill="auto"/>
                  <w:vAlign w:val="center"/>
                </w:tcPr>
                <w:p>
                  <w:pPr>
                    <w:spacing w:line="240" w:lineRule="auto"/>
                    <w:ind w:right="46" w:rightChars="19" w:firstLine="0" w:firstLineChars="0"/>
                    <w:jc w:val="center"/>
                    <w:rPr>
                      <w:sz w:val="21"/>
                      <w:szCs w:val="21"/>
                    </w:rPr>
                  </w:pPr>
                  <w:r>
                    <w:rPr>
                      <w:rFonts w:hint="eastAsia"/>
                      <w:sz w:val="21"/>
                      <w:szCs w:val="21"/>
                    </w:rPr>
                    <w:t>《医疗机构水污染物排放标准》（GB18466-2005）中表3标准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284" w:type="pct"/>
                  <w:vMerge w:val="continue"/>
                  <w:vAlign w:val="center"/>
                </w:tcPr>
                <w:p>
                  <w:pPr>
                    <w:spacing w:line="240" w:lineRule="auto"/>
                    <w:ind w:right="46" w:rightChars="19" w:firstLine="0" w:firstLineChars="0"/>
                    <w:jc w:val="center"/>
                    <w:rPr>
                      <w:sz w:val="21"/>
                      <w:szCs w:val="21"/>
                    </w:rPr>
                  </w:pPr>
                </w:p>
              </w:tc>
              <w:tc>
                <w:tcPr>
                  <w:tcW w:w="729" w:type="pct"/>
                  <w:vAlign w:val="center"/>
                </w:tcPr>
                <w:p>
                  <w:pPr>
                    <w:spacing w:line="240" w:lineRule="auto"/>
                    <w:ind w:right="46" w:rightChars="19" w:firstLine="0" w:firstLineChars="0"/>
                    <w:jc w:val="center"/>
                    <w:rPr>
                      <w:sz w:val="21"/>
                      <w:szCs w:val="21"/>
                    </w:rPr>
                  </w:pPr>
                  <w:r>
                    <w:rPr>
                      <w:rFonts w:hint="eastAsia"/>
                      <w:sz w:val="21"/>
                      <w:szCs w:val="21"/>
                    </w:rPr>
                    <w:t>厂界</w:t>
                  </w:r>
                </w:p>
              </w:tc>
              <w:tc>
                <w:tcPr>
                  <w:tcW w:w="1216" w:type="pct"/>
                  <w:shd w:val="clear" w:color="auto" w:fill="auto"/>
                  <w:vAlign w:val="center"/>
                </w:tcPr>
                <w:p>
                  <w:pPr>
                    <w:spacing w:line="240" w:lineRule="auto"/>
                    <w:ind w:right="46" w:rightChars="19" w:firstLine="0" w:firstLineChars="0"/>
                    <w:jc w:val="center"/>
                    <w:rPr>
                      <w:snapToGrid w:val="0"/>
                      <w:kern w:val="0"/>
                      <w:sz w:val="21"/>
                      <w:szCs w:val="21"/>
                    </w:rPr>
                  </w:pPr>
                  <w:r>
                    <w:rPr>
                      <w:snapToGrid w:val="0"/>
                      <w:kern w:val="0"/>
                      <w:sz w:val="21"/>
                      <w:szCs w:val="21"/>
                    </w:rPr>
                    <w:t>臭气浓度</w:t>
                  </w:r>
                </w:p>
              </w:tc>
              <w:tc>
                <w:tcPr>
                  <w:tcW w:w="811" w:type="pct"/>
                  <w:shd w:val="clear" w:color="auto" w:fill="auto"/>
                  <w:vAlign w:val="center"/>
                </w:tcPr>
                <w:p>
                  <w:pPr>
                    <w:spacing w:line="240" w:lineRule="auto"/>
                    <w:ind w:right="46" w:rightChars="19" w:firstLine="0" w:firstLineChars="0"/>
                    <w:jc w:val="center"/>
                    <w:rPr>
                      <w:sz w:val="21"/>
                      <w:szCs w:val="21"/>
                    </w:rPr>
                  </w:pPr>
                  <w:r>
                    <w:rPr>
                      <w:rFonts w:hint="eastAsia"/>
                      <w:sz w:val="21"/>
                      <w:szCs w:val="21"/>
                    </w:rPr>
                    <w:t>1次/半年</w:t>
                  </w:r>
                </w:p>
              </w:tc>
              <w:tc>
                <w:tcPr>
                  <w:tcW w:w="1960" w:type="pct"/>
                  <w:shd w:val="clear" w:color="auto" w:fill="auto"/>
                  <w:vAlign w:val="center"/>
                </w:tcPr>
                <w:p>
                  <w:pPr>
                    <w:spacing w:line="240" w:lineRule="auto"/>
                    <w:ind w:right="46" w:rightChars="19" w:firstLine="0" w:firstLineChars="0"/>
                    <w:jc w:val="center"/>
                    <w:rPr>
                      <w:sz w:val="21"/>
                      <w:szCs w:val="21"/>
                    </w:rPr>
                  </w:pPr>
                  <w:r>
                    <w:rPr>
                      <w:rFonts w:hint="eastAsia"/>
                      <w:sz w:val="21"/>
                      <w:szCs w:val="21"/>
                      <w:lang w:val="zh-CN"/>
                    </w:rPr>
                    <w:t>《恶臭污染物排放标准》（GB14554-93）表1标准</w:t>
                  </w:r>
                </w:p>
              </w:tc>
            </w:tr>
          </w:tbl>
          <w:p>
            <w:pPr>
              <w:ind w:left="48" w:leftChars="20" w:right="48" w:rightChars="20" w:firstLine="480"/>
            </w:pPr>
            <w:r>
              <w:rPr>
                <w:rFonts w:hint="eastAsia"/>
              </w:rPr>
              <w:t>（9）非正常工况</w:t>
            </w:r>
          </w:p>
          <w:p>
            <w:pPr>
              <w:pStyle w:val="9"/>
              <w:tabs>
                <w:tab w:val="left" w:pos="3570"/>
              </w:tabs>
              <w:spacing w:line="520" w:lineRule="exact"/>
              <w:ind w:firstLine="480" w:firstLineChars="200"/>
              <w:contextualSpacing/>
              <w:rPr>
                <w:sz w:val="24"/>
                <w:szCs w:val="24"/>
              </w:rPr>
            </w:pPr>
            <w:r>
              <w:rPr>
                <w:rFonts w:hint="eastAsia"/>
                <w:sz w:val="24"/>
                <w:szCs w:val="24"/>
              </w:rPr>
              <w:t>开停车、设备检修、污染物排放控制措施达不到应有效率、工艺设备运转异常等情况下的污染排放归为非正常排放。本项目非正常排放为废气净化效率降低或者故障造成污染物排放</w:t>
            </w:r>
            <w:r>
              <w:rPr>
                <w:rFonts w:hint="eastAsia"/>
                <w:sz w:val="24"/>
                <w:szCs w:val="24"/>
                <w:lang w:eastAsia="zh-CN"/>
              </w:rPr>
              <w:t>，环评按最不利情况计算非正常工况废气污染源排放，即废气处理措施失效情况，具体见下表</w:t>
            </w:r>
            <w:r>
              <w:rPr>
                <w:rFonts w:hint="eastAsia"/>
                <w:sz w:val="24"/>
                <w:szCs w:val="24"/>
              </w:rPr>
              <w:t>。</w:t>
            </w:r>
          </w:p>
          <w:p>
            <w:pPr>
              <w:pStyle w:val="14"/>
            </w:pPr>
            <w:r>
              <w:rPr>
                <w:rFonts w:hint="eastAsia"/>
              </w:rPr>
              <w:t>表26  非正常工况废气污染源排放参数</w:t>
            </w:r>
          </w:p>
          <w:tbl>
            <w:tblPr>
              <w:tblStyle w:val="1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869"/>
              <w:gridCol w:w="950"/>
              <w:gridCol w:w="1017"/>
              <w:gridCol w:w="838"/>
              <w:gridCol w:w="1098"/>
              <w:gridCol w:w="1465"/>
              <w:gridCol w:w="1334"/>
              <w:gridCol w:w="12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869" w:type="dxa"/>
                  <w:vAlign w:val="center"/>
                </w:tcPr>
                <w:p>
                  <w:pPr>
                    <w:spacing w:line="240" w:lineRule="auto"/>
                    <w:ind w:right="48" w:rightChars="20" w:firstLine="0" w:firstLineChars="0"/>
                    <w:jc w:val="center"/>
                    <w:rPr>
                      <w:sz w:val="21"/>
                      <w:szCs w:val="21"/>
                      <w:lang w:val="zh-CN"/>
                    </w:rPr>
                  </w:pPr>
                  <w:r>
                    <w:rPr>
                      <w:rFonts w:hint="eastAsia"/>
                      <w:sz w:val="21"/>
                      <w:szCs w:val="21"/>
                      <w:lang w:val="zh-CN"/>
                    </w:rPr>
                    <w:t>编号</w:t>
                  </w:r>
                </w:p>
              </w:tc>
              <w:tc>
                <w:tcPr>
                  <w:tcW w:w="950" w:type="dxa"/>
                  <w:vAlign w:val="center"/>
                </w:tcPr>
                <w:p>
                  <w:pPr>
                    <w:spacing w:line="240" w:lineRule="auto"/>
                    <w:ind w:right="48" w:rightChars="20" w:firstLine="0" w:firstLineChars="0"/>
                    <w:jc w:val="center"/>
                    <w:rPr>
                      <w:sz w:val="21"/>
                      <w:szCs w:val="21"/>
                      <w:lang w:val="zh-CN"/>
                    </w:rPr>
                  </w:pPr>
                  <w:r>
                    <w:rPr>
                      <w:rFonts w:hint="eastAsia"/>
                      <w:sz w:val="21"/>
                      <w:szCs w:val="21"/>
                      <w:lang w:val="zh-CN"/>
                    </w:rPr>
                    <w:t>名称</w:t>
                  </w:r>
                </w:p>
              </w:tc>
              <w:tc>
                <w:tcPr>
                  <w:tcW w:w="1017" w:type="dxa"/>
                  <w:vAlign w:val="center"/>
                </w:tcPr>
                <w:p>
                  <w:pPr>
                    <w:spacing w:line="240" w:lineRule="auto"/>
                    <w:ind w:right="48" w:rightChars="20" w:firstLine="0" w:firstLineChars="0"/>
                    <w:jc w:val="center"/>
                    <w:rPr>
                      <w:sz w:val="21"/>
                      <w:szCs w:val="21"/>
                      <w:lang w:val="zh-CN"/>
                    </w:rPr>
                  </w:pPr>
                  <w:r>
                    <w:rPr>
                      <w:rFonts w:hint="eastAsia"/>
                      <w:sz w:val="21"/>
                      <w:szCs w:val="21"/>
                      <w:lang w:val="zh-CN"/>
                    </w:rPr>
                    <w:t>排放时间（h）</w:t>
                  </w:r>
                </w:p>
              </w:tc>
              <w:tc>
                <w:tcPr>
                  <w:tcW w:w="838" w:type="dxa"/>
                  <w:vAlign w:val="center"/>
                </w:tcPr>
                <w:p>
                  <w:pPr>
                    <w:spacing w:line="240" w:lineRule="auto"/>
                    <w:ind w:right="48" w:rightChars="20" w:firstLine="0" w:firstLineChars="0"/>
                    <w:jc w:val="center"/>
                    <w:rPr>
                      <w:sz w:val="21"/>
                      <w:szCs w:val="21"/>
                      <w:lang w:val="zh-CN"/>
                    </w:rPr>
                  </w:pPr>
                  <w:r>
                    <w:rPr>
                      <w:rFonts w:hint="eastAsia"/>
                      <w:sz w:val="21"/>
                      <w:szCs w:val="21"/>
                      <w:lang w:val="zh-CN"/>
                    </w:rPr>
                    <w:t>频次/年</w:t>
                  </w:r>
                </w:p>
              </w:tc>
              <w:tc>
                <w:tcPr>
                  <w:tcW w:w="1098" w:type="dxa"/>
                  <w:vAlign w:val="center"/>
                </w:tcPr>
                <w:p>
                  <w:pPr>
                    <w:spacing w:line="240" w:lineRule="auto"/>
                    <w:ind w:right="48" w:rightChars="20" w:firstLine="0" w:firstLineChars="0"/>
                    <w:jc w:val="center"/>
                    <w:rPr>
                      <w:sz w:val="21"/>
                      <w:szCs w:val="21"/>
                      <w:lang w:val="zh-CN"/>
                    </w:rPr>
                  </w:pPr>
                  <w:r>
                    <w:rPr>
                      <w:rFonts w:hint="eastAsia"/>
                      <w:sz w:val="21"/>
                      <w:szCs w:val="21"/>
                      <w:lang w:val="zh-CN"/>
                    </w:rPr>
                    <w:t>污染物</w:t>
                  </w:r>
                </w:p>
              </w:tc>
              <w:tc>
                <w:tcPr>
                  <w:tcW w:w="1465" w:type="dxa"/>
                  <w:vAlign w:val="center"/>
                </w:tcPr>
                <w:p>
                  <w:pPr>
                    <w:spacing w:line="240" w:lineRule="auto"/>
                    <w:ind w:right="48" w:rightChars="20" w:firstLine="0" w:firstLineChars="0"/>
                    <w:jc w:val="center"/>
                    <w:rPr>
                      <w:sz w:val="21"/>
                      <w:szCs w:val="21"/>
                      <w:lang w:val="zh-CN"/>
                    </w:rPr>
                  </w:pPr>
                  <w:r>
                    <w:rPr>
                      <w:rFonts w:hint="eastAsia"/>
                      <w:sz w:val="21"/>
                      <w:szCs w:val="21"/>
                      <w:lang w:val="zh-CN"/>
                    </w:rPr>
                    <w:t>非正常排放浓度（mg/m</w:t>
                  </w:r>
                  <w:r>
                    <w:rPr>
                      <w:rFonts w:hint="eastAsia"/>
                      <w:sz w:val="21"/>
                      <w:szCs w:val="21"/>
                      <w:vertAlign w:val="superscript"/>
                      <w:lang w:val="zh-CN"/>
                    </w:rPr>
                    <w:t>3</w:t>
                  </w:r>
                  <w:r>
                    <w:rPr>
                      <w:rFonts w:hint="eastAsia"/>
                      <w:sz w:val="21"/>
                      <w:szCs w:val="21"/>
                      <w:lang w:val="zh-CN"/>
                    </w:rPr>
                    <w:t>）</w:t>
                  </w:r>
                </w:p>
              </w:tc>
              <w:tc>
                <w:tcPr>
                  <w:tcW w:w="1334" w:type="dxa"/>
                  <w:vAlign w:val="center"/>
                </w:tcPr>
                <w:p>
                  <w:pPr>
                    <w:spacing w:line="240" w:lineRule="auto"/>
                    <w:ind w:right="48" w:rightChars="20" w:firstLine="0" w:firstLineChars="0"/>
                    <w:jc w:val="center"/>
                    <w:rPr>
                      <w:sz w:val="21"/>
                      <w:szCs w:val="21"/>
                      <w:lang w:val="zh-CN"/>
                    </w:rPr>
                  </w:pPr>
                  <w:r>
                    <w:rPr>
                      <w:rFonts w:hint="eastAsia"/>
                      <w:sz w:val="21"/>
                      <w:szCs w:val="21"/>
                      <w:lang w:val="zh-CN"/>
                    </w:rPr>
                    <w:t>非正常排放速率（kg/h）</w:t>
                  </w:r>
                </w:p>
              </w:tc>
              <w:tc>
                <w:tcPr>
                  <w:tcW w:w="1218" w:type="dxa"/>
                  <w:vAlign w:val="center"/>
                </w:tcPr>
                <w:p>
                  <w:pPr>
                    <w:spacing w:line="240" w:lineRule="auto"/>
                    <w:ind w:right="48" w:rightChars="20" w:firstLine="0" w:firstLineChars="0"/>
                    <w:jc w:val="center"/>
                    <w:rPr>
                      <w:sz w:val="21"/>
                      <w:szCs w:val="21"/>
                      <w:lang w:val="zh-CN"/>
                    </w:rPr>
                  </w:pPr>
                  <w:r>
                    <w:rPr>
                      <w:rFonts w:hint="eastAsia"/>
                      <w:sz w:val="21"/>
                      <w:szCs w:val="21"/>
                      <w:lang w:val="zh-CN"/>
                    </w:rPr>
                    <w:t>非正常排放量（t/a）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869" w:type="dxa"/>
                  <w:vMerge w:val="restart"/>
                  <w:vAlign w:val="center"/>
                </w:tcPr>
                <w:p>
                  <w:pPr>
                    <w:spacing w:line="240" w:lineRule="auto"/>
                    <w:ind w:right="48" w:rightChars="20" w:firstLine="0" w:firstLineChars="0"/>
                    <w:jc w:val="center"/>
                    <w:rPr>
                      <w:sz w:val="21"/>
                      <w:szCs w:val="21"/>
                      <w:lang w:val="zh-CN"/>
                    </w:rPr>
                  </w:pPr>
                  <w:r>
                    <w:rPr>
                      <w:rFonts w:hint="eastAsia"/>
                      <w:sz w:val="21"/>
                      <w:szCs w:val="21"/>
                      <w:lang w:val="zh-CN"/>
                    </w:rPr>
                    <w:t>DA001</w:t>
                  </w:r>
                </w:p>
              </w:tc>
              <w:tc>
                <w:tcPr>
                  <w:tcW w:w="950" w:type="dxa"/>
                  <w:vMerge w:val="restart"/>
                  <w:vAlign w:val="center"/>
                </w:tcPr>
                <w:p>
                  <w:pPr>
                    <w:spacing w:line="240" w:lineRule="auto"/>
                    <w:ind w:right="48" w:rightChars="20" w:firstLine="0" w:firstLineChars="0"/>
                    <w:jc w:val="center"/>
                    <w:rPr>
                      <w:sz w:val="21"/>
                      <w:szCs w:val="21"/>
                      <w:lang w:val="zh-CN"/>
                    </w:rPr>
                  </w:pPr>
                  <w:r>
                    <w:rPr>
                      <w:rFonts w:hint="eastAsia"/>
                      <w:sz w:val="21"/>
                      <w:szCs w:val="21"/>
                      <w:lang w:val="zh-CN"/>
                    </w:rPr>
                    <w:t>污水处理及煎药废气</w:t>
                  </w:r>
                </w:p>
              </w:tc>
              <w:tc>
                <w:tcPr>
                  <w:tcW w:w="1017" w:type="dxa"/>
                  <w:vMerge w:val="restart"/>
                  <w:vAlign w:val="center"/>
                </w:tcPr>
                <w:p>
                  <w:pPr>
                    <w:spacing w:line="240" w:lineRule="auto"/>
                    <w:ind w:right="48" w:rightChars="20" w:firstLine="0" w:firstLineChars="0"/>
                    <w:jc w:val="center"/>
                    <w:rPr>
                      <w:sz w:val="21"/>
                      <w:szCs w:val="21"/>
                      <w:lang w:val="zh-CN"/>
                    </w:rPr>
                  </w:pPr>
                  <w:r>
                    <w:rPr>
                      <w:rFonts w:hint="eastAsia"/>
                      <w:sz w:val="21"/>
                      <w:szCs w:val="21"/>
                      <w:lang w:val="zh-CN"/>
                    </w:rPr>
                    <w:t>2</w:t>
                  </w:r>
                </w:p>
              </w:tc>
              <w:tc>
                <w:tcPr>
                  <w:tcW w:w="838" w:type="dxa"/>
                  <w:vMerge w:val="restart"/>
                  <w:vAlign w:val="center"/>
                </w:tcPr>
                <w:p>
                  <w:pPr>
                    <w:spacing w:line="240" w:lineRule="auto"/>
                    <w:ind w:right="48" w:rightChars="20" w:firstLine="0" w:firstLineChars="0"/>
                    <w:jc w:val="center"/>
                    <w:rPr>
                      <w:sz w:val="21"/>
                      <w:szCs w:val="21"/>
                      <w:lang w:val="zh-CN"/>
                    </w:rPr>
                  </w:pPr>
                  <w:r>
                    <w:rPr>
                      <w:rFonts w:hint="eastAsia"/>
                      <w:sz w:val="21"/>
                      <w:szCs w:val="21"/>
                      <w:lang w:val="zh-CN"/>
                    </w:rPr>
                    <w:t>1</w:t>
                  </w:r>
                </w:p>
              </w:tc>
              <w:tc>
                <w:tcPr>
                  <w:tcW w:w="1098" w:type="dxa"/>
                  <w:vAlign w:val="center"/>
                </w:tcPr>
                <w:p>
                  <w:pPr>
                    <w:spacing w:line="240" w:lineRule="auto"/>
                    <w:ind w:firstLine="0" w:firstLineChars="0"/>
                    <w:jc w:val="center"/>
                    <w:rPr>
                      <w:sz w:val="21"/>
                      <w:szCs w:val="21"/>
                      <w:lang w:val="zh-CN"/>
                    </w:rPr>
                  </w:pPr>
                  <w:r>
                    <w:rPr>
                      <w:rFonts w:hint="eastAsia"/>
                      <w:sz w:val="21"/>
                      <w:szCs w:val="21"/>
                    </w:rPr>
                    <w:t>NH</w:t>
                  </w:r>
                  <w:r>
                    <w:rPr>
                      <w:rFonts w:hint="eastAsia"/>
                      <w:sz w:val="21"/>
                      <w:szCs w:val="21"/>
                      <w:vertAlign w:val="subscript"/>
                    </w:rPr>
                    <w:t>3</w:t>
                  </w:r>
                </w:p>
              </w:tc>
              <w:tc>
                <w:tcPr>
                  <w:tcW w:w="1465" w:type="dxa"/>
                  <w:vAlign w:val="center"/>
                </w:tcPr>
                <w:p>
                  <w:pPr>
                    <w:spacing w:line="240" w:lineRule="auto"/>
                    <w:ind w:right="46" w:rightChars="19" w:firstLine="0" w:firstLineChars="0"/>
                    <w:jc w:val="center"/>
                    <w:rPr>
                      <w:sz w:val="21"/>
                      <w:szCs w:val="21"/>
                    </w:rPr>
                  </w:pPr>
                  <w:r>
                    <w:rPr>
                      <w:rFonts w:hint="eastAsia"/>
                      <w:sz w:val="21"/>
                      <w:szCs w:val="21"/>
                    </w:rPr>
                    <w:t>0.016</w:t>
                  </w:r>
                </w:p>
              </w:tc>
              <w:tc>
                <w:tcPr>
                  <w:tcW w:w="1334" w:type="dxa"/>
                  <w:vAlign w:val="center"/>
                </w:tcPr>
                <w:p>
                  <w:pPr>
                    <w:spacing w:line="240" w:lineRule="auto"/>
                    <w:ind w:right="48" w:rightChars="20" w:firstLine="0" w:firstLineChars="0"/>
                    <w:jc w:val="center"/>
                    <w:rPr>
                      <w:sz w:val="21"/>
                      <w:szCs w:val="21"/>
                    </w:rPr>
                  </w:pPr>
                  <w:r>
                    <w:rPr>
                      <w:rFonts w:hint="eastAsia"/>
                      <w:sz w:val="21"/>
                      <w:szCs w:val="21"/>
                    </w:rPr>
                    <w:t>0.00016</w:t>
                  </w:r>
                </w:p>
              </w:tc>
              <w:tc>
                <w:tcPr>
                  <w:tcW w:w="1218" w:type="dxa"/>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0.00032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869" w:type="dxa"/>
                  <w:vMerge w:val="continue"/>
                  <w:vAlign w:val="center"/>
                </w:tcPr>
                <w:p>
                  <w:pPr>
                    <w:spacing w:line="240" w:lineRule="auto"/>
                    <w:ind w:right="48" w:rightChars="20" w:firstLine="0" w:firstLineChars="0"/>
                    <w:jc w:val="center"/>
                    <w:rPr>
                      <w:sz w:val="21"/>
                      <w:szCs w:val="21"/>
                      <w:lang w:val="zh-CN"/>
                    </w:rPr>
                  </w:pPr>
                </w:p>
              </w:tc>
              <w:tc>
                <w:tcPr>
                  <w:tcW w:w="950" w:type="dxa"/>
                  <w:vMerge w:val="continue"/>
                  <w:vAlign w:val="center"/>
                </w:tcPr>
                <w:p>
                  <w:pPr>
                    <w:spacing w:line="240" w:lineRule="auto"/>
                    <w:ind w:right="48" w:rightChars="20" w:firstLine="0" w:firstLineChars="0"/>
                    <w:jc w:val="center"/>
                    <w:rPr>
                      <w:sz w:val="21"/>
                      <w:szCs w:val="21"/>
                      <w:lang w:val="zh-CN"/>
                    </w:rPr>
                  </w:pPr>
                </w:p>
              </w:tc>
              <w:tc>
                <w:tcPr>
                  <w:tcW w:w="1017" w:type="dxa"/>
                  <w:vMerge w:val="continue"/>
                  <w:vAlign w:val="center"/>
                </w:tcPr>
                <w:p>
                  <w:pPr>
                    <w:spacing w:line="240" w:lineRule="auto"/>
                    <w:ind w:right="48" w:rightChars="20" w:firstLine="0" w:firstLineChars="0"/>
                    <w:jc w:val="center"/>
                    <w:rPr>
                      <w:sz w:val="21"/>
                      <w:szCs w:val="21"/>
                      <w:lang w:val="zh-CN"/>
                    </w:rPr>
                  </w:pPr>
                </w:p>
              </w:tc>
              <w:tc>
                <w:tcPr>
                  <w:tcW w:w="838" w:type="dxa"/>
                  <w:vMerge w:val="continue"/>
                  <w:vAlign w:val="center"/>
                </w:tcPr>
                <w:p>
                  <w:pPr>
                    <w:spacing w:line="240" w:lineRule="auto"/>
                    <w:ind w:right="48" w:rightChars="20" w:firstLine="0" w:firstLineChars="0"/>
                    <w:jc w:val="center"/>
                    <w:rPr>
                      <w:sz w:val="21"/>
                      <w:szCs w:val="21"/>
                      <w:lang w:val="zh-CN"/>
                    </w:rPr>
                  </w:pPr>
                </w:p>
              </w:tc>
              <w:tc>
                <w:tcPr>
                  <w:tcW w:w="1098" w:type="dxa"/>
                  <w:vAlign w:val="center"/>
                </w:tcPr>
                <w:p>
                  <w:pPr>
                    <w:spacing w:line="240" w:lineRule="auto"/>
                    <w:ind w:firstLine="0" w:firstLineChars="0"/>
                    <w:jc w:val="center"/>
                    <w:rPr>
                      <w:sz w:val="21"/>
                      <w:szCs w:val="21"/>
                      <w:lang w:val="zh-CN"/>
                    </w:rPr>
                  </w:pPr>
                  <w:r>
                    <w:rPr>
                      <w:rFonts w:hint="eastAsia"/>
                      <w:sz w:val="21"/>
                      <w:szCs w:val="21"/>
                    </w:rPr>
                    <w:t>H</w:t>
                  </w:r>
                  <w:r>
                    <w:rPr>
                      <w:rFonts w:hint="eastAsia"/>
                      <w:sz w:val="21"/>
                      <w:szCs w:val="21"/>
                      <w:vertAlign w:val="subscript"/>
                    </w:rPr>
                    <w:t>2</w:t>
                  </w:r>
                  <w:r>
                    <w:rPr>
                      <w:rFonts w:hint="eastAsia"/>
                      <w:sz w:val="21"/>
                      <w:szCs w:val="21"/>
                    </w:rPr>
                    <w:t>S</w:t>
                  </w:r>
                </w:p>
              </w:tc>
              <w:tc>
                <w:tcPr>
                  <w:tcW w:w="1465" w:type="dxa"/>
                  <w:vAlign w:val="center"/>
                </w:tcPr>
                <w:p>
                  <w:pPr>
                    <w:spacing w:line="240" w:lineRule="auto"/>
                    <w:ind w:right="46" w:rightChars="19" w:firstLine="0" w:firstLineChars="0"/>
                    <w:jc w:val="center"/>
                    <w:rPr>
                      <w:sz w:val="21"/>
                      <w:szCs w:val="21"/>
                    </w:rPr>
                  </w:pPr>
                  <w:r>
                    <w:rPr>
                      <w:sz w:val="21"/>
                      <w:szCs w:val="21"/>
                    </w:rPr>
                    <w:t>0.0</w:t>
                  </w:r>
                  <w:r>
                    <w:rPr>
                      <w:rFonts w:hint="eastAsia"/>
                      <w:sz w:val="21"/>
                      <w:szCs w:val="21"/>
                    </w:rPr>
                    <w:t>006</w:t>
                  </w:r>
                </w:p>
              </w:tc>
              <w:tc>
                <w:tcPr>
                  <w:tcW w:w="1334" w:type="dxa"/>
                  <w:vAlign w:val="center"/>
                </w:tcPr>
                <w:p>
                  <w:pPr>
                    <w:spacing w:line="240" w:lineRule="auto"/>
                    <w:ind w:right="48" w:rightChars="20" w:firstLine="0" w:firstLineChars="0"/>
                    <w:jc w:val="center"/>
                    <w:rPr>
                      <w:sz w:val="21"/>
                      <w:szCs w:val="21"/>
                    </w:rPr>
                  </w:pPr>
                  <w:r>
                    <w:rPr>
                      <w:sz w:val="21"/>
                      <w:szCs w:val="21"/>
                    </w:rPr>
                    <w:t>0.000006</w:t>
                  </w:r>
                </w:p>
              </w:tc>
              <w:tc>
                <w:tcPr>
                  <w:tcW w:w="1218" w:type="dxa"/>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0.000012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69" w:type="dxa"/>
                  <w:vMerge w:val="continue"/>
                  <w:vAlign w:val="center"/>
                </w:tcPr>
                <w:p>
                  <w:pPr>
                    <w:spacing w:line="240" w:lineRule="auto"/>
                    <w:ind w:right="48" w:rightChars="20" w:firstLine="0" w:firstLineChars="0"/>
                    <w:jc w:val="center"/>
                    <w:rPr>
                      <w:sz w:val="21"/>
                      <w:szCs w:val="21"/>
                      <w:lang w:val="zh-CN"/>
                    </w:rPr>
                  </w:pPr>
                </w:p>
              </w:tc>
              <w:tc>
                <w:tcPr>
                  <w:tcW w:w="950" w:type="dxa"/>
                  <w:vMerge w:val="continue"/>
                  <w:vAlign w:val="center"/>
                </w:tcPr>
                <w:p>
                  <w:pPr>
                    <w:spacing w:line="240" w:lineRule="auto"/>
                    <w:ind w:right="48" w:rightChars="20" w:firstLine="0" w:firstLineChars="0"/>
                    <w:jc w:val="center"/>
                    <w:rPr>
                      <w:sz w:val="21"/>
                      <w:szCs w:val="21"/>
                      <w:lang w:val="zh-CN"/>
                    </w:rPr>
                  </w:pPr>
                </w:p>
              </w:tc>
              <w:tc>
                <w:tcPr>
                  <w:tcW w:w="1017" w:type="dxa"/>
                  <w:vMerge w:val="continue"/>
                  <w:vAlign w:val="center"/>
                </w:tcPr>
                <w:p>
                  <w:pPr>
                    <w:spacing w:line="240" w:lineRule="auto"/>
                    <w:ind w:right="48" w:rightChars="20" w:firstLine="0" w:firstLineChars="0"/>
                    <w:jc w:val="center"/>
                    <w:rPr>
                      <w:sz w:val="21"/>
                      <w:szCs w:val="21"/>
                      <w:lang w:val="zh-CN"/>
                    </w:rPr>
                  </w:pPr>
                </w:p>
              </w:tc>
              <w:tc>
                <w:tcPr>
                  <w:tcW w:w="838" w:type="dxa"/>
                  <w:vMerge w:val="continue"/>
                  <w:vAlign w:val="center"/>
                </w:tcPr>
                <w:p>
                  <w:pPr>
                    <w:spacing w:line="240" w:lineRule="auto"/>
                    <w:ind w:right="48" w:rightChars="20" w:firstLine="0" w:firstLineChars="0"/>
                    <w:jc w:val="center"/>
                    <w:rPr>
                      <w:sz w:val="21"/>
                      <w:szCs w:val="21"/>
                      <w:lang w:val="zh-CN"/>
                    </w:rPr>
                  </w:pPr>
                </w:p>
              </w:tc>
              <w:tc>
                <w:tcPr>
                  <w:tcW w:w="1098" w:type="dxa"/>
                  <w:vAlign w:val="center"/>
                </w:tcPr>
                <w:p>
                  <w:pPr>
                    <w:spacing w:line="240" w:lineRule="auto"/>
                    <w:ind w:firstLine="0" w:firstLineChars="0"/>
                    <w:jc w:val="center"/>
                    <w:rPr>
                      <w:sz w:val="21"/>
                      <w:szCs w:val="21"/>
                    </w:rPr>
                  </w:pPr>
                  <w:r>
                    <w:rPr>
                      <w:rFonts w:hint="eastAsia"/>
                      <w:sz w:val="21"/>
                      <w:szCs w:val="21"/>
                    </w:rPr>
                    <w:t>臭气浓度</w:t>
                  </w:r>
                </w:p>
              </w:tc>
              <w:tc>
                <w:tcPr>
                  <w:tcW w:w="4017" w:type="dxa"/>
                  <w:gridSpan w:val="3"/>
                  <w:vAlign w:val="center"/>
                </w:tcPr>
                <w:p>
                  <w:pPr>
                    <w:spacing w:line="240" w:lineRule="auto"/>
                    <w:ind w:right="48" w:rightChars="20" w:firstLine="0" w:firstLineChars="0"/>
                    <w:jc w:val="center"/>
                  </w:pPr>
                  <w:r>
                    <w:rPr>
                      <w:rFonts w:hint="eastAsia"/>
                      <w:sz w:val="21"/>
                      <w:szCs w:val="21"/>
                      <w:lang w:val="zh-CN"/>
                    </w:rPr>
                    <w:t>2500（无量纲）</w:t>
                  </w:r>
                </w:p>
              </w:tc>
            </w:tr>
          </w:tbl>
          <w:p>
            <w:pPr>
              <w:ind w:left="48" w:leftChars="20" w:right="48" w:rightChars="20" w:firstLine="480"/>
              <w:rPr>
                <w:lang w:val="zh-CN"/>
              </w:rPr>
            </w:pPr>
            <w:r>
              <w:rPr>
                <w:rFonts w:hint="eastAsia"/>
                <w:lang w:val="zh-CN"/>
              </w:rPr>
              <w:t>为了避免非正常工况排污，拟采取以下措施：</w:t>
            </w:r>
          </w:p>
          <w:p>
            <w:pPr>
              <w:ind w:left="48" w:leftChars="20" w:right="48" w:rightChars="20" w:firstLine="480"/>
              <w:rPr>
                <w:lang w:val="zh-CN"/>
              </w:rPr>
            </w:pPr>
            <w:r>
              <w:rPr>
                <w:rFonts w:hint="eastAsia"/>
                <w:lang w:val="zh-CN"/>
              </w:rPr>
              <w:t>①加强日常维护管理，防微杜渐，是杜绝事故排放的前提。因此，需注重废气净化系统设备、设施的维护，使其长期保持最佳工作状况。在定期检修工程主体设备时，同时检查和维护各主要废气净化系统的正常运行。</w:t>
            </w:r>
          </w:p>
          <w:p>
            <w:pPr>
              <w:ind w:left="48" w:leftChars="20" w:right="48" w:rightChars="20" w:firstLine="480"/>
              <w:rPr>
                <w:lang w:val="zh-CN"/>
              </w:rPr>
            </w:pPr>
            <w:r>
              <w:rPr>
                <w:rFonts w:hint="eastAsia"/>
                <w:lang w:val="zh-CN"/>
              </w:rPr>
              <w:t>②一旦发现废气净化设施运行不正常时，应及时予以处理或维修，如确定短时间内不能恢复正常运行的，应立即停产检修，以避免对环境造成更大的污染影响，待废气处理设施运行正常后恢复生产。</w:t>
            </w:r>
          </w:p>
          <w:p>
            <w:pPr>
              <w:ind w:left="48" w:leftChars="20" w:right="48" w:rightChars="20" w:firstLine="480"/>
              <w:rPr>
                <w:lang w:val="zh-CN"/>
              </w:rPr>
            </w:pPr>
            <w:r>
              <w:rPr>
                <w:rFonts w:hint="eastAsia"/>
                <w:lang w:val="zh-CN"/>
              </w:rPr>
              <w:t>（10）废气环境影响结论</w:t>
            </w:r>
          </w:p>
          <w:p>
            <w:pPr>
              <w:ind w:left="48" w:leftChars="20" w:right="48" w:rightChars="20" w:firstLine="480"/>
              <w:rPr>
                <w:lang w:val="zh-CN"/>
              </w:rPr>
            </w:pPr>
            <w:r>
              <w:rPr>
                <w:rFonts w:hint="eastAsia"/>
                <w:lang w:val="zh-CN"/>
              </w:rPr>
              <w:t>项目区域为环境空气质量不达标区，项目距离最近敏感点傲湖小区居民楼10m，医院煎药室和污水处理间运行过程产生的废气经</w:t>
            </w:r>
            <w:r>
              <w:rPr>
                <w:rFonts w:hint="eastAsia"/>
              </w:rPr>
              <w:t>两级活性炭吸附装置处理，属于可行性技术。根据源强核算：项目污染物排放均可达到相应的排放标准，项目建设对周边大气环境和环境保护目标的影响较小，本项目大气环境影响可接受。</w:t>
            </w:r>
          </w:p>
          <w:p>
            <w:pPr>
              <w:ind w:right="46" w:rightChars="19" w:firstLine="0" w:firstLineChars="0"/>
              <w:jc w:val="left"/>
              <w:rPr>
                <w:b/>
              </w:rPr>
            </w:pPr>
            <w:r>
              <w:rPr>
                <w:rFonts w:hint="eastAsia"/>
                <w:b/>
              </w:rPr>
              <w:t>2、地表水环境影响分析</w:t>
            </w:r>
          </w:p>
          <w:p>
            <w:pPr>
              <w:ind w:left="48" w:leftChars="20" w:right="48" w:rightChars="20" w:firstLine="480"/>
            </w:pPr>
            <w:r>
              <w:rPr>
                <w:rFonts w:hint="eastAsia"/>
              </w:rPr>
              <w:t>（1）废水污染源源强</w:t>
            </w:r>
          </w:p>
          <w:p>
            <w:pPr>
              <w:ind w:left="48" w:leftChars="20" w:right="48" w:rightChars="20" w:firstLine="480"/>
            </w:pPr>
            <w:bookmarkStart w:id="14" w:name="OLE_LINK34"/>
            <w:bookmarkStart w:id="15" w:name="OLE_LINK35"/>
            <w:r>
              <w:rPr>
                <w:rFonts w:hint="eastAsia"/>
              </w:rPr>
              <w:t>本项目</w:t>
            </w:r>
            <w:bookmarkEnd w:id="14"/>
            <w:bookmarkEnd w:id="15"/>
            <w:r>
              <w:rPr>
                <w:rFonts w:hint="eastAsia"/>
              </w:rPr>
              <w:t>产生的废水主要有病房患者排放的生活污水、门诊患者排放的生活污水、医务人员排放的生活污水、</w:t>
            </w:r>
            <w:bookmarkStart w:id="16" w:name="OLE_LINK36"/>
            <w:bookmarkStart w:id="17" w:name="OLE_LINK37"/>
            <w:r>
              <w:rPr>
                <w:rFonts w:hint="eastAsia"/>
              </w:rPr>
              <w:t>检验仪器清洗废水</w:t>
            </w:r>
            <w:bookmarkEnd w:id="16"/>
            <w:bookmarkEnd w:id="17"/>
            <w:r>
              <w:rPr>
                <w:rFonts w:hint="eastAsia"/>
              </w:rPr>
              <w:t>、煎药设备清洗废水、空调冷却系统排污水、软水制备系统排污水，废水总产生量为11.75m</w:t>
            </w:r>
            <w:r>
              <w:rPr>
                <w:rFonts w:hint="eastAsia"/>
                <w:vertAlign w:val="superscript"/>
              </w:rPr>
              <w:t>3</w:t>
            </w:r>
            <w:r>
              <w:rPr>
                <w:rFonts w:hint="eastAsia"/>
              </w:rPr>
              <w:t>/d。</w:t>
            </w:r>
          </w:p>
          <w:p>
            <w:pPr>
              <w:ind w:firstLine="480"/>
            </w:pPr>
            <w:r>
              <w:rPr>
                <w:rFonts w:hint="eastAsia"/>
              </w:rPr>
              <w:t>①一般医疗废水</w:t>
            </w:r>
          </w:p>
          <w:p>
            <w:pPr>
              <w:ind w:firstLine="480"/>
            </w:pPr>
            <w:r>
              <w:rPr>
                <w:rFonts w:hint="eastAsia"/>
              </w:rPr>
              <w:t>病房患者排放的生活污水、门诊患者排放的生活污水、医务人员排放的生活污水均属于一般医疗废水，</w:t>
            </w:r>
            <w:r>
              <w:t>其主要污染物为pH、COD、BOD</w:t>
            </w:r>
            <w:r>
              <w:rPr>
                <w:vertAlign w:val="subscript"/>
              </w:rPr>
              <w:t>5</w:t>
            </w:r>
            <w:r>
              <w:t>、NH</w:t>
            </w:r>
            <w:r>
              <w:rPr>
                <w:vertAlign w:val="subscript"/>
              </w:rPr>
              <w:t>3</w:t>
            </w:r>
            <w:r>
              <w:t>-N、SS 等，与常见生活污水相似，一般医疗废水</w:t>
            </w:r>
            <w:r>
              <w:rPr>
                <w:rFonts w:hint="eastAsia"/>
              </w:rPr>
              <w:t>产生</w:t>
            </w:r>
            <w:r>
              <w:t>量</w:t>
            </w:r>
            <w:r>
              <w:rPr>
                <w:rFonts w:hint="eastAsia"/>
              </w:rPr>
              <w:t>10.34</w:t>
            </w:r>
            <w:r>
              <w:t>m</w:t>
            </w:r>
            <w:r>
              <w:rPr>
                <w:vertAlign w:val="superscript"/>
              </w:rPr>
              <w:t>3</w:t>
            </w:r>
            <w:r>
              <w:t>/d，废水经化粪池</w:t>
            </w:r>
            <w:r>
              <w:rPr>
                <w:rFonts w:hint="eastAsia"/>
              </w:rPr>
              <w:t>和医院</w:t>
            </w:r>
            <w:r>
              <w:t>污水处理</w:t>
            </w:r>
            <w:r>
              <w:rPr>
                <w:rFonts w:hint="eastAsia"/>
              </w:rPr>
              <w:t>设备处理后</w:t>
            </w:r>
            <w:r>
              <w:t>，最终进入</w:t>
            </w:r>
            <w:r>
              <w:rPr>
                <w:rFonts w:hint="eastAsia"/>
              </w:rPr>
              <w:t>石家庄高新区污水处理厂进一步处理</w:t>
            </w:r>
            <w:r>
              <w:t>。</w:t>
            </w:r>
          </w:p>
          <w:p>
            <w:pPr>
              <w:ind w:firstLine="480"/>
              <w:rPr>
                <w:szCs w:val="21"/>
              </w:rPr>
            </w:pPr>
            <w:r>
              <w:rPr>
                <w:rFonts w:hint="eastAsia"/>
              </w:rPr>
              <w:t>参考《医院污水处理工程技术规范》（HJ2029-2013）：医院污水指医院门诊、病房、手术室、各类检验室、病理解剖室、放射室、洗衣房、太平间等处排出的诊疗、生活及粪便污水。当办公、食堂、宿舍等排水与上述污水混合排出时亦视为医院污水，医院污水水质：COD浓度150～300mg/L，BOD</w:t>
            </w:r>
            <w:r>
              <w:rPr>
                <w:rFonts w:hint="eastAsia"/>
                <w:vertAlign w:val="subscript"/>
              </w:rPr>
              <w:t>5</w:t>
            </w:r>
            <w:r>
              <w:rPr>
                <w:rFonts w:hint="eastAsia"/>
              </w:rPr>
              <w:t>浓度80～150mg/L，SS浓度40～120mg/L，氨氮浓度10～50mg/L，</w:t>
            </w:r>
            <w:r>
              <w:rPr>
                <w:rFonts w:hint="eastAsia"/>
                <w:szCs w:val="21"/>
              </w:rPr>
              <w:t>本次环评按最大浓度计；废水中其余污染因子pH、TP、TN、LAS、粪大肠菌群数类比一般生活污水水质。综上，本项目</w:t>
            </w:r>
            <w:r>
              <w:rPr>
                <w:rFonts w:hint="eastAsia"/>
              </w:rPr>
              <w:t>一般医疗废水污染物浓度为：</w:t>
            </w:r>
            <w:bookmarkStart w:id="18" w:name="OLE_LINK29"/>
            <w:bookmarkStart w:id="19" w:name="OLE_LINK30"/>
            <w:r>
              <w:rPr>
                <w:rFonts w:hint="eastAsia"/>
                <w:szCs w:val="21"/>
              </w:rPr>
              <w:t>pH6～9，</w:t>
            </w:r>
            <w:r>
              <w:rPr>
                <w:rFonts w:hint="eastAsia"/>
              </w:rPr>
              <w:t>COD300mg/L，BOD</w:t>
            </w:r>
            <w:r>
              <w:rPr>
                <w:rFonts w:hint="eastAsia"/>
                <w:vertAlign w:val="subscript"/>
              </w:rPr>
              <w:t>5</w:t>
            </w:r>
            <w:r>
              <w:rPr>
                <w:rFonts w:hint="eastAsia"/>
              </w:rPr>
              <w:t>150mg/L，SS120mg/L，氨氮50mg/L</w:t>
            </w:r>
            <w:bookmarkEnd w:id="18"/>
            <w:bookmarkEnd w:id="19"/>
            <w:r>
              <w:rPr>
                <w:rFonts w:hint="eastAsia"/>
              </w:rPr>
              <w:t>，粪大肠菌群数</w:t>
            </w:r>
            <w:r>
              <w:rPr>
                <w:szCs w:val="21"/>
              </w:rPr>
              <w:t>3.0</w:t>
            </w:r>
            <w:r>
              <w:rPr>
                <w:rFonts w:hint="eastAsia"/>
                <w:szCs w:val="21"/>
              </w:rPr>
              <w:t>×10</w:t>
            </w:r>
            <w:r>
              <w:rPr>
                <w:rFonts w:hint="eastAsia"/>
                <w:szCs w:val="21"/>
                <w:vertAlign w:val="superscript"/>
              </w:rPr>
              <w:t>6</w:t>
            </w:r>
            <w:r>
              <w:rPr>
                <w:rFonts w:hint="eastAsia"/>
                <w:szCs w:val="21"/>
              </w:rPr>
              <w:t>MPN/L，TP8</w:t>
            </w:r>
            <w:r>
              <w:rPr>
                <w:rFonts w:hint="eastAsia"/>
              </w:rPr>
              <w:t>mg/L，TN70mg/L，LAS15mg/L</w:t>
            </w:r>
            <w:r>
              <w:rPr>
                <w:rFonts w:hint="eastAsia"/>
                <w:szCs w:val="21"/>
              </w:rPr>
              <w:t>。</w:t>
            </w:r>
          </w:p>
          <w:p>
            <w:pPr>
              <w:ind w:firstLine="480"/>
            </w:pPr>
            <w:r>
              <w:rPr>
                <w:rFonts w:hint="eastAsia"/>
              </w:rPr>
              <w:t>②检验仪器清洗废水</w:t>
            </w:r>
          </w:p>
          <w:p>
            <w:pPr>
              <w:ind w:firstLine="480"/>
            </w:pPr>
            <w:r>
              <w:rPr>
                <w:rFonts w:hint="eastAsia"/>
              </w:rPr>
              <w:t>医院检验科化验过程中使用外购的成品试剂盒，不配置试验药剂，不使用挥发性有机溶剂，检验科产生的废水为检验仪器清洗废水，废水产生量为0.27</w:t>
            </w:r>
            <w:r>
              <w:t>m</w:t>
            </w:r>
            <w:r>
              <w:rPr>
                <w:vertAlign w:val="superscript"/>
              </w:rPr>
              <w:t>3</w:t>
            </w:r>
            <w:r>
              <w:t>/d，</w:t>
            </w:r>
            <w:r>
              <w:rPr>
                <w:rFonts w:hint="eastAsia"/>
              </w:rPr>
              <w:t>废水经酸碱中和池预处理后与其他废水共同</w:t>
            </w:r>
            <w:r>
              <w:t>经化粪池</w:t>
            </w:r>
            <w:r>
              <w:rPr>
                <w:rFonts w:hint="eastAsia"/>
              </w:rPr>
              <w:t>和医院</w:t>
            </w:r>
            <w:r>
              <w:t>污水处理</w:t>
            </w:r>
            <w:r>
              <w:rPr>
                <w:rFonts w:hint="eastAsia"/>
              </w:rPr>
              <w:t>设备处理后</w:t>
            </w:r>
            <w:r>
              <w:t>，最终进入</w:t>
            </w:r>
            <w:r>
              <w:rPr>
                <w:rFonts w:hint="eastAsia"/>
              </w:rPr>
              <w:t>石家庄高新区污水处理厂进一步处理</w:t>
            </w:r>
            <w:r>
              <w:t>。</w:t>
            </w:r>
          </w:p>
          <w:p>
            <w:pPr>
              <w:ind w:firstLine="480"/>
            </w:pPr>
            <w:r>
              <w:rPr>
                <w:rFonts w:hint="eastAsia"/>
              </w:rPr>
              <w:t>参考《医院污水处理工程技术规范》（HJ2029-2013）中的医院</w:t>
            </w:r>
            <w:r>
              <w:t>污水</w:t>
            </w:r>
            <w:r>
              <w:rPr>
                <w:rFonts w:hint="eastAsia"/>
              </w:rPr>
              <w:t>水质浓度最大值及其他医院检验科检验设备清洗废水水质情况，本项目检验仪器清洗废水污染物浓度为：</w:t>
            </w:r>
            <w:r>
              <w:rPr>
                <w:rFonts w:hint="eastAsia"/>
                <w:szCs w:val="21"/>
              </w:rPr>
              <w:t>pH6～9，</w:t>
            </w:r>
            <w:r>
              <w:rPr>
                <w:rFonts w:hint="eastAsia"/>
              </w:rPr>
              <w:t>COD300mg/L，BOD</w:t>
            </w:r>
            <w:r>
              <w:rPr>
                <w:rFonts w:hint="eastAsia"/>
                <w:vertAlign w:val="subscript"/>
              </w:rPr>
              <w:t>5</w:t>
            </w:r>
            <w:r>
              <w:rPr>
                <w:rFonts w:hint="eastAsia"/>
              </w:rPr>
              <w:t>150mg/L，SS120mg/L，氨氮50</w:t>
            </w:r>
            <w:bookmarkStart w:id="20" w:name="OLE_LINK31"/>
            <w:bookmarkStart w:id="21" w:name="OLE_LINK32"/>
            <w:r>
              <w:rPr>
                <w:rFonts w:hint="eastAsia"/>
              </w:rPr>
              <w:t>mg/L</w:t>
            </w:r>
            <w:bookmarkEnd w:id="20"/>
            <w:bookmarkEnd w:id="21"/>
            <w:r>
              <w:rPr>
                <w:rFonts w:hint="eastAsia"/>
              </w:rPr>
              <w:t>，粪大肠菌群数</w:t>
            </w:r>
            <w:r>
              <w:rPr>
                <w:szCs w:val="21"/>
              </w:rPr>
              <w:t>3.0</w:t>
            </w:r>
            <w:r>
              <w:rPr>
                <w:rFonts w:hint="eastAsia"/>
                <w:szCs w:val="21"/>
              </w:rPr>
              <w:t>×10</w:t>
            </w:r>
            <w:r>
              <w:rPr>
                <w:rFonts w:hint="eastAsia"/>
                <w:szCs w:val="21"/>
                <w:vertAlign w:val="superscript"/>
              </w:rPr>
              <w:t>6</w:t>
            </w:r>
            <w:r>
              <w:rPr>
                <w:rFonts w:hint="eastAsia"/>
                <w:szCs w:val="21"/>
              </w:rPr>
              <w:t>MPN/L，TP8</w:t>
            </w:r>
            <w:r>
              <w:rPr>
                <w:rFonts w:hint="eastAsia"/>
              </w:rPr>
              <w:t>mg/L，TN70mg/L，LAS15mg/L，挥发酚2mg/L</w:t>
            </w:r>
            <w:r>
              <w:rPr>
                <w:rFonts w:hint="eastAsia"/>
                <w:szCs w:val="21"/>
              </w:rPr>
              <w:t>。</w:t>
            </w:r>
          </w:p>
          <w:p>
            <w:pPr>
              <w:ind w:left="48" w:leftChars="20" w:right="48" w:rightChars="20" w:firstLine="480"/>
            </w:pPr>
            <w:r>
              <w:rPr>
                <w:rFonts w:hint="eastAsia"/>
              </w:rPr>
              <w:t>③煎药设备清洗废水</w:t>
            </w:r>
          </w:p>
          <w:p>
            <w:pPr>
              <w:ind w:left="48" w:leftChars="20" w:right="48" w:rightChars="20" w:firstLine="480"/>
            </w:pPr>
            <w:r>
              <w:rPr>
                <w:rFonts w:hint="eastAsia"/>
              </w:rPr>
              <w:t>中药煎煮用水全部挥发或进入药液，不产生废水，煎药室产生的废水主要为煎药设备清洗废水，</w:t>
            </w:r>
            <w:r>
              <w:t>废水</w:t>
            </w:r>
            <w:r>
              <w:rPr>
                <w:rFonts w:hint="eastAsia"/>
              </w:rPr>
              <w:t>产生</w:t>
            </w:r>
            <w:r>
              <w:t>量</w:t>
            </w:r>
            <w:r>
              <w:rPr>
                <w:rFonts w:hint="eastAsia"/>
              </w:rPr>
              <w:t>0.45</w:t>
            </w:r>
            <w:r>
              <w:t>m</w:t>
            </w:r>
            <w:r>
              <w:rPr>
                <w:vertAlign w:val="superscript"/>
              </w:rPr>
              <w:t>3</w:t>
            </w:r>
            <w:r>
              <w:t>/d，废水经化粪池</w:t>
            </w:r>
            <w:r>
              <w:rPr>
                <w:rFonts w:hint="eastAsia"/>
              </w:rPr>
              <w:t>和医院</w:t>
            </w:r>
            <w:r>
              <w:t>污水处理</w:t>
            </w:r>
            <w:r>
              <w:rPr>
                <w:rFonts w:hint="eastAsia"/>
              </w:rPr>
              <w:t>设备处理后</w:t>
            </w:r>
            <w:r>
              <w:t>，进入</w:t>
            </w:r>
            <w:r>
              <w:rPr>
                <w:rFonts w:hint="eastAsia"/>
              </w:rPr>
              <w:t>石家庄高新区污水处理厂进一步处理</w:t>
            </w:r>
            <w:r>
              <w:t>。</w:t>
            </w:r>
          </w:p>
          <w:p>
            <w:pPr>
              <w:ind w:left="48" w:leftChars="20" w:right="48" w:rightChars="20" w:firstLine="480"/>
            </w:pPr>
            <w:r>
              <w:rPr>
                <w:rFonts w:hint="eastAsia"/>
              </w:rPr>
              <w:t>参考《环境工程技术手册 废水污染控制技术手册》（化学工业出版社）中的中成药制剂过程（煮提与制剂、设备清洗、醇提及渗漉药渣清洗等）的废水污染物浓度，COD浓度1700～2000mg/L，BOD</w:t>
            </w:r>
            <w:r>
              <w:rPr>
                <w:rFonts w:hint="eastAsia"/>
                <w:vertAlign w:val="subscript"/>
              </w:rPr>
              <w:t>5</w:t>
            </w:r>
            <w:r>
              <w:rPr>
                <w:rFonts w:hint="eastAsia"/>
              </w:rPr>
              <w:t>浓度800mg/L，SS浓度100～500mg/L，氨氮浓度2～50mg/L，本项目中药煎药设备清洗废水污染物浓度按最大浓度计</w:t>
            </w:r>
            <w:r>
              <w:rPr>
                <w:rFonts w:hint="eastAsia"/>
                <w:szCs w:val="21"/>
              </w:rPr>
              <w:t>；废水中其余污染因子pH、TP、TN、LAS浓度类比其他医疗机构煎药废水水质。</w:t>
            </w:r>
            <w:r>
              <w:rPr>
                <w:rFonts w:hint="eastAsia"/>
              </w:rPr>
              <w:t>则本项目中药煎药废水污染物浓度：</w:t>
            </w:r>
            <w:r>
              <w:rPr>
                <w:rFonts w:hint="eastAsia"/>
                <w:szCs w:val="21"/>
              </w:rPr>
              <w:t>pH6～9，</w:t>
            </w:r>
            <w:r>
              <w:rPr>
                <w:rFonts w:hint="eastAsia"/>
              </w:rPr>
              <w:t>COD2000mg/L，BOD</w:t>
            </w:r>
            <w:r>
              <w:rPr>
                <w:rFonts w:hint="eastAsia"/>
                <w:vertAlign w:val="subscript"/>
              </w:rPr>
              <w:t>5</w:t>
            </w:r>
            <w:r>
              <w:rPr>
                <w:rFonts w:hint="eastAsia"/>
              </w:rPr>
              <w:t>800mg/L，SS500mg/L，氨氮50mg/L，</w:t>
            </w:r>
            <w:r>
              <w:rPr>
                <w:rFonts w:hint="eastAsia"/>
                <w:szCs w:val="21"/>
              </w:rPr>
              <w:t>TP8</w:t>
            </w:r>
            <w:r>
              <w:rPr>
                <w:rFonts w:hint="eastAsia"/>
              </w:rPr>
              <w:t>mg/L，TN70mg/L，LAS8mg/L。</w:t>
            </w:r>
          </w:p>
          <w:p>
            <w:pPr>
              <w:ind w:left="48" w:leftChars="20" w:right="48" w:rightChars="20" w:firstLine="480"/>
            </w:pPr>
            <w:r>
              <w:rPr>
                <w:rFonts w:hint="eastAsia"/>
              </w:rPr>
              <w:t>④空调冷却系统排污水</w:t>
            </w:r>
          </w:p>
          <w:p>
            <w:pPr>
              <w:ind w:firstLine="480"/>
              <w:rPr>
                <w:lang w:bidi="ar"/>
              </w:rPr>
            </w:pPr>
            <w:r>
              <w:rPr>
                <w:kern w:val="0"/>
              </w:rPr>
              <w:t>根据《工业循环冷却水处理设计规范》（GB/T50050-2017），冷却水水质需满足相应水质要</w:t>
            </w:r>
            <w:r>
              <w:t>求，其中 COD≤150mg/L、浊度≤20NTU（浊度数值约为SS的1/2）。</w:t>
            </w:r>
          </w:p>
          <w:p>
            <w:pPr>
              <w:ind w:left="48" w:leftChars="20" w:right="48" w:rightChars="20" w:firstLine="480"/>
            </w:pPr>
            <w:r>
              <w:rPr>
                <w:rFonts w:hint="eastAsia"/>
              </w:rPr>
              <w:t>空调冷却系统排污水量为0.5</w:t>
            </w:r>
            <w:r>
              <w:rPr>
                <w:rFonts w:hint="eastAsia"/>
                <w:bCs/>
              </w:rPr>
              <w:t>m</w:t>
            </w:r>
            <w:r>
              <w:rPr>
                <w:rFonts w:hint="eastAsia"/>
                <w:bCs/>
                <w:vertAlign w:val="superscript"/>
              </w:rPr>
              <w:t>3</w:t>
            </w:r>
            <w:r>
              <w:rPr>
                <w:rFonts w:hint="eastAsia"/>
                <w:bCs/>
              </w:rPr>
              <w:t>/d，</w:t>
            </w:r>
            <w:r>
              <w:rPr>
                <w:rFonts w:hint="eastAsia"/>
              </w:rPr>
              <w:t>主要污染因子pH、COD、SS，COD、SS产生浓度取冷却水水质的上限，分别为150mg/L、40mg/L；类比其他企业空调冷却系统排污水监测结果，pH7.5-8。</w:t>
            </w:r>
            <w:r>
              <w:t>废水经化粪池</w:t>
            </w:r>
            <w:r>
              <w:rPr>
                <w:rFonts w:hint="eastAsia"/>
              </w:rPr>
              <w:t>和医院</w:t>
            </w:r>
            <w:r>
              <w:t>污水处理</w:t>
            </w:r>
            <w:r>
              <w:rPr>
                <w:rFonts w:hint="eastAsia"/>
              </w:rPr>
              <w:t>设备处理后</w:t>
            </w:r>
            <w:r>
              <w:t>，进入</w:t>
            </w:r>
            <w:r>
              <w:rPr>
                <w:rFonts w:hint="eastAsia"/>
              </w:rPr>
              <w:t>石家庄高新区污水处理厂进一步处理</w:t>
            </w:r>
            <w:r>
              <w:t>。</w:t>
            </w:r>
          </w:p>
          <w:p>
            <w:pPr>
              <w:ind w:left="48" w:leftChars="20" w:right="48" w:rightChars="20" w:firstLine="480"/>
            </w:pPr>
            <w:r>
              <w:rPr>
                <w:rFonts w:hint="eastAsia"/>
              </w:rPr>
              <w:t>⑤软水制备系统排污水</w:t>
            </w:r>
          </w:p>
          <w:p>
            <w:pPr>
              <w:ind w:left="48" w:leftChars="20" w:right="48" w:rightChars="20" w:firstLine="480"/>
              <w:rPr>
                <w:vertAlign w:val="superscript"/>
              </w:rPr>
            </w:pPr>
            <w:r>
              <w:rPr>
                <w:rFonts w:hint="eastAsia"/>
              </w:rPr>
              <w:t>本项目软水制备系统排污水量为0.19</w:t>
            </w:r>
            <w:r>
              <w:rPr>
                <w:rFonts w:hint="eastAsia"/>
                <w:bCs/>
              </w:rPr>
              <w:t>m</w:t>
            </w:r>
            <w:r>
              <w:rPr>
                <w:rFonts w:hint="eastAsia"/>
                <w:bCs/>
                <w:vertAlign w:val="superscript"/>
              </w:rPr>
              <w:t>3</w:t>
            </w:r>
            <w:r>
              <w:rPr>
                <w:rFonts w:hint="eastAsia"/>
                <w:bCs/>
              </w:rPr>
              <w:t>/d，包含软水制备浓水及软水制备设备反冲洗排水，参考相同工艺的软水制备设备排水水质情况，软水制备排水浓度为：pH7、</w:t>
            </w:r>
            <w:r>
              <w:rPr>
                <w:bCs/>
              </w:rPr>
              <w:t>COD</w:t>
            </w:r>
            <w:r>
              <w:rPr>
                <w:rFonts w:hint="eastAsia"/>
                <w:bCs/>
              </w:rPr>
              <w:t>50</w:t>
            </w:r>
            <w:r>
              <w:rPr>
                <w:bCs/>
              </w:rPr>
              <w:t>mg/L</w:t>
            </w:r>
            <w:r>
              <w:rPr>
                <w:rFonts w:hint="eastAsia"/>
                <w:bCs/>
              </w:rPr>
              <w:t>、</w:t>
            </w:r>
            <w:r>
              <w:rPr>
                <w:bCs/>
              </w:rPr>
              <w:t>BOD</w:t>
            </w:r>
            <w:r>
              <w:rPr>
                <w:bCs/>
                <w:vertAlign w:val="subscript"/>
              </w:rPr>
              <w:t>5</w:t>
            </w:r>
            <w:r>
              <w:rPr>
                <w:rFonts w:hint="eastAsia"/>
                <w:bCs/>
              </w:rPr>
              <w:t>20</w:t>
            </w:r>
            <w:r>
              <w:rPr>
                <w:bCs/>
              </w:rPr>
              <w:t>mg/L</w:t>
            </w:r>
            <w:r>
              <w:rPr>
                <w:rFonts w:hint="eastAsia"/>
                <w:bCs/>
              </w:rPr>
              <w:t>、氨氮0.5</w:t>
            </w:r>
            <w:r>
              <w:rPr>
                <w:bCs/>
              </w:rPr>
              <w:t>mg/L</w:t>
            </w:r>
            <w:r>
              <w:rPr>
                <w:rFonts w:hint="eastAsia"/>
                <w:bCs/>
              </w:rPr>
              <w:t>、SS15</w:t>
            </w:r>
            <w:r>
              <w:rPr>
                <w:bCs/>
              </w:rPr>
              <w:t>mg/L</w:t>
            </w:r>
            <w:r>
              <w:rPr>
                <w:rFonts w:hint="eastAsia"/>
                <w:bCs/>
              </w:rPr>
              <w:t>。</w:t>
            </w:r>
            <w:r>
              <w:t>废水经化粪池</w:t>
            </w:r>
            <w:r>
              <w:rPr>
                <w:rFonts w:hint="eastAsia"/>
              </w:rPr>
              <w:t>和医院</w:t>
            </w:r>
            <w:r>
              <w:t>污水处理</w:t>
            </w:r>
            <w:r>
              <w:rPr>
                <w:rFonts w:hint="eastAsia"/>
              </w:rPr>
              <w:t>设备处理后</w:t>
            </w:r>
            <w:r>
              <w:t>，进入</w:t>
            </w:r>
            <w:r>
              <w:rPr>
                <w:rFonts w:hint="eastAsia"/>
              </w:rPr>
              <w:t>石家庄高新区污水处理厂进一步处理</w:t>
            </w:r>
            <w:r>
              <w:t>。</w:t>
            </w:r>
          </w:p>
          <w:p>
            <w:pPr>
              <w:adjustRightInd w:val="0"/>
              <w:snapToGrid w:val="0"/>
              <w:spacing w:line="480" w:lineRule="exact"/>
              <w:ind w:left="12" w:leftChars="5" w:right="12" w:rightChars="5" w:firstLine="480"/>
              <w:jc w:val="left"/>
              <w:rPr>
                <w:szCs w:val="21"/>
                <w:lang w:bidi="ar"/>
              </w:rPr>
            </w:pPr>
            <w:r>
              <w:rPr>
                <w:rFonts w:hint="eastAsia"/>
                <w:szCs w:val="21"/>
                <w:lang w:bidi="ar"/>
              </w:rPr>
              <w:t>（2）污水处理工艺</w:t>
            </w:r>
          </w:p>
          <w:p>
            <w:pPr>
              <w:adjustRightInd w:val="0"/>
              <w:snapToGrid w:val="0"/>
              <w:spacing w:line="480" w:lineRule="exact"/>
              <w:ind w:left="12" w:leftChars="5" w:right="12" w:rightChars="5" w:firstLine="480"/>
              <w:jc w:val="left"/>
            </w:pPr>
            <w:r>
              <w:rPr>
                <w:rFonts w:hint="eastAsia"/>
              </w:rPr>
              <w:t>本项目检验仪器清洗废水先进行酸碱中和预处理，再与其他废水共同经化粪池+污水处理系统处理。医院一楼建设有一座污水处理间，内设污水处理设备，污水处理规模20m</w:t>
            </w:r>
            <w:r>
              <w:rPr>
                <w:rFonts w:hint="eastAsia"/>
                <w:vertAlign w:val="superscript"/>
              </w:rPr>
              <w:t>3</w:t>
            </w:r>
            <w:r>
              <w:rPr>
                <w:rFonts w:hint="eastAsia"/>
              </w:rPr>
              <w:t>/d，采用“格栅+调节池+水解酸化+二级接触氧化+好氧+MBR膜处理+沉淀+NaClO消毒”</w:t>
            </w:r>
            <w:r>
              <w:t xml:space="preserve"> 工艺</w:t>
            </w:r>
            <w:r>
              <w:rPr>
                <w:rFonts w:hint="eastAsia"/>
              </w:rPr>
              <w:t>，设有固定式格栅、1座地下碳钢结构调节池，1座地上碳钢结构一体化污水处理池体（含水解酸化池、二级接触氧化池、好氧池、MBR膜、沉淀消毒池、污泥池、过滤器）及配套消毒、电控设备，设计进水指标：</w:t>
            </w:r>
            <w:r>
              <w:t>COD</w:t>
            </w:r>
            <w:r>
              <w:rPr>
                <w:rFonts w:hint="eastAsia"/>
              </w:rPr>
              <w:t>：450</w:t>
            </w:r>
            <w:r>
              <w:t>mg/L</w:t>
            </w:r>
            <w:r>
              <w:rPr>
                <w:rFonts w:hint="eastAsia"/>
              </w:rPr>
              <w:t>、</w:t>
            </w:r>
            <w:r>
              <w:t>BOD</w:t>
            </w:r>
            <w:r>
              <w:rPr>
                <w:vertAlign w:val="subscript"/>
              </w:rPr>
              <w:t>5</w:t>
            </w:r>
            <w:r>
              <w:rPr>
                <w:rFonts w:hint="eastAsia"/>
              </w:rPr>
              <w:t>：350</w:t>
            </w:r>
            <w:r>
              <w:t>mg/L</w:t>
            </w:r>
            <w:r>
              <w:rPr>
                <w:rFonts w:hint="eastAsia"/>
              </w:rPr>
              <w:t>、</w:t>
            </w:r>
            <w:r>
              <w:t>SS</w:t>
            </w:r>
            <w:r>
              <w:rPr>
                <w:rFonts w:hint="eastAsia"/>
              </w:rPr>
              <w:t>：200</w:t>
            </w:r>
            <w:r>
              <w:t>mg/L</w:t>
            </w:r>
            <w:r>
              <w:rPr>
                <w:rFonts w:hint="eastAsia"/>
              </w:rPr>
              <w:t>、</w:t>
            </w:r>
            <w:r>
              <w:t>NH</w:t>
            </w:r>
            <w:r>
              <w:rPr>
                <w:vertAlign w:val="subscript"/>
              </w:rPr>
              <w:t>3</w:t>
            </w:r>
            <w:r>
              <w:t>-N</w:t>
            </w:r>
            <w:r>
              <w:rPr>
                <w:rFonts w:hint="eastAsia"/>
              </w:rPr>
              <w:t>：50</w:t>
            </w:r>
            <w:r>
              <w:t>mg/L</w:t>
            </w:r>
            <w:r>
              <w:rPr>
                <w:rFonts w:hint="eastAsia"/>
              </w:rPr>
              <w:t>。</w:t>
            </w:r>
          </w:p>
          <w:p>
            <w:pPr>
              <w:adjustRightInd w:val="0"/>
              <w:snapToGrid w:val="0"/>
              <w:ind w:left="12" w:leftChars="5" w:right="12" w:rightChars="5" w:firstLine="480"/>
              <w:jc w:val="left"/>
            </w:pPr>
            <w:r>
              <w:rPr>
                <w:rFonts w:hint="eastAsia"/>
              </w:rPr>
              <w:t>病房患者排放的生活污水、门诊患者排放的生活污水、医务人员排放的生活污水、检验仪器清洗废水、煎药设备清洗废水、空调冷却系统排污水、软水制备系统排污水经管道排入调节池均质水质水量，进入调节池前先经过格栅，去除水中漂浮物和大颗粒悬浮杂质，保证后续污水处理设施正常运行，调节出水经提升泵提升进入一体化污水处理设备中的水解酸化池，水解酸化池内水解酸化菌对废水进行酸化处理，从而提高废水的可生化性，水解酸化池出水进入二级接触氧化池，污水在池内通过各类微生物在不同阶段的生化降解、转化作用将水中的含氮物质最终转化为N</w:t>
            </w:r>
            <w:r>
              <w:rPr>
                <w:rFonts w:hint="eastAsia"/>
                <w:vertAlign w:val="subscript"/>
              </w:rPr>
              <w:t>2</w:t>
            </w:r>
            <w:r>
              <w:rPr>
                <w:rFonts w:hint="eastAsia"/>
              </w:rPr>
              <w:t>排出，并同时降解、转化、去除部分其他有机物。二级接触氧化池出水进入好氧池，污水在好氧池内进行有机物的生物氧化、有机氮的氨化及氨氮的硝化等生化反应。好氧池出水进入MBR膜池，膜组件上的活性微生物与污水充分接触，不断氧化水中剩余可被降解的有机物，不能被降解的有机物、无机物和活性污泥、悬浮物、胶体等被膜组件固液分离截留。MBR膜池出水进入沉淀池，向池内投加次氯酸钠溶液对污水进行消毒，处理后污水能够满足《医疗机构水污染物排放标准》(GB18466-2005)表2预处理标准和与石家庄高新技术产业开发区供水排水公司污水排放协议中要求，经市政排水管网</w:t>
            </w:r>
            <w:r>
              <w:rPr>
                <w:rFonts w:hint="eastAsia"/>
                <w:lang w:val="en-GB"/>
              </w:rPr>
              <w:t>排入石家庄高新区污水处理厂</w:t>
            </w:r>
            <w:r>
              <w:rPr>
                <w:rFonts w:hint="eastAsia" w:hAnsi="宋体"/>
                <w:kern w:val="0"/>
              </w:rPr>
              <w:t>进一步处理</w:t>
            </w:r>
            <w:r>
              <w:rPr>
                <w:rFonts w:hint="eastAsia"/>
              </w:rPr>
              <w:t>。</w:t>
            </w:r>
          </w:p>
          <w:p>
            <w:pPr>
              <w:ind w:left="48" w:leftChars="20" w:right="48" w:rightChars="20" w:firstLine="480"/>
              <w:rPr>
                <w:szCs w:val="21"/>
                <w:lang w:bidi="ar"/>
              </w:rPr>
            </w:pPr>
            <w:r>
              <w:rPr>
                <w:rFonts w:hint="eastAsia"/>
              </w:rPr>
              <w:t>项目废水产排放情况见下表。</w:t>
            </w:r>
          </w:p>
        </w:tc>
      </w:tr>
    </w:tbl>
    <w:p>
      <w:pPr>
        <w:ind w:firstLine="480"/>
        <w:sectPr>
          <w:pgSz w:w="11906" w:h="16838"/>
          <w:pgMar w:top="1440" w:right="1800" w:bottom="1440" w:left="1800" w:header="851" w:footer="992" w:gutter="0"/>
          <w:cols w:space="425" w:num="1"/>
          <w:docGrid w:type="lines" w:linePitch="312" w:charSpace="0"/>
        </w:sectPr>
      </w:pP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573"/>
        <w:gridCol w:w="1339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205" w:type="pct"/>
            <w:vAlign w:val="center"/>
          </w:tcPr>
          <w:p>
            <w:pPr>
              <w:spacing w:line="240" w:lineRule="auto"/>
              <w:ind w:firstLine="0" w:firstLineChars="0"/>
              <w:jc w:val="center"/>
            </w:pPr>
            <w:r>
              <w:rPr>
                <w:rFonts w:hint="eastAsia"/>
              </w:rPr>
              <w:t>运营期环境影响和保护措施</w:t>
            </w:r>
          </w:p>
        </w:tc>
        <w:tc>
          <w:tcPr>
            <w:tcW w:w="4795" w:type="pct"/>
          </w:tcPr>
          <w:p>
            <w:pPr>
              <w:pStyle w:val="14"/>
            </w:pPr>
            <w:r>
              <w:rPr>
                <w:rFonts w:hint="eastAsia"/>
              </w:rPr>
              <w:t>表27   废水产排放情况一览表</w:t>
            </w:r>
          </w:p>
          <w:tbl>
            <w:tblPr>
              <w:tblStyle w:val="16"/>
              <w:tblW w:w="492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1170"/>
              <w:gridCol w:w="1273"/>
              <w:gridCol w:w="1291"/>
              <w:gridCol w:w="951"/>
              <w:gridCol w:w="825"/>
              <w:gridCol w:w="825"/>
              <w:gridCol w:w="912"/>
              <w:gridCol w:w="825"/>
              <w:gridCol w:w="825"/>
              <w:gridCol w:w="793"/>
              <w:gridCol w:w="854"/>
              <w:gridCol w:w="1357"/>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417" w:type="pct"/>
                  <w:gridSpan w:val="3"/>
                  <w:vAlign w:val="center"/>
                </w:tcPr>
                <w:p>
                  <w:pPr>
                    <w:spacing w:line="240" w:lineRule="auto"/>
                    <w:ind w:right="46" w:rightChars="19" w:firstLine="0" w:firstLineChars="0"/>
                    <w:jc w:val="center"/>
                    <w:rPr>
                      <w:sz w:val="21"/>
                      <w:szCs w:val="21"/>
                    </w:rPr>
                  </w:pPr>
                  <w:r>
                    <w:rPr>
                      <w:sz w:val="21"/>
                      <w:szCs w:val="21"/>
                    </w:rPr>
                    <w:t>指标</w:t>
                  </w:r>
                </w:p>
              </w:tc>
              <w:tc>
                <w:tcPr>
                  <w:tcW w:w="361" w:type="pct"/>
                  <w:shd w:val="clear" w:color="auto" w:fill="auto"/>
                  <w:vAlign w:val="center"/>
                </w:tcPr>
                <w:p>
                  <w:pPr>
                    <w:spacing w:line="240" w:lineRule="auto"/>
                    <w:ind w:right="46" w:rightChars="19" w:firstLine="0" w:firstLineChars="0"/>
                    <w:jc w:val="center"/>
                    <w:rPr>
                      <w:sz w:val="21"/>
                      <w:szCs w:val="21"/>
                    </w:rPr>
                  </w:pPr>
                  <w:r>
                    <w:rPr>
                      <w:sz w:val="21"/>
                      <w:szCs w:val="21"/>
                    </w:rPr>
                    <w:t>COD</w:t>
                  </w:r>
                </w:p>
              </w:tc>
              <w:tc>
                <w:tcPr>
                  <w:tcW w:w="313" w:type="pct"/>
                  <w:shd w:val="clear" w:color="auto" w:fill="auto"/>
                  <w:vAlign w:val="center"/>
                </w:tcPr>
                <w:p>
                  <w:pPr>
                    <w:spacing w:line="240" w:lineRule="auto"/>
                    <w:ind w:right="46" w:rightChars="19" w:firstLine="0" w:firstLineChars="0"/>
                    <w:jc w:val="center"/>
                    <w:rPr>
                      <w:sz w:val="21"/>
                      <w:szCs w:val="21"/>
                    </w:rPr>
                  </w:pPr>
                  <w:r>
                    <w:rPr>
                      <w:sz w:val="21"/>
                      <w:szCs w:val="21"/>
                    </w:rPr>
                    <w:t>BOD</w:t>
                  </w:r>
                  <w:r>
                    <w:rPr>
                      <w:sz w:val="21"/>
                      <w:szCs w:val="21"/>
                      <w:vertAlign w:val="subscript"/>
                    </w:rPr>
                    <w:t>5</w:t>
                  </w:r>
                </w:p>
              </w:tc>
              <w:tc>
                <w:tcPr>
                  <w:tcW w:w="313" w:type="pct"/>
                  <w:shd w:val="clear" w:color="auto" w:fill="auto"/>
                  <w:vAlign w:val="center"/>
                </w:tcPr>
                <w:p>
                  <w:pPr>
                    <w:spacing w:line="240" w:lineRule="auto"/>
                    <w:ind w:right="46" w:rightChars="19" w:firstLine="0" w:firstLineChars="0"/>
                    <w:jc w:val="center"/>
                    <w:rPr>
                      <w:sz w:val="21"/>
                      <w:szCs w:val="21"/>
                    </w:rPr>
                  </w:pPr>
                  <w:r>
                    <w:rPr>
                      <w:sz w:val="21"/>
                      <w:szCs w:val="21"/>
                    </w:rPr>
                    <w:t>SS</w:t>
                  </w:r>
                </w:p>
              </w:tc>
              <w:tc>
                <w:tcPr>
                  <w:tcW w:w="346" w:type="pct"/>
                  <w:shd w:val="clear" w:color="auto" w:fill="auto"/>
                  <w:vAlign w:val="center"/>
                </w:tcPr>
                <w:p>
                  <w:pPr>
                    <w:spacing w:line="240" w:lineRule="auto"/>
                    <w:ind w:right="46" w:rightChars="19" w:firstLine="0" w:firstLineChars="0"/>
                    <w:jc w:val="center"/>
                    <w:rPr>
                      <w:sz w:val="21"/>
                      <w:szCs w:val="21"/>
                    </w:rPr>
                  </w:pPr>
                  <w:r>
                    <w:rPr>
                      <w:sz w:val="21"/>
                      <w:szCs w:val="21"/>
                    </w:rPr>
                    <w:t>NH</w:t>
                  </w:r>
                  <w:r>
                    <w:rPr>
                      <w:sz w:val="21"/>
                      <w:szCs w:val="21"/>
                      <w:vertAlign w:val="subscript"/>
                    </w:rPr>
                    <w:t>3</w:t>
                  </w:r>
                  <w:r>
                    <w:rPr>
                      <w:sz w:val="21"/>
                      <w:szCs w:val="21"/>
                    </w:rPr>
                    <w:t>-N</w:t>
                  </w:r>
                </w:p>
              </w:tc>
              <w:tc>
                <w:tcPr>
                  <w:tcW w:w="313" w:type="pct"/>
                  <w:shd w:val="clear" w:color="auto" w:fill="auto"/>
                  <w:vAlign w:val="center"/>
                </w:tcPr>
                <w:p>
                  <w:pPr>
                    <w:spacing w:line="240" w:lineRule="auto"/>
                    <w:ind w:right="46" w:rightChars="19" w:firstLine="0" w:firstLineChars="0"/>
                    <w:jc w:val="center"/>
                    <w:rPr>
                      <w:sz w:val="21"/>
                      <w:szCs w:val="21"/>
                    </w:rPr>
                  </w:pPr>
                  <w:r>
                    <w:rPr>
                      <w:sz w:val="21"/>
                      <w:szCs w:val="21"/>
                    </w:rPr>
                    <w:t>TP</w:t>
                  </w:r>
                </w:p>
              </w:tc>
              <w:tc>
                <w:tcPr>
                  <w:tcW w:w="313" w:type="pct"/>
                  <w:shd w:val="clear" w:color="auto" w:fill="auto"/>
                  <w:vAlign w:val="center"/>
                </w:tcPr>
                <w:p>
                  <w:pPr>
                    <w:spacing w:line="240" w:lineRule="auto"/>
                    <w:ind w:right="46" w:rightChars="19" w:firstLine="0" w:firstLineChars="0"/>
                    <w:jc w:val="center"/>
                    <w:rPr>
                      <w:sz w:val="21"/>
                      <w:szCs w:val="21"/>
                    </w:rPr>
                  </w:pPr>
                  <w:r>
                    <w:rPr>
                      <w:sz w:val="21"/>
                      <w:szCs w:val="21"/>
                    </w:rPr>
                    <w:t>TN</w:t>
                  </w:r>
                </w:p>
              </w:tc>
              <w:tc>
                <w:tcPr>
                  <w:tcW w:w="301" w:type="pct"/>
                  <w:vAlign w:val="center"/>
                </w:tcPr>
                <w:p>
                  <w:pPr>
                    <w:spacing w:line="240" w:lineRule="auto"/>
                    <w:ind w:right="46" w:rightChars="19" w:firstLine="0" w:firstLineChars="0"/>
                    <w:jc w:val="center"/>
                    <w:rPr>
                      <w:sz w:val="21"/>
                      <w:szCs w:val="21"/>
                    </w:rPr>
                  </w:pPr>
                  <w:r>
                    <w:rPr>
                      <w:sz w:val="21"/>
                      <w:szCs w:val="21"/>
                    </w:rPr>
                    <w:t>LAS</w:t>
                  </w:r>
                </w:p>
              </w:tc>
              <w:tc>
                <w:tcPr>
                  <w:tcW w:w="324" w:type="pct"/>
                  <w:vAlign w:val="center"/>
                </w:tcPr>
                <w:p>
                  <w:pPr>
                    <w:spacing w:line="240" w:lineRule="auto"/>
                    <w:ind w:right="46" w:rightChars="19" w:firstLine="0" w:firstLineChars="0"/>
                    <w:jc w:val="center"/>
                    <w:rPr>
                      <w:sz w:val="21"/>
                      <w:szCs w:val="21"/>
                    </w:rPr>
                  </w:pPr>
                  <w:r>
                    <w:rPr>
                      <w:rFonts w:hint="eastAsia"/>
                      <w:sz w:val="21"/>
                      <w:szCs w:val="21"/>
                    </w:rPr>
                    <w:t>挥发酚</w:t>
                  </w:r>
                </w:p>
              </w:tc>
              <w:tc>
                <w:tcPr>
                  <w:tcW w:w="515" w:type="pct"/>
                  <w:vAlign w:val="center"/>
                </w:tcPr>
                <w:p>
                  <w:pPr>
                    <w:spacing w:line="240" w:lineRule="auto"/>
                    <w:ind w:right="46" w:rightChars="19" w:firstLine="0" w:firstLineChars="0"/>
                    <w:jc w:val="center"/>
                    <w:rPr>
                      <w:sz w:val="21"/>
                      <w:szCs w:val="21"/>
                    </w:rPr>
                  </w:pPr>
                  <w:r>
                    <w:rPr>
                      <w:rFonts w:hint="eastAsia"/>
                      <w:sz w:val="21"/>
                      <w:szCs w:val="21"/>
                    </w:rPr>
                    <w:t>粪大肠菌群数</w:t>
                  </w:r>
                </w:p>
                <w:p>
                  <w:pPr>
                    <w:spacing w:line="240" w:lineRule="auto"/>
                    <w:ind w:right="46" w:rightChars="19" w:firstLine="0" w:firstLineChars="0"/>
                    <w:jc w:val="center"/>
                    <w:rPr>
                      <w:sz w:val="21"/>
                      <w:szCs w:val="21"/>
                    </w:rPr>
                  </w:pPr>
                  <w:r>
                    <w:rPr>
                      <w:sz w:val="21"/>
                      <w:szCs w:val="21"/>
                    </w:rPr>
                    <w:t>MPN/L</w:t>
                  </w:r>
                </w:p>
              </w:tc>
              <w:tc>
                <w:tcPr>
                  <w:tcW w:w="484" w:type="pct"/>
                  <w:shd w:val="clear" w:color="auto" w:fill="auto"/>
                  <w:vAlign w:val="center"/>
                </w:tcPr>
                <w:p>
                  <w:pPr>
                    <w:spacing w:line="240" w:lineRule="auto"/>
                    <w:ind w:right="46" w:rightChars="19" w:firstLine="0" w:firstLineChars="0"/>
                    <w:jc w:val="center"/>
                    <w:rPr>
                      <w:sz w:val="21"/>
                      <w:szCs w:val="21"/>
                    </w:rPr>
                  </w:pPr>
                  <w:r>
                    <w:rPr>
                      <w:sz w:val="21"/>
                      <w:szCs w:val="21"/>
                    </w:rPr>
                    <w:t>pH（无量纲）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444" w:type="pct"/>
                  <w:vMerge w:val="restart"/>
                  <w:shd w:val="clear" w:color="auto" w:fill="auto"/>
                  <w:vAlign w:val="center"/>
                </w:tcPr>
                <w:p>
                  <w:pPr>
                    <w:spacing w:line="240" w:lineRule="auto"/>
                    <w:ind w:right="46" w:rightChars="19" w:firstLine="0" w:firstLineChars="0"/>
                    <w:jc w:val="center"/>
                    <w:rPr>
                      <w:sz w:val="21"/>
                      <w:szCs w:val="21"/>
                    </w:rPr>
                  </w:pPr>
                  <w:r>
                    <w:rPr>
                      <w:rFonts w:hint="eastAsia"/>
                      <w:sz w:val="21"/>
                      <w:szCs w:val="21"/>
                    </w:rPr>
                    <w:t>一般医疗废水</w:t>
                  </w:r>
                </w:p>
              </w:tc>
              <w:tc>
                <w:tcPr>
                  <w:tcW w:w="483" w:type="pct"/>
                  <w:vMerge w:val="restart"/>
                  <w:vAlign w:val="center"/>
                </w:tcPr>
                <w:p>
                  <w:pPr>
                    <w:spacing w:line="240" w:lineRule="auto"/>
                    <w:ind w:right="46" w:rightChars="19" w:firstLine="0" w:firstLineChars="0"/>
                    <w:jc w:val="center"/>
                    <w:rPr>
                      <w:sz w:val="21"/>
                      <w:szCs w:val="21"/>
                    </w:rPr>
                  </w:pPr>
                  <w:r>
                    <w:rPr>
                      <w:rFonts w:hint="eastAsia"/>
                      <w:sz w:val="21"/>
                      <w:szCs w:val="21"/>
                    </w:rPr>
                    <w:t>10.34m</w:t>
                  </w:r>
                  <w:r>
                    <w:rPr>
                      <w:rFonts w:hint="eastAsia"/>
                      <w:sz w:val="21"/>
                      <w:szCs w:val="21"/>
                      <w:vertAlign w:val="superscript"/>
                    </w:rPr>
                    <w:t>3</w:t>
                  </w:r>
                  <w:r>
                    <w:rPr>
                      <w:rFonts w:hint="eastAsia"/>
                      <w:sz w:val="21"/>
                      <w:szCs w:val="21"/>
                    </w:rPr>
                    <w:t>/d</w:t>
                  </w:r>
                </w:p>
                <w:p>
                  <w:pPr>
                    <w:spacing w:line="240" w:lineRule="auto"/>
                    <w:ind w:right="46" w:rightChars="19" w:firstLine="0" w:firstLineChars="0"/>
                    <w:jc w:val="center"/>
                    <w:rPr>
                      <w:sz w:val="21"/>
                      <w:szCs w:val="21"/>
                    </w:rPr>
                  </w:pPr>
                  <w:r>
                    <w:rPr>
                      <w:rFonts w:hint="eastAsia"/>
                      <w:sz w:val="21"/>
                      <w:szCs w:val="21"/>
                    </w:rPr>
                    <w:t>3774.1m</w:t>
                  </w:r>
                  <w:r>
                    <w:rPr>
                      <w:rFonts w:hint="eastAsia"/>
                      <w:sz w:val="21"/>
                      <w:szCs w:val="21"/>
                      <w:vertAlign w:val="superscript"/>
                    </w:rPr>
                    <w:t>3</w:t>
                  </w:r>
                  <w:r>
                    <w:rPr>
                      <w:rFonts w:hint="eastAsia"/>
                      <w:sz w:val="21"/>
                      <w:szCs w:val="21"/>
                    </w:rPr>
                    <w:t>/a</w:t>
                  </w:r>
                </w:p>
              </w:tc>
              <w:tc>
                <w:tcPr>
                  <w:tcW w:w="490" w:type="pct"/>
                  <w:shd w:val="clear" w:color="auto" w:fill="auto"/>
                  <w:vAlign w:val="center"/>
                </w:tcPr>
                <w:p>
                  <w:pPr>
                    <w:spacing w:line="240" w:lineRule="auto"/>
                    <w:ind w:right="46" w:rightChars="19" w:firstLine="0" w:firstLineChars="0"/>
                    <w:jc w:val="center"/>
                    <w:rPr>
                      <w:sz w:val="21"/>
                      <w:szCs w:val="21"/>
                    </w:rPr>
                  </w:pPr>
                  <w:r>
                    <w:rPr>
                      <w:rFonts w:hint="eastAsia"/>
                      <w:sz w:val="21"/>
                      <w:szCs w:val="21"/>
                    </w:rPr>
                    <w:t>浓度</w:t>
                  </w:r>
                  <w:r>
                    <w:rPr>
                      <w:sz w:val="21"/>
                      <w:szCs w:val="21"/>
                    </w:rPr>
                    <w:t>（mg/L）</w:t>
                  </w:r>
                </w:p>
              </w:tc>
              <w:tc>
                <w:tcPr>
                  <w:tcW w:w="361" w:type="pct"/>
                  <w:shd w:val="clear" w:color="auto" w:fill="auto"/>
                  <w:vAlign w:val="center"/>
                </w:tcPr>
                <w:p>
                  <w:pPr>
                    <w:spacing w:line="240" w:lineRule="auto"/>
                    <w:ind w:firstLine="0" w:firstLineChars="0"/>
                    <w:jc w:val="center"/>
                    <w:rPr>
                      <w:sz w:val="21"/>
                      <w:szCs w:val="21"/>
                    </w:rPr>
                  </w:pPr>
                  <w:r>
                    <w:rPr>
                      <w:rFonts w:hint="eastAsia"/>
                      <w:sz w:val="21"/>
                      <w:szCs w:val="21"/>
                    </w:rPr>
                    <w:t>300</w:t>
                  </w:r>
                </w:p>
              </w:tc>
              <w:tc>
                <w:tcPr>
                  <w:tcW w:w="313" w:type="pct"/>
                  <w:shd w:val="clear" w:color="auto" w:fill="auto"/>
                  <w:vAlign w:val="center"/>
                </w:tcPr>
                <w:p>
                  <w:pPr>
                    <w:spacing w:line="240" w:lineRule="auto"/>
                    <w:ind w:firstLine="0" w:firstLineChars="0"/>
                    <w:jc w:val="center"/>
                    <w:rPr>
                      <w:sz w:val="21"/>
                      <w:szCs w:val="21"/>
                    </w:rPr>
                  </w:pPr>
                  <w:r>
                    <w:rPr>
                      <w:rFonts w:hint="eastAsia"/>
                      <w:sz w:val="21"/>
                      <w:szCs w:val="21"/>
                    </w:rPr>
                    <w:t>150</w:t>
                  </w:r>
                </w:p>
              </w:tc>
              <w:tc>
                <w:tcPr>
                  <w:tcW w:w="313" w:type="pct"/>
                  <w:shd w:val="clear" w:color="auto" w:fill="auto"/>
                  <w:vAlign w:val="center"/>
                </w:tcPr>
                <w:p>
                  <w:pPr>
                    <w:spacing w:line="240" w:lineRule="auto"/>
                    <w:ind w:firstLine="0" w:firstLineChars="0"/>
                    <w:jc w:val="center"/>
                    <w:rPr>
                      <w:sz w:val="21"/>
                      <w:szCs w:val="21"/>
                    </w:rPr>
                  </w:pPr>
                  <w:r>
                    <w:rPr>
                      <w:rFonts w:hint="eastAsia"/>
                      <w:sz w:val="21"/>
                      <w:szCs w:val="21"/>
                    </w:rPr>
                    <w:t>120</w:t>
                  </w:r>
                </w:p>
              </w:tc>
              <w:tc>
                <w:tcPr>
                  <w:tcW w:w="346" w:type="pct"/>
                  <w:shd w:val="clear" w:color="auto" w:fill="auto"/>
                  <w:vAlign w:val="center"/>
                </w:tcPr>
                <w:p>
                  <w:pPr>
                    <w:spacing w:line="240" w:lineRule="auto"/>
                    <w:ind w:firstLine="0" w:firstLineChars="0"/>
                    <w:jc w:val="center"/>
                    <w:rPr>
                      <w:sz w:val="21"/>
                      <w:szCs w:val="21"/>
                    </w:rPr>
                  </w:pPr>
                  <w:r>
                    <w:rPr>
                      <w:rFonts w:hint="eastAsia"/>
                      <w:sz w:val="21"/>
                      <w:szCs w:val="21"/>
                    </w:rPr>
                    <w:t>50</w:t>
                  </w:r>
                </w:p>
              </w:tc>
              <w:tc>
                <w:tcPr>
                  <w:tcW w:w="313" w:type="pct"/>
                  <w:shd w:val="clear" w:color="auto" w:fill="auto"/>
                  <w:vAlign w:val="center"/>
                </w:tcPr>
                <w:p>
                  <w:pPr>
                    <w:spacing w:line="240" w:lineRule="auto"/>
                    <w:ind w:firstLine="0" w:firstLineChars="0"/>
                    <w:jc w:val="center"/>
                    <w:rPr>
                      <w:sz w:val="21"/>
                      <w:szCs w:val="21"/>
                    </w:rPr>
                  </w:pPr>
                  <w:r>
                    <w:rPr>
                      <w:rFonts w:hint="eastAsia"/>
                      <w:sz w:val="21"/>
                      <w:szCs w:val="21"/>
                    </w:rPr>
                    <w:t>8</w:t>
                  </w:r>
                </w:p>
              </w:tc>
              <w:tc>
                <w:tcPr>
                  <w:tcW w:w="313" w:type="pct"/>
                  <w:shd w:val="clear" w:color="auto" w:fill="auto"/>
                  <w:vAlign w:val="center"/>
                </w:tcPr>
                <w:p>
                  <w:pPr>
                    <w:spacing w:line="240" w:lineRule="auto"/>
                    <w:ind w:firstLine="0" w:firstLineChars="0"/>
                    <w:jc w:val="center"/>
                    <w:rPr>
                      <w:sz w:val="21"/>
                      <w:szCs w:val="21"/>
                    </w:rPr>
                  </w:pPr>
                  <w:r>
                    <w:rPr>
                      <w:rFonts w:hint="eastAsia"/>
                      <w:sz w:val="21"/>
                      <w:szCs w:val="21"/>
                    </w:rPr>
                    <w:t>70</w:t>
                  </w:r>
                </w:p>
              </w:tc>
              <w:tc>
                <w:tcPr>
                  <w:tcW w:w="301" w:type="pct"/>
                  <w:vAlign w:val="center"/>
                </w:tcPr>
                <w:p>
                  <w:pPr>
                    <w:spacing w:line="240" w:lineRule="auto"/>
                    <w:ind w:right="46" w:rightChars="19" w:firstLine="0" w:firstLineChars="0"/>
                    <w:jc w:val="center"/>
                    <w:rPr>
                      <w:sz w:val="21"/>
                      <w:szCs w:val="21"/>
                    </w:rPr>
                  </w:pPr>
                  <w:r>
                    <w:rPr>
                      <w:rFonts w:hint="eastAsia"/>
                      <w:sz w:val="21"/>
                      <w:szCs w:val="21"/>
                    </w:rPr>
                    <w:t>15</w:t>
                  </w:r>
                </w:p>
              </w:tc>
              <w:tc>
                <w:tcPr>
                  <w:tcW w:w="324" w:type="pct"/>
                  <w:vAlign w:val="center"/>
                </w:tcPr>
                <w:p>
                  <w:pPr>
                    <w:spacing w:line="240" w:lineRule="auto"/>
                    <w:ind w:right="46" w:rightChars="19" w:firstLine="0" w:firstLineChars="0"/>
                    <w:jc w:val="center"/>
                    <w:rPr>
                      <w:sz w:val="21"/>
                      <w:szCs w:val="21"/>
                    </w:rPr>
                  </w:pPr>
                  <w:r>
                    <w:rPr>
                      <w:rFonts w:hint="eastAsia"/>
                      <w:sz w:val="21"/>
                      <w:szCs w:val="21"/>
                    </w:rPr>
                    <w:t>—</w:t>
                  </w:r>
                </w:p>
              </w:tc>
              <w:tc>
                <w:tcPr>
                  <w:tcW w:w="515" w:type="pct"/>
                  <w:vAlign w:val="center"/>
                </w:tcPr>
                <w:p>
                  <w:pPr>
                    <w:spacing w:line="240" w:lineRule="auto"/>
                    <w:ind w:right="46" w:rightChars="19" w:firstLine="0" w:firstLineChars="0"/>
                    <w:jc w:val="center"/>
                    <w:rPr>
                      <w:sz w:val="21"/>
                      <w:szCs w:val="21"/>
                    </w:rPr>
                  </w:pPr>
                  <w:r>
                    <w:rPr>
                      <w:sz w:val="21"/>
                      <w:szCs w:val="21"/>
                    </w:rPr>
                    <w:t>3.0</w:t>
                  </w:r>
                  <w:r>
                    <w:rPr>
                      <w:rFonts w:hint="eastAsia"/>
                      <w:sz w:val="21"/>
                      <w:szCs w:val="21"/>
                    </w:rPr>
                    <w:t>×10</w:t>
                  </w:r>
                  <w:r>
                    <w:rPr>
                      <w:rFonts w:hint="eastAsia"/>
                      <w:sz w:val="21"/>
                      <w:szCs w:val="21"/>
                      <w:vertAlign w:val="superscript"/>
                    </w:rPr>
                    <w:t>6</w:t>
                  </w:r>
                </w:p>
              </w:tc>
              <w:tc>
                <w:tcPr>
                  <w:tcW w:w="484" w:type="pct"/>
                  <w:shd w:val="clear" w:color="auto" w:fill="auto"/>
                  <w:vAlign w:val="center"/>
                </w:tcPr>
                <w:p>
                  <w:pPr>
                    <w:spacing w:line="240" w:lineRule="auto"/>
                    <w:ind w:right="46" w:rightChars="19" w:firstLine="0" w:firstLineChars="0"/>
                    <w:jc w:val="center"/>
                    <w:rPr>
                      <w:sz w:val="21"/>
                      <w:szCs w:val="21"/>
                    </w:rPr>
                  </w:pPr>
                  <w:r>
                    <w:rPr>
                      <w:rFonts w:hint="eastAsia"/>
                      <w:sz w:val="21"/>
                      <w:szCs w:val="21"/>
                    </w:rPr>
                    <w:t>6～9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444" w:type="pct"/>
                  <w:vMerge w:val="continue"/>
                  <w:shd w:val="clear" w:color="auto" w:fill="auto"/>
                  <w:vAlign w:val="center"/>
                </w:tcPr>
                <w:p>
                  <w:pPr>
                    <w:spacing w:line="240" w:lineRule="auto"/>
                    <w:ind w:right="46" w:rightChars="19" w:firstLine="0" w:firstLineChars="0"/>
                    <w:jc w:val="center"/>
                    <w:rPr>
                      <w:sz w:val="21"/>
                      <w:szCs w:val="21"/>
                    </w:rPr>
                  </w:pPr>
                </w:p>
              </w:tc>
              <w:tc>
                <w:tcPr>
                  <w:tcW w:w="483" w:type="pct"/>
                  <w:vMerge w:val="continue"/>
                  <w:vAlign w:val="center"/>
                </w:tcPr>
                <w:p>
                  <w:pPr>
                    <w:spacing w:line="240" w:lineRule="auto"/>
                    <w:ind w:right="46" w:rightChars="19" w:firstLine="0" w:firstLineChars="0"/>
                    <w:jc w:val="center"/>
                    <w:rPr>
                      <w:sz w:val="21"/>
                      <w:szCs w:val="21"/>
                    </w:rPr>
                  </w:pPr>
                </w:p>
              </w:tc>
              <w:tc>
                <w:tcPr>
                  <w:tcW w:w="490" w:type="pct"/>
                  <w:shd w:val="clear" w:color="auto" w:fill="auto"/>
                  <w:vAlign w:val="center"/>
                </w:tcPr>
                <w:p>
                  <w:pPr>
                    <w:spacing w:line="240" w:lineRule="auto"/>
                    <w:ind w:right="46" w:rightChars="19" w:firstLine="0" w:firstLineChars="0"/>
                    <w:jc w:val="center"/>
                    <w:rPr>
                      <w:sz w:val="21"/>
                      <w:szCs w:val="21"/>
                    </w:rPr>
                  </w:pPr>
                  <w:r>
                    <w:rPr>
                      <w:rFonts w:hint="eastAsia"/>
                      <w:sz w:val="21"/>
                      <w:szCs w:val="21"/>
                    </w:rPr>
                    <w:t>产生量（t/a）</w:t>
                  </w:r>
                </w:p>
              </w:tc>
              <w:tc>
                <w:tcPr>
                  <w:tcW w:w="361" w:type="pct"/>
                  <w:shd w:val="clear" w:color="auto" w:fill="auto"/>
                  <w:vAlign w:val="center"/>
                </w:tcPr>
                <w:p>
                  <w:pPr>
                    <w:spacing w:line="240" w:lineRule="auto"/>
                    <w:ind w:firstLine="0" w:firstLineChars="0"/>
                    <w:jc w:val="center"/>
                    <w:rPr>
                      <w:color w:val="000000"/>
                      <w:sz w:val="21"/>
                      <w:szCs w:val="21"/>
                    </w:rPr>
                  </w:pPr>
                  <w:r>
                    <w:rPr>
                      <w:color w:val="000000"/>
                      <w:sz w:val="21"/>
                      <w:szCs w:val="21"/>
                    </w:rPr>
                    <w:t xml:space="preserve">1.132 </w:t>
                  </w:r>
                </w:p>
              </w:tc>
              <w:tc>
                <w:tcPr>
                  <w:tcW w:w="313" w:type="pct"/>
                  <w:shd w:val="clear" w:color="auto" w:fill="auto"/>
                  <w:vAlign w:val="center"/>
                </w:tcPr>
                <w:p>
                  <w:pPr>
                    <w:spacing w:line="240" w:lineRule="auto"/>
                    <w:ind w:firstLine="0" w:firstLineChars="0"/>
                    <w:jc w:val="center"/>
                    <w:rPr>
                      <w:color w:val="000000"/>
                      <w:sz w:val="21"/>
                      <w:szCs w:val="21"/>
                    </w:rPr>
                  </w:pPr>
                  <w:r>
                    <w:rPr>
                      <w:color w:val="000000"/>
                      <w:sz w:val="21"/>
                      <w:szCs w:val="21"/>
                    </w:rPr>
                    <w:t xml:space="preserve">1.132 </w:t>
                  </w:r>
                </w:p>
              </w:tc>
              <w:tc>
                <w:tcPr>
                  <w:tcW w:w="313" w:type="pct"/>
                  <w:shd w:val="clear" w:color="auto" w:fill="auto"/>
                  <w:vAlign w:val="center"/>
                </w:tcPr>
                <w:p>
                  <w:pPr>
                    <w:spacing w:line="240" w:lineRule="auto"/>
                    <w:ind w:firstLine="0" w:firstLineChars="0"/>
                    <w:jc w:val="center"/>
                    <w:rPr>
                      <w:color w:val="000000"/>
                      <w:sz w:val="21"/>
                      <w:szCs w:val="21"/>
                    </w:rPr>
                  </w:pPr>
                  <w:r>
                    <w:rPr>
                      <w:color w:val="000000"/>
                      <w:sz w:val="21"/>
                      <w:szCs w:val="21"/>
                    </w:rPr>
                    <w:t xml:space="preserve">0.453 </w:t>
                  </w:r>
                </w:p>
              </w:tc>
              <w:tc>
                <w:tcPr>
                  <w:tcW w:w="346" w:type="pct"/>
                  <w:shd w:val="clear" w:color="auto" w:fill="auto"/>
                  <w:vAlign w:val="center"/>
                </w:tcPr>
                <w:p>
                  <w:pPr>
                    <w:spacing w:line="240" w:lineRule="auto"/>
                    <w:ind w:firstLine="0" w:firstLineChars="0"/>
                    <w:jc w:val="center"/>
                    <w:rPr>
                      <w:color w:val="000000"/>
                      <w:sz w:val="21"/>
                      <w:szCs w:val="21"/>
                    </w:rPr>
                  </w:pPr>
                  <w:r>
                    <w:rPr>
                      <w:color w:val="000000"/>
                      <w:sz w:val="21"/>
                      <w:szCs w:val="21"/>
                    </w:rPr>
                    <w:t xml:space="preserve">0.189 </w:t>
                  </w:r>
                </w:p>
              </w:tc>
              <w:tc>
                <w:tcPr>
                  <w:tcW w:w="313" w:type="pct"/>
                  <w:shd w:val="clear" w:color="auto" w:fill="auto"/>
                  <w:vAlign w:val="center"/>
                </w:tcPr>
                <w:p>
                  <w:pPr>
                    <w:spacing w:line="240" w:lineRule="auto"/>
                    <w:ind w:firstLine="0" w:firstLineChars="0"/>
                    <w:jc w:val="center"/>
                    <w:rPr>
                      <w:color w:val="000000"/>
                      <w:sz w:val="21"/>
                      <w:szCs w:val="21"/>
                    </w:rPr>
                  </w:pPr>
                  <w:r>
                    <w:rPr>
                      <w:color w:val="000000"/>
                      <w:sz w:val="21"/>
                      <w:szCs w:val="21"/>
                    </w:rPr>
                    <w:t xml:space="preserve">0.030 </w:t>
                  </w:r>
                </w:p>
              </w:tc>
              <w:tc>
                <w:tcPr>
                  <w:tcW w:w="313" w:type="pct"/>
                  <w:shd w:val="clear" w:color="auto" w:fill="auto"/>
                  <w:vAlign w:val="center"/>
                </w:tcPr>
                <w:p>
                  <w:pPr>
                    <w:spacing w:line="240" w:lineRule="auto"/>
                    <w:ind w:firstLine="0" w:firstLineChars="0"/>
                    <w:jc w:val="center"/>
                    <w:rPr>
                      <w:color w:val="000000"/>
                      <w:sz w:val="21"/>
                      <w:szCs w:val="21"/>
                    </w:rPr>
                  </w:pPr>
                  <w:r>
                    <w:rPr>
                      <w:color w:val="000000"/>
                      <w:sz w:val="21"/>
                      <w:szCs w:val="21"/>
                    </w:rPr>
                    <w:t xml:space="preserve">0.264 </w:t>
                  </w:r>
                </w:p>
              </w:tc>
              <w:tc>
                <w:tcPr>
                  <w:tcW w:w="301" w:type="pct"/>
                  <w:vAlign w:val="center"/>
                </w:tcPr>
                <w:p>
                  <w:pPr>
                    <w:spacing w:line="240" w:lineRule="auto"/>
                    <w:ind w:firstLine="0" w:firstLineChars="0"/>
                    <w:jc w:val="center"/>
                    <w:rPr>
                      <w:color w:val="000000"/>
                      <w:sz w:val="21"/>
                      <w:szCs w:val="21"/>
                    </w:rPr>
                  </w:pPr>
                  <w:r>
                    <w:rPr>
                      <w:color w:val="000000"/>
                      <w:sz w:val="21"/>
                      <w:szCs w:val="21"/>
                    </w:rPr>
                    <w:t xml:space="preserve">0.057 </w:t>
                  </w:r>
                </w:p>
              </w:tc>
              <w:tc>
                <w:tcPr>
                  <w:tcW w:w="324" w:type="pct"/>
                  <w:vAlign w:val="center"/>
                </w:tcPr>
                <w:p>
                  <w:pPr>
                    <w:spacing w:line="240" w:lineRule="auto"/>
                    <w:ind w:right="46" w:rightChars="19" w:firstLine="0" w:firstLineChars="0"/>
                    <w:jc w:val="center"/>
                    <w:rPr>
                      <w:sz w:val="21"/>
                      <w:szCs w:val="21"/>
                    </w:rPr>
                  </w:pPr>
                  <w:r>
                    <w:rPr>
                      <w:rFonts w:hint="eastAsia"/>
                      <w:sz w:val="21"/>
                      <w:szCs w:val="21"/>
                    </w:rPr>
                    <w:t>/</w:t>
                  </w:r>
                </w:p>
              </w:tc>
              <w:tc>
                <w:tcPr>
                  <w:tcW w:w="515" w:type="pct"/>
                  <w:vAlign w:val="center"/>
                </w:tcPr>
                <w:p>
                  <w:pPr>
                    <w:spacing w:line="240" w:lineRule="auto"/>
                    <w:ind w:firstLine="0" w:firstLineChars="0"/>
                    <w:jc w:val="center"/>
                    <w:rPr>
                      <w:color w:val="000000"/>
                      <w:sz w:val="21"/>
                      <w:szCs w:val="21"/>
                    </w:rPr>
                  </w:pPr>
                  <w:r>
                    <w:rPr>
                      <w:rFonts w:hint="eastAsia"/>
                      <w:sz w:val="21"/>
                      <w:szCs w:val="21"/>
                    </w:rPr>
                    <w:t>—</w:t>
                  </w:r>
                </w:p>
              </w:tc>
              <w:tc>
                <w:tcPr>
                  <w:tcW w:w="484" w:type="pct"/>
                  <w:shd w:val="clear" w:color="auto" w:fill="auto"/>
                  <w:vAlign w:val="center"/>
                </w:tcPr>
                <w:p>
                  <w:pPr>
                    <w:spacing w:line="240" w:lineRule="auto"/>
                    <w:ind w:right="46" w:rightChars="19" w:firstLine="0" w:firstLineChars="0"/>
                    <w:jc w:val="center"/>
                    <w:rPr>
                      <w:sz w:val="21"/>
                      <w:szCs w:val="21"/>
                    </w:rPr>
                  </w:pPr>
                  <w:r>
                    <w:rPr>
                      <w:rFonts w:hint="eastAsia"/>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444" w:type="pct"/>
                  <w:vMerge w:val="restart"/>
                  <w:shd w:val="clear" w:color="auto" w:fill="auto"/>
                  <w:vAlign w:val="center"/>
                </w:tcPr>
                <w:p>
                  <w:pPr>
                    <w:spacing w:line="240" w:lineRule="auto"/>
                    <w:ind w:right="46" w:rightChars="19" w:firstLine="0" w:firstLineChars="0"/>
                    <w:jc w:val="center"/>
                    <w:rPr>
                      <w:sz w:val="21"/>
                      <w:szCs w:val="21"/>
                    </w:rPr>
                  </w:pPr>
                  <w:r>
                    <w:rPr>
                      <w:rFonts w:hint="eastAsia"/>
                      <w:sz w:val="21"/>
                      <w:szCs w:val="21"/>
                    </w:rPr>
                    <w:t>检验仪器清洗废水</w:t>
                  </w:r>
                </w:p>
              </w:tc>
              <w:tc>
                <w:tcPr>
                  <w:tcW w:w="483" w:type="pct"/>
                  <w:vMerge w:val="restart"/>
                  <w:vAlign w:val="center"/>
                </w:tcPr>
                <w:p>
                  <w:pPr>
                    <w:spacing w:line="240" w:lineRule="auto"/>
                    <w:ind w:right="46" w:rightChars="19" w:firstLine="0" w:firstLineChars="0"/>
                    <w:jc w:val="center"/>
                    <w:rPr>
                      <w:sz w:val="21"/>
                      <w:szCs w:val="21"/>
                    </w:rPr>
                  </w:pPr>
                  <w:r>
                    <w:rPr>
                      <w:rFonts w:hint="eastAsia"/>
                      <w:sz w:val="21"/>
                      <w:szCs w:val="21"/>
                    </w:rPr>
                    <w:t>0.27m</w:t>
                  </w:r>
                  <w:r>
                    <w:rPr>
                      <w:rFonts w:hint="eastAsia"/>
                      <w:sz w:val="21"/>
                      <w:szCs w:val="21"/>
                      <w:vertAlign w:val="superscript"/>
                    </w:rPr>
                    <w:t>3</w:t>
                  </w:r>
                  <w:r>
                    <w:rPr>
                      <w:rFonts w:hint="eastAsia"/>
                      <w:sz w:val="21"/>
                      <w:szCs w:val="21"/>
                    </w:rPr>
                    <w:t>/d</w:t>
                  </w:r>
                </w:p>
                <w:p>
                  <w:pPr>
                    <w:spacing w:line="240" w:lineRule="auto"/>
                    <w:ind w:right="46" w:rightChars="19" w:firstLine="0" w:firstLineChars="0"/>
                    <w:jc w:val="center"/>
                    <w:rPr>
                      <w:sz w:val="21"/>
                      <w:szCs w:val="21"/>
                    </w:rPr>
                  </w:pPr>
                  <w:r>
                    <w:rPr>
                      <w:rFonts w:hint="eastAsia"/>
                      <w:sz w:val="21"/>
                      <w:szCs w:val="21"/>
                    </w:rPr>
                    <w:t>98.55m</w:t>
                  </w:r>
                  <w:r>
                    <w:rPr>
                      <w:rFonts w:hint="eastAsia"/>
                      <w:sz w:val="21"/>
                      <w:szCs w:val="21"/>
                      <w:vertAlign w:val="superscript"/>
                    </w:rPr>
                    <w:t>3</w:t>
                  </w:r>
                  <w:r>
                    <w:rPr>
                      <w:rFonts w:hint="eastAsia"/>
                      <w:sz w:val="21"/>
                      <w:szCs w:val="21"/>
                    </w:rPr>
                    <w:t>/a</w:t>
                  </w:r>
                </w:p>
              </w:tc>
              <w:tc>
                <w:tcPr>
                  <w:tcW w:w="490" w:type="pct"/>
                  <w:shd w:val="clear" w:color="auto" w:fill="auto"/>
                  <w:vAlign w:val="center"/>
                </w:tcPr>
                <w:p>
                  <w:pPr>
                    <w:spacing w:line="240" w:lineRule="auto"/>
                    <w:ind w:right="46" w:rightChars="19" w:firstLine="0" w:firstLineChars="0"/>
                    <w:jc w:val="center"/>
                    <w:rPr>
                      <w:sz w:val="21"/>
                      <w:szCs w:val="21"/>
                    </w:rPr>
                  </w:pPr>
                  <w:r>
                    <w:rPr>
                      <w:rFonts w:hint="eastAsia"/>
                      <w:sz w:val="21"/>
                      <w:szCs w:val="21"/>
                    </w:rPr>
                    <w:t>浓度</w:t>
                  </w:r>
                  <w:r>
                    <w:rPr>
                      <w:sz w:val="21"/>
                      <w:szCs w:val="21"/>
                    </w:rPr>
                    <w:t>（mg/L）</w:t>
                  </w:r>
                </w:p>
              </w:tc>
              <w:tc>
                <w:tcPr>
                  <w:tcW w:w="361" w:type="pct"/>
                  <w:shd w:val="clear" w:color="auto" w:fill="auto"/>
                  <w:vAlign w:val="center"/>
                </w:tcPr>
                <w:p>
                  <w:pPr>
                    <w:spacing w:line="240" w:lineRule="auto"/>
                    <w:ind w:firstLine="0" w:firstLineChars="0"/>
                    <w:jc w:val="center"/>
                    <w:rPr>
                      <w:sz w:val="21"/>
                      <w:szCs w:val="21"/>
                    </w:rPr>
                  </w:pPr>
                  <w:r>
                    <w:rPr>
                      <w:rFonts w:hint="eastAsia"/>
                      <w:sz w:val="21"/>
                      <w:szCs w:val="21"/>
                    </w:rPr>
                    <w:t>300</w:t>
                  </w:r>
                </w:p>
              </w:tc>
              <w:tc>
                <w:tcPr>
                  <w:tcW w:w="313" w:type="pct"/>
                  <w:shd w:val="clear" w:color="auto" w:fill="auto"/>
                  <w:vAlign w:val="center"/>
                </w:tcPr>
                <w:p>
                  <w:pPr>
                    <w:spacing w:line="240" w:lineRule="auto"/>
                    <w:ind w:firstLine="0" w:firstLineChars="0"/>
                    <w:jc w:val="center"/>
                    <w:rPr>
                      <w:sz w:val="21"/>
                      <w:szCs w:val="21"/>
                    </w:rPr>
                  </w:pPr>
                  <w:r>
                    <w:rPr>
                      <w:rFonts w:hint="eastAsia"/>
                      <w:sz w:val="21"/>
                      <w:szCs w:val="21"/>
                    </w:rPr>
                    <w:t>150</w:t>
                  </w:r>
                </w:p>
              </w:tc>
              <w:tc>
                <w:tcPr>
                  <w:tcW w:w="313" w:type="pct"/>
                  <w:shd w:val="clear" w:color="auto" w:fill="auto"/>
                  <w:vAlign w:val="center"/>
                </w:tcPr>
                <w:p>
                  <w:pPr>
                    <w:spacing w:line="240" w:lineRule="auto"/>
                    <w:ind w:firstLine="0" w:firstLineChars="0"/>
                    <w:jc w:val="center"/>
                    <w:rPr>
                      <w:sz w:val="21"/>
                      <w:szCs w:val="21"/>
                    </w:rPr>
                  </w:pPr>
                  <w:r>
                    <w:rPr>
                      <w:rFonts w:hint="eastAsia"/>
                      <w:sz w:val="21"/>
                      <w:szCs w:val="21"/>
                    </w:rPr>
                    <w:t>120</w:t>
                  </w:r>
                </w:p>
              </w:tc>
              <w:tc>
                <w:tcPr>
                  <w:tcW w:w="346" w:type="pct"/>
                  <w:shd w:val="clear" w:color="auto" w:fill="auto"/>
                  <w:vAlign w:val="center"/>
                </w:tcPr>
                <w:p>
                  <w:pPr>
                    <w:spacing w:line="240" w:lineRule="auto"/>
                    <w:ind w:firstLine="0" w:firstLineChars="0"/>
                    <w:jc w:val="center"/>
                    <w:rPr>
                      <w:sz w:val="21"/>
                      <w:szCs w:val="21"/>
                    </w:rPr>
                  </w:pPr>
                  <w:r>
                    <w:rPr>
                      <w:rFonts w:hint="eastAsia"/>
                      <w:sz w:val="21"/>
                      <w:szCs w:val="21"/>
                    </w:rPr>
                    <w:t>50</w:t>
                  </w:r>
                </w:p>
              </w:tc>
              <w:tc>
                <w:tcPr>
                  <w:tcW w:w="313" w:type="pct"/>
                  <w:shd w:val="clear" w:color="auto" w:fill="auto"/>
                  <w:vAlign w:val="center"/>
                </w:tcPr>
                <w:p>
                  <w:pPr>
                    <w:spacing w:line="240" w:lineRule="auto"/>
                    <w:ind w:firstLine="0" w:firstLineChars="0"/>
                    <w:jc w:val="center"/>
                    <w:rPr>
                      <w:sz w:val="21"/>
                      <w:szCs w:val="21"/>
                    </w:rPr>
                  </w:pPr>
                  <w:r>
                    <w:rPr>
                      <w:rFonts w:hint="eastAsia"/>
                      <w:sz w:val="21"/>
                      <w:szCs w:val="21"/>
                    </w:rPr>
                    <w:t>8</w:t>
                  </w:r>
                </w:p>
              </w:tc>
              <w:tc>
                <w:tcPr>
                  <w:tcW w:w="313" w:type="pct"/>
                  <w:shd w:val="clear" w:color="auto" w:fill="auto"/>
                  <w:vAlign w:val="center"/>
                </w:tcPr>
                <w:p>
                  <w:pPr>
                    <w:spacing w:line="240" w:lineRule="auto"/>
                    <w:ind w:firstLine="0" w:firstLineChars="0"/>
                    <w:jc w:val="center"/>
                    <w:rPr>
                      <w:sz w:val="21"/>
                      <w:szCs w:val="21"/>
                    </w:rPr>
                  </w:pPr>
                  <w:r>
                    <w:rPr>
                      <w:rFonts w:hint="eastAsia"/>
                      <w:sz w:val="21"/>
                      <w:szCs w:val="21"/>
                    </w:rPr>
                    <w:t>70</w:t>
                  </w:r>
                </w:p>
              </w:tc>
              <w:tc>
                <w:tcPr>
                  <w:tcW w:w="301" w:type="pct"/>
                  <w:vAlign w:val="center"/>
                </w:tcPr>
                <w:p>
                  <w:pPr>
                    <w:spacing w:line="240" w:lineRule="auto"/>
                    <w:ind w:right="46" w:rightChars="19" w:firstLine="0" w:firstLineChars="0"/>
                    <w:jc w:val="center"/>
                    <w:rPr>
                      <w:sz w:val="21"/>
                      <w:szCs w:val="21"/>
                    </w:rPr>
                  </w:pPr>
                  <w:r>
                    <w:rPr>
                      <w:rFonts w:hint="eastAsia"/>
                      <w:sz w:val="21"/>
                      <w:szCs w:val="21"/>
                    </w:rPr>
                    <w:t>15</w:t>
                  </w:r>
                </w:p>
              </w:tc>
              <w:tc>
                <w:tcPr>
                  <w:tcW w:w="324" w:type="pct"/>
                  <w:vAlign w:val="center"/>
                </w:tcPr>
                <w:p>
                  <w:pPr>
                    <w:spacing w:line="240" w:lineRule="auto"/>
                    <w:ind w:right="46" w:rightChars="19" w:firstLine="0" w:firstLineChars="0"/>
                    <w:jc w:val="center"/>
                    <w:rPr>
                      <w:sz w:val="21"/>
                      <w:szCs w:val="21"/>
                    </w:rPr>
                  </w:pPr>
                  <w:r>
                    <w:rPr>
                      <w:rFonts w:hint="eastAsia"/>
                      <w:sz w:val="21"/>
                      <w:szCs w:val="21"/>
                    </w:rPr>
                    <w:t>2</w:t>
                  </w:r>
                </w:p>
              </w:tc>
              <w:tc>
                <w:tcPr>
                  <w:tcW w:w="515" w:type="pct"/>
                  <w:vAlign w:val="center"/>
                </w:tcPr>
                <w:p>
                  <w:pPr>
                    <w:spacing w:line="240" w:lineRule="auto"/>
                    <w:ind w:right="46" w:rightChars="19" w:firstLine="0" w:firstLineChars="0"/>
                    <w:jc w:val="center"/>
                    <w:rPr>
                      <w:sz w:val="21"/>
                      <w:szCs w:val="21"/>
                    </w:rPr>
                  </w:pPr>
                  <w:r>
                    <w:rPr>
                      <w:sz w:val="21"/>
                      <w:szCs w:val="21"/>
                    </w:rPr>
                    <w:t>3.0</w:t>
                  </w:r>
                  <w:r>
                    <w:rPr>
                      <w:rFonts w:hint="eastAsia"/>
                      <w:sz w:val="21"/>
                      <w:szCs w:val="21"/>
                    </w:rPr>
                    <w:t>×10</w:t>
                  </w:r>
                  <w:r>
                    <w:rPr>
                      <w:rFonts w:hint="eastAsia"/>
                      <w:sz w:val="21"/>
                      <w:szCs w:val="21"/>
                      <w:vertAlign w:val="superscript"/>
                    </w:rPr>
                    <w:t>6</w:t>
                  </w:r>
                </w:p>
              </w:tc>
              <w:tc>
                <w:tcPr>
                  <w:tcW w:w="484" w:type="pct"/>
                  <w:shd w:val="clear" w:color="auto" w:fill="auto"/>
                  <w:vAlign w:val="center"/>
                </w:tcPr>
                <w:p>
                  <w:pPr>
                    <w:spacing w:line="240" w:lineRule="auto"/>
                    <w:ind w:right="46" w:rightChars="19" w:firstLine="0" w:firstLineChars="0"/>
                    <w:jc w:val="center"/>
                    <w:rPr>
                      <w:sz w:val="21"/>
                      <w:szCs w:val="21"/>
                    </w:rPr>
                  </w:pPr>
                  <w:r>
                    <w:rPr>
                      <w:rFonts w:hint="eastAsia"/>
                      <w:sz w:val="21"/>
                      <w:szCs w:val="21"/>
                    </w:rPr>
                    <w:t>6～9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444" w:type="pct"/>
                  <w:vMerge w:val="continue"/>
                  <w:shd w:val="clear" w:color="auto" w:fill="auto"/>
                  <w:vAlign w:val="center"/>
                </w:tcPr>
                <w:p>
                  <w:pPr>
                    <w:spacing w:line="240" w:lineRule="auto"/>
                    <w:ind w:right="46" w:rightChars="19" w:firstLine="0" w:firstLineChars="0"/>
                    <w:jc w:val="center"/>
                    <w:rPr>
                      <w:sz w:val="21"/>
                      <w:szCs w:val="21"/>
                    </w:rPr>
                  </w:pPr>
                </w:p>
              </w:tc>
              <w:tc>
                <w:tcPr>
                  <w:tcW w:w="483" w:type="pct"/>
                  <w:vMerge w:val="continue"/>
                  <w:vAlign w:val="center"/>
                </w:tcPr>
                <w:p>
                  <w:pPr>
                    <w:spacing w:line="240" w:lineRule="auto"/>
                    <w:ind w:right="46" w:rightChars="19" w:firstLine="0" w:firstLineChars="0"/>
                    <w:jc w:val="center"/>
                    <w:rPr>
                      <w:sz w:val="21"/>
                      <w:szCs w:val="21"/>
                    </w:rPr>
                  </w:pPr>
                </w:p>
              </w:tc>
              <w:tc>
                <w:tcPr>
                  <w:tcW w:w="490" w:type="pct"/>
                  <w:shd w:val="clear" w:color="auto" w:fill="auto"/>
                  <w:vAlign w:val="center"/>
                </w:tcPr>
                <w:p>
                  <w:pPr>
                    <w:spacing w:line="240" w:lineRule="auto"/>
                    <w:ind w:right="46" w:rightChars="19" w:firstLine="0" w:firstLineChars="0"/>
                    <w:jc w:val="center"/>
                    <w:rPr>
                      <w:sz w:val="21"/>
                      <w:szCs w:val="21"/>
                    </w:rPr>
                  </w:pPr>
                  <w:r>
                    <w:rPr>
                      <w:rFonts w:hint="eastAsia"/>
                      <w:sz w:val="21"/>
                      <w:szCs w:val="21"/>
                    </w:rPr>
                    <w:t>产生量（t/a）</w:t>
                  </w:r>
                </w:p>
              </w:tc>
              <w:tc>
                <w:tcPr>
                  <w:tcW w:w="361" w:type="pct"/>
                  <w:shd w:val="clear" w:color="auto" w:fill="auto"/>
                  <w:vAlign w:val="center"/>
                </w:tcPr>
                <w:p>
                  <w:pPr>
                    <w:spacing w:line="240" w:lineRule="auto"/>
                    <w:ind w:firstLine="0" w:firstLineChars="0"/>
                    <w:jc w:val="center"/>
                    <w:rPr>
                      <w:color w:val="000000"/>
                      <w:sz w:val="21"/>
                      <w:szCs w:val="21"/>
                    </w:rPr>
                  </w:pPr>
                  <w:r>
                    <w:rPr>
                      <w:color w:val="000000"/>
                      <w:sz w:val="21"/>
                      <w:szCs w:val="21"/>
                    </w:rPr>
                    <w:t xml:space="preserve">0.030 </w:t>
                  </w:r>
                </w:p>
              </w:tc>
              <w:tc>
                <w:tcPr>
                  <w:tcW w:w="313" w:type="pct"/>
                  <w:shd w:val="clear" w:color="auto" w:fill="auto"/>
                  <w:vAlign w:val="center"/>
                </w:tcPr>
                <w:p>
                  <w:pPr>
                    <w:spacing w:line="240" w:lineRule="auto"/>
                    <w:ind w:firstLine="0" w:firstLineChars="0"/>
                    <w:jc w:val="center"/>
                    <w:rPr>
                      <w:color w:val="000000"/>
                      <w:sz w:val="21"/>
                      <w:szCs w:val="21"/>
                    </w:rPr>
                  </w:pPr>
                  <w:r>
                    <w:rPr>
                      <w:color w:val="000000"/>
                      <w:sz w:val="21"/>
                      <w:szCs w:val="21"/>
                    </w:rPr>
                    <w:t xml:space="preserve">0.030 </w:t>
                  </w:r>
                </w:p>
              </w:tc>
              <w:tc>
                <w:tcPr>
                  <w:tcW w:w="313" w:type="pct"/>
                  <w:shd w:val="clear" w:color="auto" w:fill="auto"/>
                  <w:vAlign w:val="center"/>
                </w:tcPr>
                <w:p>
                  <w:pPr>
                    <w:spacing w:line="240" w:lineRule="auto"/>
                    <w:ind w:firstLine="0" w:firstLineChars="0"/>
                    <w:jc w:val="center"/>
                    <w:rPr>
                      <w:color w:val="000000"/>
                      <w:sz w:val="21"/>
                      <w:szCs w:val="21"/>
                    </w:rPr>
                  </w:pPr>
                  <w:r>
                    <w:rPr>
                      <w:color w:val="000000"/>
                      <w:sz w:val="21"/>
                      <w:szCs w:val="21"/>
                    </w:rPr>
                    <w:t xml:space="preserve">0.012 </w:t>
                  </w:r>
                </w:p>
              </w:tc>
              <w:tc>
                <w:tcPr>
                  <w:tcW w:w="346" w:type="pct"/>
                  <w:shd w:val="clear" w:color="auto" w:fill="auto"/>
                  <w:vAlign w:val="center"/>
                </w:tcPr>
                <w:p>
                  <w:pPr>
                    <w:spacing w:line="240" w:lineRule="auto"/>
                    <w:ind w:firstLine="0" w:firstLineChars="0"/>
                    <w:jc w:val="center"/>
                    <w:rPr>
                      <w:color w:val="000000"/>
                      <w:sz w:val="21"/>
                      <w:szCs w:val="21"/>
                    </w:rPr>
                  </w:pPr>
                  <w:r>
                    <w:rPr>
                      <w:color w:val="000000"/>
                      <w:sz w:val="21"/>
                      <w:szCs w:val="21"/>
                    </w:rPr>
                    <w:t xml:space="preserve">0.005 </w:t>
                  </w:r>
                </w:p>
              </w:tc>
              <w:tc>
                <w:tcPr>
                  <w:tcW w:w="313" w:type="pct"/>
                  <w:shd w:val="clear" w:color="auto" w:fill="auto"/>
                  <w:vAlign w:val="center"/>
                </w:tcPr>
                <w:p>
                  <w:pPr>
                    <w:spacing w:line="240" w:lineRule="auto"/>
                    <w:ind w:firstLine="0" w:firstLineChars="0"/>
                    <w:jc w:val="center"/>
                    <w:rPr>
                      <w:color w:val="000000"/>
                      <w:sz w:val="21"/>
                      <w:szCs w:val="21"/>
                    </w:rPr>
                  </w:pPr>
                  <w:r>
                    <w:rPr>
                      <w:color w:val="000000"/>
                      <w:sz w:val="21"/>
                      <w:szCs w:val="21"/>
                    </w:rPr>
                    <w:t xml:space="preserve">0.001 </w:t>
                  </w:r>
                </w:p>
              </w:tc>
              <w:tc>
                <w:tcPr>
                  <w:tcW w:w="313" w:type="pct"/>
                  <w:shd w:val="clear" w:color="auto" w:fill="auto"/>
                  <w:vAlign w:val="center"/>
                </w:tcPr>
                <w:p>
                  <w:pPr>
                    <w:spacing w:line="240" w:lineRule="auto"/>
                    <w:ind w:firstLine="0" w:firstLineChars="0"/>
                    <w:jc w:val="center"/>
                    <w:rPr>
                      <w:color w:val="000000"/>
                      <w:sz w:val="21"/>
                      <w:szCs w:val="21"/>
                    </w:rPr>
                  </w:pPr>
                  <w:r>
                    <w:rPr>
                      <w:color w:val="000000"/>
                      <w:sz w:val="21"/>
                      <w:szCs w:val="21"/>
                    </w:rPr>
                    <w:t xml:space="preserve">0.007 </w:t>
                  </w:r>
                </w:p>
              </w:tc>
              <w:tc>
                <w:tcPr>
                  <w:tcW w:w="301" w:type="pct"/>
                  <w:vAlign w:val="center"/>
                </w:tcPr>
                <w:p>
                  <w:pPr>
                    <w:spacing w:line="240" w:lineRule="auto"/>
                    <w:ind w:firstLine="0" w:firstLineChars="0"/>
                    <w:jc w:val="center"/>
                    <w:rPr>
                      <w:color w:val="000000"/>
                      <w:sz w:val="21"/>
                      <w:szCs w:val="21"/>
                    </w:rPr>
                  </w:pPr>
                  <w:r>
                    <w:rPr>
                      <w:color w:val="000000"/>
                      <w:sz w:val="21"/>
                      <w:szCs w:val="21"/>
                    </w:rPr>
                    <w:t xml:space="preserve">0.001 </w:t>
                  </w:r>
                </w:p>
              </w:tc>
              <w:tc>
                <w:tcPr>
                  <w:tcW w:w="324" w:type="pct"/>
                  <w:vAlign w:val="center"/>
                </w:tcPr>
                <w:p>
                  <w:pPr>
                    <w:spacing w:line="240" w:lineRule="auto"/>
                    <w:ind w:firstLine="0" w:firstLineChars="0"/>
                    <w:jc w:val="center"/>
                    <w:rPr>
                      <w:color w:val="000000"/>
                      <w:sz w:val="21"/>
                      <w:szCs w:val="21"/>
                    </w:rPr>
                  </w:pPr>
                  <w:r>
                    <w:rPr>
                      <w:color w:val="000000"/>
                      <w:sz w:val="21"/>
                      <w:szCs w:val="21"/>
                    </w:rPr>
                    <w:t xml:space="preserve">0.0002 </w:t>
                  </w:r>
                </w:p>
              </w:tc>
              <w:tc>
                <w:tcPr>
                  <w:tcW w:w="515" w:type="pct"/>
                  <w:vAlign w:val="center"/>
                </w:tcPr>
                <w:p>
                  <w:pPr>
                    <w:spacing w:line="240" w:lineRule="auto"/>
                    <w:ind w:firstLine="0" w:firstLineChars="0"/>
                    <w:jc w:val="center"/>
                    <w:rPr>
                      <w:color w:val="000000"/>
                      <w:sz w:val="21"/>
                      <w:szCs w:val="21"/>
                    </w:rPr>
                  </w:pPr>
                  <w:r>
                    <w:rPr>
                      <w:rFonts w:hint="eastAsia"/>
                      <w:sz w:val="21"/>
                      <w:szCs w:val="21"/>
                    </w:rPr>
                    <w:t>—</w:t>
                  </w:r>
                </w:p>
              </w:tc>
              <w:tc>
                <w:tcPr>
                  <w:tcW w:w="484" w:type="pct"/>
                  <w:shd w:val="clear" w:color="auto" w:fill="auto"/>
                  <w:vAlign w:val="center"/>
                </w:tcPr>
                <w:p>
                  <w:pPr>
                    <w:spacing w:line="240" w:lineRule="auto"/>
                    <w:ind w:right="46" w:rightChars="19" w:firstLine="0" w:firstLineChars="0"/>
                    <w:jc w:val="center"/>
                    <w:rPr>
                      <w:sz w:val="21"/>
                      <w:szCs w:val="21"/>
                    </w:rPr>
                  </w:pPr>
                  <w:r>
                    <w:rPr>
                      <w:rFonts w:hint="eastAsia"/>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444" w:type="pct"/>
                  <w:vMerge w:val="restart"/>
                  <w:shd w:val="clear" w:color="auto" w:fill="auto"/>
                  <w:vAlign w:val="center"/>
                </w:tcPr>
                <w:p>
                  <w:pPr>
                    <w:spacing w:line="240" w:lineRule="auto"/>
                    <w:ind w:right="46" w:rightChars="19" w:firstLine="0" w:firstLineChars="0"/>
                    <w:jc w:val="center"/>
                    <w:rPr>
                      <w:sz w:val="21"/>
                      <w:szCs w:val="21"/>
                    </w:rPr>
                  </w:pPr>
                  <w:r>
                    <w:rPr>
                      <w:rFonts w:hint="eastAsia"/>
                      <w:sz w:val="21"/>
                      <w:szCs w:val="21"/>
                    </w:rPr>
                    <w:t>煎药设备清洗废水</w:t>
                  </w:r>
                </w:p>
              </w:tc>
              <w:tc>
                <w:tcPr>
                  <w:tcW w:w="483" w:type="pct"/>
                  <w:vMerge w:val="restart"/>
                  <w:vAlign w:val="center"/>
                </w:tcPr>
                <w:p>
                  <w:pPr>
                    <w:spacing w:line="240" w:lineRule="auto"/>
                    <w:ind w:right="46" w:rightChars="19" w:firstLine="0" w:firstLineChars="0"/>
                    <w:jc w:val="center"/>
                    <w:rPr>
                      <w:sz w:val="21"/>
                      <w:szCs w:val="21"/>
                    </w:rPr>
                  </w:pPr>
                  <w:r>
                    <w:rPr>
                      <w:rFonts w:hint="eastAsia"/>
                      <w:sz w:val="21"/>
                      <w:szCs w:val="21"/>
                    </w:rPr>
                    <w:t>0.45m</w:t>
                  </w:r>
                  <w:r>
                    <w:rPr>
                      <w:rFonts w:hint="eastAsia"/>
                      <w:sz w:val="21"/>
                      <w:szCs w:val="21"/>
                      <w:vertAlign w:val="superscript"/>
                    </w:rPr>
                    <w:t>3</w:t>
                  </w:r>
                  <w:r>
                    <w:rPr>
                      <w:rFonts w:hint="eastAsia"/>
                      <w:sz w:val="21"/>
                      <w:szCs w:val="21"/>
                    </w:rPr>
                    <w:t>/d</w:t>
                  </w:r>
                </w:p>
                <w:p>
                  <w:pPr>
                    <w:spacing w:line="240" w:lineRule="auto"/>
                    <w:ind w:right="46" w:rightChars="19" w:firstLine="0" w:firstLineChars="0"/>
                    <w:jc w:val="center"/>
                    <w:rPr>
                      <w:sz w:val="21"/>
                      <w:szCs w:val="21"/>
                    </w:rPr>
                  </w:pPr>
                  <w:r>
                    <w:rPr>
                      <w:rFonts w:hint="eastAsia"/>
                      <w:sz w:val="21"/>
                      <w:szCs w:val="21"/>
                    </w:rPr>
                    <w:t>164.25m</w:t>
                  </w:r>
                  <w:r>
                    <w:rPr>
                      <w:rFonts w:hint="eastAsia"/>
                      <w:sz w:val="21"/>
                      <w:szCs w:val="21"/>
                      <w:vertAlign w:val="superscript"/>
                    </w:rPr>
                    <w:t>3</w:t>
                  </w:r>
                  <w:r>
                    <w:rPr>
                      <w:rFonts w:hint="eastAsia"/>
                      <w:sz w:val="21"/>
                      <w:szCs w:val="21"/>
                    </w:rPr>
                    <w:t>/a</w:t>
                  </w:r>
                </w:p>
              </w:tc>
              <w:tc>
                <w:tcPr>
                  <w:tcW w:w="490" w:type="pct"/>
                  <w:shd w:val="clear" w:color="auto" w:fill="auto"/>
                  <w:vAlign w:val="center"/>
                </w:tcPr>
                <w:p>
                  <w:pPr>
                    <w:spacing w:line="240" w:lineRule="auto"/>
                    <w:ind w:right="46" w:rightChars="19" w:firstLine="0" w:firstLineChars="0"/>
                    <w:jc w:val="center"/>
                    <w:rPr>
                      <w:sz w:val="21"/>
                      <w:szCs w:val="21"/>
                    </w:rPr>
                  </w:pPr>
                  <w:r>
                    <w:rPr>
                      <w:rFonts w:hint="eastAsia"/>
                      <w:sz w:val="21"/>
                      <w:szCs w:val="21"/>
                    </w:rPr>
                    <w:t>浓度</w:t>
                  </w:r>
                  <w:r>
                    <w:rPr>
                      <w:sz w:val="21"/>
                      <w:szCs w:val="21"/>
                    </w:rPr>
                    <w:t>（mg/L）</w:t>
                  </w:r>
                </w:p>
              </w:tc>
              <w:tc>
                <w:tcPr>
                  <w:tcW w:w="361" w:type="pct"/>
                  <w:shd w:val="clear" w:color="auto" w:fill="auto"/>
                  <w:vAlign w:val="center"/>
                </w:tcPr>
                <w:p>
                  <w:pPr>
                    <w:spacing w:line="240" w:lineRule="auto"/>
                    <w:ind w:firstLine="0" w:firstLineChars="0"/>
                    <w:jc w:val="center"/>
                    <w:rPr>
                      <w:sz w:val="21"/>
                      <w:szCs w:val="21"/>
                    </w:rPr>
                  </w:pPr>
                  <w:r>
                    <w:rPr>
                      <w:rFonts w:hint="eastAsia"/>
                      <w:sz w:val="21"/>
                      <w:szCs w:val="21"/>
                    </w:rPr>
                    <w:t>2000</w:t>
                  </w:r>
                </w:p>
              </w:tc>
              <w:tc>
                <w:tcPr>
                  <w:tcW w:w="313" w:type="pct"/>
                  <w:shd w:val="clear" w:color="auto" w:fill="auto"/>
                  <w:vAlign w:val="center"/>
                </w:tcPr>
                <w:p>
                  <w:pPr>
                    <w:spacing w:line="240" w:lineRule="auto"/>
                    <w:ind w:firstLine="0" w:firstLineChars="0"/>
                    <w:jc w:val="center"/>
                    <w:rPr>
                      <w:sz w:val="21"/>
                      <w:szCs w:val="21"/>
                    </w:rPr>
                  </w:pPr>
                  <w:r>
                    <w:rPr>
                      <w:rFonts w:hint="eastAsia"/>
                      <w:sz w:val="21"/>
                      <w:szCs w:val="21"/>
                    </w:rPr>
                    <w:t>800</w:t>
                  </w:r>
                </w:p>
              </w:tc>
              <w:tc>
                <w:tcPr>
                  <w:tcW w:w="313" w:type="pct"/>
                  <w:shd w:val="clear" w:color="auto" w:fill="auto"/>
                  <w:vAlign w:val="center"/>
                </w:tcPr>
                <w:p>
                  <w:pPr>
                    <w:spacing w:line="240" w:lineRule="auto"/>
                    <w:ind w:firstLine="0" w:firstLineChars="0"/>
                    <w:jc w:val="center"/>
                    <w:rPr>
                      <w:sz w:val="21"/>
                      <w:szCs w:val="21"/>
                    </w:rPr>
                  </w:pPr>
                  <w:r>
                    <w:rPr>
                      <w:rFonts w:hint="eastAsia"/>
                      <w:sz w:val="21"/>
                      <w:szCs w:val="21"/>
                    </w:rPr>
                    <w:t>500</w:t>
                  </w:r>
                </w:p>
              </w:tc>
              <w:tc>
                <w:tcPr>
                  <w:tcW w:w="346" w:type="pct"/>
                  <w:shd w:val="clear" w:color="auto" w:fill="auto"/>
                  <w:vAlign w:val="center"/>
                </w:tcPr>
                <w:p>
                  <w:pPr>
                    <w:spacing w:line="240" w:lineRule="auto"/>
                    <w:ind w:firstLine="0" w:firstLineChars="0"/>
                    <w:jc w:val="center"/>
                    <w:rPr>
                      <w:sz w:val="21"/>
                      <w:szCs w:val="21"/>
                    </w:rPr>
                  </w:pPr>
                  <w:r>
                    <w:rPr>
                      <w:rFonts w:hint="eastAsia"/>
                      <w:sz w:val="21"/>
                      <w:szCs w:val="21"/>
                    </w:rPr>
                    <w:t>50</w:t>
                  </w:r>
                </w:p>
              </w:tc>
              <w:tc>
                <w:tcPr>
                  <w:tcW w:w="313" w:type="pct"/>
                  <w:shd w:val="clear" w:color="auto" w:fill="auto"/>
                  <w:vAlign w:val="center"/>
                </w:tcPr>
                <w:p>
                  <w:pPr>
                    <w:spacing w:line="240" w:lineRule="auto"/>
                    <w:ind w:firstLine="0" w:firstLineChars="0"/>
                    <w:jc w:val="center"/>
                    <w:rPr>
                      <w:sz w:val="21"/>
                      <w:szCs w:val="21"/>
                    </w:rPr>
                  </w:pPr>
                  <w:r>
                    <w:rPr>
                      <w:rFonts w:hint="eastAsia"/>
                      <w:sz w:val="21"/>
                      <w:szCs w:val="21"/>
                    </w:rPr>
                    <w:t>8</w:t>
                  </w:r>
                </w:p>
              </w:tc>
              <w:tc>
                <w:tcPr>
                  <w:tcW w:w="313" w:type="pct"/>
                  <w:shd w:val="clear" w:color="auto" w:fill="auto"/>
                  <w:vAlign w:val="center"/>
                </w:tcPr>
                <w:p>
                  <w:pPr>
                    <w:spacing w:line="240" w:lineRule="auto"/>
                    <w:ind w:firstLine="0" w:firstLineChars="0"/>
                    <w:jc w:val="center"/>
                    <w:rPr>
                      <w:sz w:val="21"/>
                      <w:szCs w:val="21"/>
                    </w:rPr>
                  </w:pPr>
                  <w:r>
                    <w:rPr>
                      <w:rFonts w:hint="eastAsia"/>
                      <w:sz w:val="21"/>
                      <w:szCs w:val="21"/>
                    </w:rPr>
                    <w:t>70</w:t>
                  </w:r>
                </w:p>
              </w:tc>
              <w:tc>
                <w:tcPr>
                  <w:tcW w:w="301" w:type="pct"/>
                  <w:vAlign w:val="center"/>
                </w:tcPr>
                <w:p>
                  <w:pPr>
                    <w:spacing w:line="240" w:lineRule="auto"/>
                    <w:ind w:right="46" w:rightChars="19" w:firstLine="0" w:firstLineChars="0"/>
                    <w:jc w:val="center"/>
                    <w:rPr>
                      <w:sz w:val="21"/>
                      <w:szCs w:val="21"/>
                    </w:rPr>
                  </w:pPr>
                  <w:r>
                    <w:rPr>
                      <w:rFonts w:hint="eastAsia"/>
                      <w:sz w:val="21"/>
                      <w:szCs w:val="21"/>
                    </w:rPr>
                    <w:t>8</w:t>
                  </w:r>
                </w:p>
              </w:tc>
              <w:tc>
                <w:tcPr>
                  <w:tcW w:w="324" w:type="pct"/>
                  <w:vAlign w:val="center"/>
                </w:tcPr>
                <w:p>
                  <w:pPr>
                    <w:spacing w:line="240" w:lineRule="auto"/>
                    <w:ind w:right="46" w:rightChars="19" w:firstLine="0" w:firstLineChars="0"/>
                    <w:jc w:val="center"/>
                    <w:rPr>
                      <w:sz w:val="21"/>
                      <w:szCs w:val="21"/>
                    </w:rPr>
                  </w:pPr>
                  <w:r>
                    <w:rPr>
                      <w:rFonts w:hint="eastAsia"/>
                      <w:sz w:val="21"/>
                      <w:szCs w:val="21"/>
                    </w:rPr>
                    <w:t>—</w:t>
                  </w:r>
                </w:p>
              </w:tc>
              <w:tc>
                <w:tcPr>
                  <w:tcW w:w="515" w:type="pct"/>
                  <w:vAlign w:val="center"/>
                </w:tcPr>
                <w:p>
                  <w:pPr>
                    <w:spacing w:line="240" w:lineRule="auto"/>
                    <w:ind w:right="46" w:rightChars="19" w:firstLine="0" w:firstLineChars="0"/>
                    <w:jc w:val="center"/>
                    <w:rPr>
                      <w:sz w:val="21"/>
                      <w:szCs w:val="21"/>
                    </w:rPr>
                  </w:pPr>
                  <w:r>
                    <w:rPr>
                      <w:rFonts w:hint="eastAsia"/>
                      <w:sz w:val="21"/>
                      <w:szCs w:val="21"/>
                    </w:rPr>
                    <w:t>—</w:t>
                  </w:r>
                </w:p>
              </w:tc>
              <w:tc>
                <w:tcPr>
                  <w:tcW w:w="484" w:type="pct"/>
                  <w:shd w:val="clear" w:color="auto" w:fill="auto"/>
                  <w:vAlign w:val="center"/>
                </w:tcPr>
                <w:p>
                  <w:pPr>
                    <w:spacing w:line="240" w:lineRule="auto"/>
                    <w:ind w:right="46" w:rightChars="19" w:firstLine="0" w:firstLineChars="0"/>
                    <w:jc w:val="center"/>
                    <w:rPr>
                      <w:sz w:val="21"/>
                      <w:szCs w:val="21"/>
                    </w:rPr>
                  </w:pPr>
                  <w:r>
                    <w:rPr>
                      <w:rFonts w:hint="eastAsia"/>
                      <w:sz w:val="21"/>
                      <w:szCs w:val="21"/>
                    </w:rPr>
                    <w:t>6～9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444" w:type="pct"/>
                  <w:vMerge w:val="continue"/>
                  <w:shd w:val="clear" w:color="auto" w:fill="auto"/>
                  <w:vAlign w:val="center"/>
                </w:tcPr>
                <w:p>
                  <w:pPr>
                    <w:spacing w:line="240" w:lineRule="auto"/>
                    <w:ind w:right="46" w:rightChars="19" w:firstLine="0" w:firstLineChars="0"/>
                    <w:jc w:val="center"/>
                    <w:rPr>
                      <w:sz w:val="21"/>
                      <w:szCs w:val="21"/>
                    </w:rPr>
                  </w:pPr>
                </w:p>
              </w:tc>
              <w:tc>
                <w:tcPr>
                  <w:tcW w:w="483" w:type="pct"/>
                  <w:vMerge w:val="continue"/>
                  <w:vAlign w:val="center"/>
                </w:tcPr>
                <w:p>
                  <w:pPr>
                    <w:spacing w:line="240" w:lineRule="auto"/>
                    <w:ind w:right="46" w:rightChars="19" w:firstLine="0" w:firstLineChars="0"/>
                    <w:jc w:val="center"/>
                    <w:rPr>
                      <w:sz w:val="21"/>
                      <w:szCs w:val="21"/>
                    </w:rPr>
                  </w:pPr>
                </w:p>
              </w:tc>
              <w:tc>
                <w:tcPr>
                  <w:tcW w:w="490" w:type="pct"/>
                  <w:shd w:val="clear" w:color="auto" w:fill="auto"/>
                  <w:vAlign w:val="center"/>
                </w:tcPr>
                <w:p>
                  <w:pPr>
                    <w:spacing w:line="240" w:lineRule="auto"/>
                    <w:ind w:right="46" w:rightChars="19" w:firstLine="0" w:firstLineChars="0"/>
                    <w:jc w:val="center"/>
                    <w:rPr>
                      <w:sz w:val="21"/>
                      <w:szCs w:val="21"/>
                    </w:rPr>
                  </w:pPr>
                  <w:r>
                    <w:rPr>
                      <w:rFonts w:hint="eastAsia"/>
                      <w:sz w:val="21"/>
                      <w:szCs w:val="21"/>
                    </w:rPr>
                    <w:t>产生量（t/a）</w:t>
                  </w:r>
                </w:p>
              </w:tc>
              <w:tc>
                <w:tcPr>
                  <w:tcW w:w="361" w:type="pct"/>
                  <w:shd w:val="clear" w:color="auto" w:fill="auto"/>
                  <w:vAlign w:val="center"/>
                </w:tcPr>
                <w:p>
                  <w:pPr>
                    <w:spacing w:line="240" w:lineRule="auto"/>
                    <w:ind w:firstLine="0" w:firstLineChars="0"/>
                    <w:jc w:val="center"/>
                    <w:rPr>
                      <w:color w:val="000000"/>
                      <w:sz w:val="21"/>
                      <w:szCs w:val="21"/>
                    </w:rPr>
                  </w:pPr>
                  <w:r>
                    <w:rPr>
                      <w:color w:val="000000"/>
                      <w:sz w:val="21"/>
                      <w:szCs w:val="21"/>
                    </w:rPr>
                    <w:t xml:space="preserve">0.329 </w:t>
                  </w:r>
                </w:p>
              </w:tc>
              <w:tc>
                <w:tcPr>
                  <w:tcW w:w="313" w:type="pct"/>
                  <w:shd w:val="clear" w:color="auto" w:fill="auto"/>
                  <w:vAlign w:val="center"/>
                </w:tcPr>
                <w:p>
                  <w:pPr>
                    <w:spacing w:line="240" w:lineRule="auto"/>
                    <w:ind w:firstLine="0" w:firstLineChars="0"/>
                    <w:jc w:val="center"/>
                    <w:rPr>
                      <w:color w:val="000000"/>
                      <w:sz w:val="21"/>
                      <w:szCs w:val="21"/>
                    </w:rPr>
                  </w:pPr>
                  <w:r>
                    <w:rPr>
                      <w:color w:val="000000"/>
                      <w:sz w:val="21"/>
                      <w:szCs w:val="21"/>
                    </w:rPr>
                    <w:t xml:space="preserve">0.131 </w:t>
                  </w:r>
                </w:p>
              </w:tc>
              <w:tc>
                <w:tcPr>
                  <w:tcW w:w="313" w:type="pct"/>
                  <w:shd w:val="clear" w:color="auto" w:fill="auto"/>
                  <w:vAlign w:val="center"/>
                </w:tcPr>
                <w:p>
                  <w:pPr>
                    <w:spacing w:line="240" w:lineRule="auto"/>
                    <w:ind w:firstLine="0" w:firstLineChars="0"/>
                    <w:jc w:val="center"/>
                    <w:rPr>
                      <w:color w:val="000000"/>
                      <w:sz w:val="21"/>
                      <w:szCs w:val="21"/>
                    </w:rPr>
                  </w:pPr>
                  <w:r>
                    <w:rPr>
                      <w:color w:val="000000"/>
                      <w:sz w:val="21"/>
                      <w:szCs w:val="21"/>
                    </w:rPr>
                    <w:t xml:space="preserve">0.082 </w:t>
                  </w:r>
                </w:p>
              </w:tc>
              <w:tc>
                <w:tcPr>
                  <w:tcW w:w="346" w:type="pct"/>
                  <w:shd w:val="clear" w:color="auto" w:fill="auto"/>
                  <w:vAlign w:val="center"/>
                </w:tcPr>
                <w:p>
                  <w:pPr>
                    <w:spacing w:line="240" w:lineRule="auto"/>
                    <w:ind w:firstLine="0" w:firstLineChars="0"/>
                    <w:jc w:val="center"/>
                    <w:rPr>
                      <w:color w:val="000000"/>
                      <w:sz w:val="21"/>
                      <w:szCs w:val="21"/>
                    </w:rPr>
                  </w:pPr>
                  <w:r>
                    <w:rPr>
                      <w:color w:val="000000"/>
                      <w:sz w:val="21"/>
                      <w:szCs w:val="21"/>
                    </w:rPr>
                    <w:t xml:space="preserve">0.008 </w:t>
                  </w:r>
                </w:p>
              </w:tc>
              <w:tc>
                <w:tcPr>
                  <w:tcW w:w="313" w:type="pct"/>
                  <w:shd w:val="clear" w:color="auto" w:fill="auto"/>
                  <w:vAlign w:val="center"/>
                </w:tcPr>
                <w:p>
                  <w:pPr>
                    <w:spacing w:line="240" w:lineRule="auto"/>
                    <w:ind w:firstLine="0" w:firstLineChars="0"/>
                    <w:jc w:val="center"/>
                    <w:rPr>
                      <w:color w:val="000000"/>
                      <w:sz w:val="21"/>
                      <w:szCs w:val="21"/>
                    </w:rPr>
                  </w:pPr>
                  <w:r>
                    <w:rPr>
                      <w:color w:val="000000"/>
                      <w:sz w:val="21"/>
                      <w:szCs w:val="21"/>
                    </w:rPr>
                    <w:t xml:space="preserve">0.001 </w:t>
                  </w:r>
                </w:p>
              </w:tc>
              <w:tc>
                <w:tcPr>
                  <w:tcW w:w="313" w:type="pct"/>
                  <w:shd w:val="clear" w:color="auto" w:fill="auto"/>
                  <w:vAlign w:val="center"/>
                </w:tcPr>
                <w:p>
                  <w:pPr>
                    <w:spacing w:line="240" w:lineRule="auto"/>
                    <w:ind w:firstLine="0" w:firstLineChars="0"/>
                    <w:jc w:val="center"/>
                    <w:rPr>
                      <w:color w:val="000000"/>
                      <w:sz w:val="21"/>
                      <w:szCs w:val="21"/>
                    </w:rPr>
                  </w:pPr>
                  <w:r>
                    <w:rPr>
                      <w:color w:val="000000"/>
                      <w:sz w:val="21"/>
                      <w:szCs w:val="21"/>
                    </w:rPr>
                    <w:t xml:space="preserve">0.011 </w:t>
                  </w:r>
                </w:p>
              </w:tc>
              <w:tc>
                <w:tcPr>
                  <w:tcW w:w="301" w:type="pct"/>
                  <w:vAlign w:val="center"/>
                </w:tcPr>
                <w:p>
                  <w:pPr>
                    <w:spacing w:line="240" w:lineRule="auto"/>
                    <w:ind w:firstLine="0" w:firstLineChars="0"/>
                    <w:jc w:val="center"/>
                    <w:rPr>
                      <w:color w:val="000000"/>
                      <w:sz w:val="21"/>
                      <w:szCs w:val="21"/>
                    </w:rPr>
                  </w:pPr>
                  <w:r>
                    <w:rPr>
                      <w:color w:val="000000"/>
                      <w:sz w:val="21"/>
                      <w:szCs w:val="21"/>
                    </w:rPr>
                    <w:t xml:space="preserve">0.001 </w:t>
                  </w:r>
                </w:p>
              </w:tc>
              <w:tc>
                <w:tcPr>
                  <w:tcW w:w="324" w:type="pct"/>
                  <w:vAlign w:val="center"/>
                </w:tcPr>
                <w:p>
                  <w:pPr>
                    <w:spacing w:line="240" w:lineRule="auto"/>
                    <w:ind w:right="46" w:rightChars="19" w:firstLine="0" w:firstLineChars="0"/>
                    <w:jc w:val="center"/>
                    <w:rPr>
                      <w:sz w:val="21"/>
                      <w:szCs w:val="21"/>
                    </w:rPr>
                  </w:pPr>
                  <w:r>
                    <w:rPr>
                      <w:rFonts w:hint="eastAsia"/>
                      <w:sz w:val="21"/>
                      <w:szCs w:val="21"/>
                    </w:rPr>
                    <w:t>/</w:t>
                  </w:r>
                </w:p>
              </w:tc>
              <w:tc>
                <w:tcPr>
                  <w:tcW w:w="515" w:type="pct"/>
                  <w:vAlign w:val="center"/>
                </w:tcPr>
                <w:p>
                  <w:pPr>
                    <w:spacing w:line="240" w:lineRule="auto"/>
                    <w:ind w:right="46" w:rightChars="19" w:firstLine="0" w:firstLineChars="0"/>
                    <w:jc w:val="center"/>
                    <w:rPr>
                      <w:sz w:val="21"/>
                      <w:szCs w:val="21"/>
                    </w:rPr>
                  </w:pPr>
                  <w:r>
                    <w:rPr>
                      <w:rFonts w:hint="eastAsia"/>
                      <w:sz w:val="21"/>
                      <w:szCs w:val="21"/>
                    </w:rPr>
                    <w:t>/</w:t>
                  </w:r>
                </w:p>
              </w:tc>
              <w:tc>
                <w:tcPr>
                  <w:tcW w:w="484" w:type="pct"/>
                  <w:shd w:val="clear" w:color="auto" w:fill="auto"/>
                  <w:vAlign w:val="center"/>
                </w:tcPr>
                <w:p>
                  <w:pPr>
                    <w:spacing w:line="240" w:lineRule="auto"/>
                    <w:ind w:right="46" w:rightChars="19" w:firstLine="0" w:firstLineChars="0"/>
                    <w:jc w:val="center"/>
                    <w:rPr>
                      <w:sz w:val="21"/>
                      <w:szCs w:val="21"/>
                    </w:rPr>
                  </w:pPr>
                  <w:r>
                    <w:rPr>
                      <w:rFonts w:hint="eastAsia"/>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444" w:type="pct"/>
                  <w:vMerge w:val="restart"/>
                  <w:shd w:val="clear" w:color="auto" w:fill="auto"/>
                  <w:vAlign w:val="center"/>
                </w:tcPr>
                <w:p>
                  <w:pPr>
                    <w:spacing w:line="240" w:lineRule="auto"/>
                    <w:ind w:right="46" w:rightChars="19" w:firstLine="0" w:firstLineChars="0"/>
                    <w:jc w:val="center"/>
                    <w:rPr>
                      <w:sz w:val="21"/>
                      <w:szCs w:val="21"/>
                    </w:rPr>
                  </w:pPr>
                  <w:r>
                    <w:rPr>
                      <w:rFonts w:hint="eastAsia"/>
                      <w:sz w:val="21"/>
                      <w:szCs w:val="21"/>
                    </w:rPr>
                    <w:t>空调冷却系统排污水</w:t>
                  </w:r>
                </w:p>
              </w:tc>
              <w:tc>
                <w:tcPr>
                  <w:tcW w:w="483" w:type="pct"/>
                  <w:vMerge w:val="restart"/>
                  <w:vAlign w:val="center"/>
                </w:tcPr>
                <w:p>
                  <w:pPr>
                    <w:spacing w:line="240" w:lineRule="auto"/>
                    <w:ind w:right="46" w:rightChars="19" w:firstLine="0" w:firstLineChars="0"/>
                    <w:jc w:val="center"/>
                    <w:rPr>
                      <w:sz w:val="21"/>
                      <w:szCs w:val="21"/>
                    </w:rPr>
                  </w:pPr>
                  <w:r>
                    <w:rPr>
                      <w:rFonts w:hint="eastAsia"/>
                      <w:sz w:val="21"/>
                      <w:szCs w:val="21"/>
                    </w:rPr>
                    <w:t>0.5m</w:t>
                  </w:r>
                  <w:r>
                    <w:rPr>
                      <w:rFonts w:hint="eastAsia"/>
                      <w:sz w:val="21"/>
                      <w:szCs w:val="21"/>
                      <w:vertAlign w:val="superscript"/>
                    </w:rPr>
                    <w:t>3</w:t>
                  </w:r>
                  <w:r>
                    <w:rPr>
                      <w:rFonts w:hint="eastAsia"/>
                      <w:sz w:val="21"/>
                      <w:szCs w:val="21"/>
                    </w:rPr>
                    <w:t>/d</w:t>
                  </w:r>
                </w:p>
                <w:p>
                  <w:pPr>
                    <w:spacing w:line="240" w:lineRule="auto"/>
                    <w:ind w:right="46" w:rightChars="19" w:firstLine="0" w:firstLineChars="0"/>
                    <w:jc w:val="center"/>
                    <w:rPr>
                      <w:sz w:val="21"/>
                      <w:szCs w:val="21"/>
                    </w:rPr>
                  </w:pPr>
                  <w:r>
                    <w:rPr>
                      <w:rFonts w:hint="eastAsia"/>
                      <w:sz w:val="21"/>
                      <w:szCs w:val="21"/>
                    </w:rPr>
                    <w:t>182.5m</w:t>
                  </w:r>
                  <w:r>
                    <w:rPr>
                      <w:rFonts w:hint="eastAsia"/>
                      <w:sz w:val="21"/>
                      <w:szCs w:val="21"/>
                      <w:vertAlign w:val="superscript"/>
                    </w:rPr>
                    <w:t>3</w:t>
                  </w:r>
                  <w:r>
                    <w:rPr>
                      <w:rFonts w:hint="eastAsia"/>
                      <w:sz w:val="21"/>
                      <w:szCs w:val="21"/>
                    </w:rPr>
                    <w:t>/a</w:t>
                  </w:r>
                </w:p>
              </w:tc>
              <w:tc>
                <w:tcPr>
                  <w:tcW w:w="490" w:type="pct"/>
                  <w:shd w:val="clear" w:color="auto" w:fill="auto"/>
                  <w:vAlign w:val="center"/>
                </w:tcPr>
                <w:p>
                  <w:pPr>
                    <w:spacing w:line="240" w:lineRule="auto"/>
                    <w:ind w:right="46" w:rightChars="19" w:firstLine="0" w:firstLineChars="0"/>
                    <w:jc w:val="center"/>
                    <w:rPr>
                      <w:sz w:val="21"/>
                      <w:szCs w:val="21"/>
                    </w:rPr>
                  </w:pPr>
                  <w:r>
                    <w:rPr>
                      <w:rFonts w:hint="eastAsia"/>
                      <w:sz w:val="21"/>
                      <w:szCs w:val="21"/>
                    </w:rPr>
                    <w:t>浓度</w:t>
                  </w:r>
                  <w:r>
                    <w:rPr>
                      <w:sz w:val="21"/>
                      <w:szCs w:val="21"/>
                    </w:rPr>
                    <w:t>（mg/L）</w:t>
                  </w:r>
                </w:p>
              </w:tc>
              <w:tc>
                <w:tcPr>
                  <w:tcW w:w="361" w:type="pct"/>
                  <w:shd w:val="clear" w:color="auto" w:fill="auto"/>
                  <w:vAlign w:val="center"/>
                </w:tcPr>
                <w:p>
                  <w:pPr>
                    <w:spacing w:line="240" w:lineRule="auto"/>
                    <w:ind w:firstLine="0" w:firstLineChars="0"/>
                    <w:jc w:val="center"/>
                    <w:rPr>
                      <w:sz w:val="21"/>
                      <w:szCs w:val="21"/>
                    </w:rPr>
                  </w:pPr>
                  <w:r>
                    <w:rPr>
                      <w:rFonts w:hint="eastAsia"/>
                      <w:sz w:val="21"/>
                      <w:szCs w:val="21"/>
                    </w:rPr>
                    <w:t>150</w:t>
                  </w:r>
                </w:p>
              </w:tc>
              <w:tc>
                <w:tcPr>
                  <w:tcW w:w="313" w:type="pct"/>
                  <w:shd w:val="clear" w:color="auto" w:fill="auto"/>
                  <w:vAlign w:val="center"/>
                </w:tcPr>
                <w:p>
                  <w:pPr>
                    <w:spacing w:line="240" w:lineRule="auto"/>
                    <w:ind w:firstLine="0" w:firstLineChars="0"/>
                    <w:jc w:val="center"/>
                    <w:rPr>
                      <w:sz w:val="21"/>
                      <w:szCs w:val="21"/>
                    </w:rPr>
                  </w:pPr>
                  <w:r>
                    <w:rPr>
                      <w:rFonts w:hint="eastAsia"/>
                      <w:sz w:val="21"/>
                      <w:szCs w:val="21"/>
                    </w:rPr>
                    <w:t>—</w:t>
                  </w:r>
                </w:p>
              </w:tc>
              <w:tc>
                <w:tcPr>
                  <w:tcW w:w="313" w:type="pct"/>
                  <w:shd w:val="clear" w:color="auto" w:fill="auto"/>
                  <w:vAlign w:val="center"/>
                </w:tcPr>
                <w:p>
                  <w:pPr>
                    <w:spacing w:line="240" w:lineRule="auto"/>
                    <w:ind w:firstLine="0" w:firstLineChars="0"/>
                    <w:jc w:val="center"/>
                    <w:rPr>
                      <w:sz w:val="21"/>
                      <w:szCs w:val="21"/>
                    </w:rPr>
                  </w:pPr>
                  <w:r>
                    <w:rPr>
                      <w:rFonts w:hint="eastAsia"/>
                      <w:sz w:val="21"/>
                      <w:szCs w:val="21"/>
                    </w:rPr>
                    <w:t>40</w:t>
                  </w:r>
                </w:p>
              </w:tc>
              <w:tc>
                <w:tcPr>
                  <w:tcW w:w="346" w:type="pct"/>
                  <w:shd w:val="clear" w:color="auto" w:fill="auto"/>
                  <w:vAlign w:val="center"/>
                </w:tcPr>
                <w:p>
                  <w:pPr>
                    <w:spacing w:line="240" w:lineRule="auto"/>
                    <w:ind w:firstLine="0" w:firstLineChars="0"/>
                    <w:jc w:val="center"/>
                    <w:rPr>
                      <w:sz w:val="21"/>
                      <w:szCs w:val="21"/>
                    </w:rPr>
                  </w:pPr>
                  <w:r>
                    <w:rPr>
                      <w:rFonts w:hint="eastAsia"/>
                      <w:sz w:val="21"/>
                      <w:szCs w:val="21"/>
                    </w:rPr>
                    <w:t>—</w:t>
                  </w:r>
                </w:p>
              </w:tc>
              <w:tc>
                <w:tcPr>
                  <w:tcW w:w="313" w:type="pct"/>
                  <w:shd w:val="clear" w:color="auto" w:fill="auto"/>
                  <w:vAlign w:val="center"/>
                </w:tcPr>
                <w:p>
                  <w:pPr>
                    <w:spacing w:line="240" w:lineRule="auto"/>
                    <w:ind w:firstLine="0" w:firstLineChars="0"/>
                    <w:jc w:val="center"/>
                    <w:rPr>
                      <w:sz w:val="21"/>
                      <w:szCs w:val="21"/>
                    </w:rPr>
                  </w:pPr>
                  <w:r>
                    <w:rPr>
                      <w:rFonts w:hint="eastAsia"/>
                      <w:sz w:val="21"/>
                      <w:szCs w:val="21"/>
                    </w:rPr>
                    <w:t>—</w:t>
                  </w:r>
                </w:p>
              </w:tc>
              <w:tc>
                <w:tcPr>
                  <w:tcW w:w="313" w:type="pct"/>
                  <w:shd w:val="clear" w:color="auto" w:fill="auto"/>
                  <w:vAlign w:val="center"/>
                </w:tcPr>
                <w:p>
                  <w:pPr>
                    <w:spacing w:line="240" w:lineRule="auto"/>
                    <w:ind w:firstLine="0" w:firstLineChars="0"/>
                    <w:jc w:val="center"/>
                    <w:rPr>
                      <w:sz w:val="21"/>
                      <w:szCs w:val="21"/>
                    </w:rPr>
                  </w:pPr>
                  <w:r>
                    <w:rPr>
                      <w:rFonts w:hint="eastAsia"/>
                      <w:sz w:val="21"/>
                      <w:szCs w:val="21"/>
                    </w:rPr>
                    <w:t>—</w:t>
                  </w:r>
                </w:p>
              </w:tc>
              <w:tc>
                <w:tcPr>
                  <w:tcW w:w="301" w:type="pct"/>
                  <w:vAlign w:val="center"/>
                </w:tcPr>
                <w:p>
                  <w:pPr>
                    <w:spacing w:line="240" w:lineRule="auto"/>
                    <w:ind w:right="46" w:rightChars="19" w:firstLine="0" w:firstLineChars="0"/>
                    <w:jc w:val="center"/>
                    <w:rPr>
                      <w:sz w:val="21"/>
                      <w:szCs w:val="21"/>
                    </w:rPr>
                  </w:pPr>
                  <w:r>
                    <w:rPr>
                      <w:rFonts w:hint="eastAsia"/>
                      <w:sz w:val="21"/>
                      <w:szCs w:val="21"/>
                    </w:rPr>
                    <w:t>—</w:t>
                  </w:r>
                </w:p>
              </w:tc>
              <w:tc>
                <w:tcPr>
                  <w:tcW w:w="324" w:type="pct"/>
                  <w:vAlign w:val="center"/>
                </w:tcPr>
                <w:p>
                  <w:pPr>
                    <w:spacing w:line="240" w:lineRule="auto"/>
                    <w:ind w:right="46" w:rightChars="19" w:firstLine="0" w:firstLineChars="0"/>
                    <w:jc w:val="center"/>
                    <w:rPr>
                      <w:sz w:val="21"/>
                      <w:szCs w:val="21"/>
                    </w:rPr>
                  </w:pPr>
                  <w:r>
                    <w:rPr>
                      <w:rFonts w:hint="eastAsia"/>
                      <w:sz w:val="21"/>
                      <w:szCs w:val="21"/>
                    </w:rPr>
                    <w:t>—</w:t>
                  </w:r>
                </w:p>
              </w:tc>
              <w:tc>
                <w:tcPr>
                  <w:tcW w:w="515" w:type="pct"/>
                  <w:vAlign w:val="center"/>
                </w:tcPr>
                <w:p>
                  <w:pPr>
                    <w:spacing w:line="240" w:lineRule="auto"/>
                    <w:ind w:right="46" w:rightChars="19" w:firstLine="0" w:firstLineChars="0"/>
                    <w:jc w:val="center"/>
                    <w:rPr>
                      <w:sz w:val="21"/>
                      <w:szCs w:val="21"/>
                    </w:rPr>
                  </w:pPr>
                  <w:r>
                    <w:rPr>
                      <w:rFonts w:hint="eastAsia"/>
                      <w:sz w:val="21"/>
                      <w:szCs w:val="21"/>
                    </w:rPr>
                    <w:t>—</w:t>
                  </w:r>
                </w:p>
              </w:tc>
              <w:tc>
                <w:tcPr>
                  <w:tcW w:w="484" w:type="pct"/>
                  <w:shd w:val="clear" w:color="auto" w:fill="auto"/>
                  <w:vAlign w:val="center"/>
                </w:tcPr>
                <w:p>
                  <w:pPr>
                    <w:spacing w:line="240" w:lineRule="auto"/>
                    <w:ind w:right="46" w:rightChars="19" w:firstLine="0" w:firstLineChars="0"/>
                    <w:jc w:val="center"/>
                    <w:rPr>
                      <w:sz w:val="21"/>
                      <w:szCs w:val="21"/>
                    </w:rPr>
                  </w:pPr>
                  <w:r>
                    <w:rPr>
                      <w:rFonts w:hint="eastAsia"/>
                      <w:sz w:val="21"/>
                      <w:szCs w:val="21"/>
                    </w:rPr>
                    <w:t>7.5～8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444" w:type="pct"/>
                  <w:vMerge w:val="continue"/>
                  <w:shd w:val="clear" w:color="auto" w:fill="auto"/>
                  <w:vAlign w:val="center"/>
                </w:tcPr>
                <w:p>
                  <w:pPr>
                    <w:spacing w:line="240" w:lineRule="auto"/>
                    <w:ind w:right="46" w:rightChars="19" w:firstLine="0" w:firstLineChars="0"/>
                    <w:jc w:val="center"/>
                    <w:rPr>
                      <w:sz w:val="21"/>
                      <w:szCs w:val="21"/>
                    </w:rPr>
                  </w:pPr>
                </w:p>
              </w:tc>
              <w:tc>
                <w:tcPr>
                  <w:tcW w:w="483" w:type="pct"/>
                  <w:vMerge w:val="continue"/>
                  <w:vAlign w:val="center"/>
                </w:tcPr>
                <w:p>
                  <w:pPr>
                    <w:spacing w:line="240" w:lineRule="auto"/>
                    <w:ind w:right="46" w:rightChars="19" w:firstLine="0" w:firstLineChars="0"/>
                    <w:jc w:val="center"/>
                    <w:rPr>
                      <w:sz w:val="21"/>
                      <w:szCs w:val="21"/>
                    </w:rPr>
                  </w:pPr>
                </w:p>
              </w:tc>
              <w:tc>
                <w:tcPr>
                  <w:tcW w:w="490" w:type="pct"/>
                  <w:shd w:val="clear" w:color="auto" w:fill="auto"/>
                  <w:vAlign w:val="center"/>
                </w:tcPr>
                <w:p>
                  <w:pPr>
                    <w:spacing w:line="240" w:lineRule="auto"/>
                    <w:ind w:right="46" w:rightChars="19" w:firstLine="0" w:firstLineChars="0"/>
                    <w:jc w:val="center"/>
                    <w:rPr>
                      <w:sz w:val="21"/>
                      <w:szCs w:val="21"/>
                    </w:rPr>
                  </w:pPr>
                  <w:r>
                    <w:rPr>
                      <w:rFonts w:hint="eastAsia"/>
                      <w:sz w:val="21"/>
                      <w:szCs w:val="21"/>
                    </w:rPr>
                    <w:t>产生量（t/a）</w:t>
                  </w:r>
                </w:p>
              </w:tc>
              <w:tc>
                <w:tcPr>
                  <w:tcW w:w="361" w:type="pct"/>
                  <w:shd w:val="clear" w:color="auto" w:fill="auto"/>
                  <w:vAlign w:val="center"/>
                </w:tcPr>
                <w:p>
                  <w:pPr>
                    <w:spacing w:line="240" w:lineRule="auto"/>
                    <w:ind w:firstLine="0" w:firstLineChars="0"/>
                    <w:jc w:val="center"/>
                    <w:rPr>
                      <w:color w:val="000000"/>
                      <w:sz w:val="21"/>
                      <w:szCs w:val="21"/>
                    </w:rPr>
                  </w:pPr>
                  <w:r>
                    <w:rPr>
                      <w:color w:val="000000"/>
                      <w:sz w:val="21"/>
                      <w:szCs w:val="21"/>
                    </w:rPr>
                    <w:t xml:space="preserve">0.027 </w:t>
                  </w:r>
                </w:p>
              </w:tc>
              <w:tc>
                <w:tcPr>
                  <w:tcW w:w="313" w:type="pct"/>
                  <w:shd w:val="clear" w:color="auto" w:fill="auto"/>
                  <w:vAlign w:val="center"/>
                </w:tcPr>
                <w:p>
                  <w:pPr>
                    <w:spacing w:line="240" w:lineRule="auto"/>
                    <w:ind w:firstLine="0" w:firstLineChars="0"/>
                    <w:jc w:val="center"/>
                    <w:rPr>
                      <w:color w:val="000000"/>
                      <w:sz w:val="21"/>
                      <w:szCs w:val="21"/>
                    </w:rPr>
                  </w:pPr>
                  <w:r>
                    <w:rPr>
                      <w:rFonts w:hint="eastAsia"/>
                      <w:color w:val="000000"/>
                      <w:sz w:val="21"/>
                      <w:szCs w:val="21"/>
                    </w:rPr>
                    <w:t>/</w:t>
                  </w:r>
                </w:p>
              </w:tc>
              <w:tc>
                <w:tcPr>
                  <w:tcW w:w="313" w:type="pct"/>
                  <w:shd w:val="clear" w:color="auto" w:fill="auto"/>
                  <w:vAlign w:val="center"/>
                </w:tcPr>
                <w:p>
                  <w:pPr>
                    <w:spacing w:line="240" w:lineRule="auto"/>
                    <w:ind w:firstLine="0" w:firstLineChars="0"/>
                    <w:jc w:val="center"/>
                    <w:rPr>
                      <w:color w:val="000000"/>
                      <w:sz w:val="21"/>
                      <w:szCs w:val="21"/>
                    </w:rPr>
                  </w:pPr>
                  <w:r>
                    <w:rPr>
                      <w:color w:val="000000"/>
                      <w:sz w:val="21"/>
                      <w:szCs w:val="21"/>
                    </w:rPr>
                    <w:t xml:space="preserve">0.007 </w:t>
                  </w:r>
                </w:p>
              </w:tc>
              <w:tc>
                <w:tcPr>
                  <w:tcW w:w="346" w:type="pct"/>
                  <w:shd w:val="clear" w:color="auto" w:fill="auto"/>
                  <w:vAlign w:val="center"/>
                </w:tcPr>
                <w:p>
                  <w:pPr>
                    <w:spacing w:line="240" w:lineRule="auto"/>
                    <w:ind w:firstLine="0" w:firstLineChars="0"/>
                    <w:jc w:val="center"/>
                    <w:rPr>
                      <w:sz w:val="21"/>
                      <w:szCs w:val="21"/>
                    </w:rPr>
                  </w:pPr>
                  <w:r>
                    <w:rPr>
                      <w:rFonts w:hint="eastAsia"/>
                      <w:sz w:val="21"/>
                      <w:szCs w:val="21"/>
                    </w:rPr>
                    <w:t>/</w:t>
                  </w:r>
                </w:p>
              </w:tc>
              <w:tc>
                <w:tcPr>
                  <w:tcW w:w="313" w:type="pct"/>
                  <w:shd w:val="clear" w:color="auto" w:fill="auto"/>
                  <w:vAlign w:val="center"/>
                </w:tcPr>
                <w:p>
                  <w:pPr>
                    <w:spacing w:line="240" w:lineRule="auto"/>
                    <w:ind w:firstLine="0" w:firstLineChars="0"/>
                    <w:jc w:val="center"/>
                    <w:rPr>
                      <w:sz w:val="21"/>
                      <w:szCs w:val="21"/>
                    </w:rPr>
                  </w:pPr>
                  <w:r>
                    <w:rPr>
                      <w:rFonts w:hint="eastAsia"/>
                      <w:sz w:val="21"/>
                      <w:szCs w:val="21"/>
                    </w:rPr>
                    <w:t>/</w:t>
                  </w:r>
                </w:p>
              </w:tc>
              <w:tc>
                <w:tcPr>
                  <w:tcW w:w="313" w:type="pct"/>
                  <w:shd w:val="clear" w:color="auto" w:fill="auto"/>
                  <w:vAlign w:val="center"/>
                </w:tcPr>
                <w:p>
                  <w:pPr>
                    <w:spacing w:line="240" w:lineRule="auto"/>
                    <w:ind w:firstLine="0" w:firstLineChars="0"/>
                    <w:jc w:val="center"/>
                    <w:rPr>
                      <w:sz w:val="21"/>
                      <w:szCs w:val="21"/>
                    </w:rPr>
                  </w:pPr>
                  <w:r>
                    <w:rPr>
                      <w:rFonts w:hint="eastAsia"/>
                      <w:sz w:val="21"/>
                      <w:szCs w:val="21"/>
                    </w:rPr>
                    <w:t>/</w:t>
                  </w:r>
                </w:p>
              </w:tc>
              <w:tc>
                <w:tcPr>
                  <w:tcW w:w="301" w:type="pct"/>
                  <w:vAlign w:val="center"/>
                </w:tcPr>
                <w:p>
                  <w:pPr>
                    <w:spacing w:line="240" w:lineRule="auto"/>
                    <w:ind w:right="46" w:rightChars="19" w:firstLine="0" w:firstLineChars="0"/>
                    <w:jc w:val="center"/>
                    <w:rPr>
                      <w:sz w:val="21"/>
                      <w:szCs w:val="21"/>
                    </w:rPr>
                  </w:pPr>
                  <w:r>
                    <w:rPr>
                      <w:rFonts w:hint="eastAsia"/>
                      <w:sz w:val="21"/>
                      <w:szCs w:val="21"/>
                    </w:rPr>
                    <w:t>/</w:t>
                  </w:r>
                </w:p>
              </w:tc>
              <w:tc>
                <w:tcPr>
                  <w:tcW w:w="324" w:type="pct"/>
                  <w:vAlign w:val="center"/>
                </w:tcPr>
                <w:p>
                  <w:pPr>
                    <w:spacing w:line="240" w:lineRule="auto"/>
                    <w:ind w:right="46" w:rightChars="19" w:firstLine="0" w:firstLineChars="0"/>
                    <w:jc w:val="center"/>
                    <w:rPr>
                      <w:sz w:val="21"/>
                      <w:szCs w:val="21"/>
                    </w:rPr>
                  </w:pPr>
                  <w:r>
                    <w:rPr>
                      <w:rFonts w:hint="eastAsia"/>
                      <w:sz w:val="21"/>
                      <w:szCs w:val="21"/>
                    </w:rPr>
                    <w:t>/</w:t>
                  </w:r>
                </w:p>
              </w:tc>
              <w:tc>
                <w:tcPr>
                  <w:tcW w:w="515" w:type="pct"/>
                  <w:vAlign w:val="center"/>
                </w:tcPr>
                <w:p>
                  <w:pPr>
                    <w:spacing w:line="240" w:lineRule="auto"/>
                    <w:ind w:right="46" w:rightChars="19" w:firstLine="0" w:firstLineChars="0"/>
                    <w:jc w:val="center"/>
                    <w:rPr>
                      <w:sz w:val="21"/>
                      <w:szCs w:val="21"/>
                    </w:rPr>
                  </w:pPr>
                  <w:r>
                    <w:rPr>
                      <w:rFonts w:hint="eastAsia"/>
                      <w:sz w:val="21"/>
                      <w:szCs w:val="21"/>
                    </w:rPr>
                    <w:t>/</w:t>
                  </w:r>
                </w:p>
              </w:tc>
              <w:tc>
                <w:tcPr>
                  <w:tcW w:w="484" w:type="pct"/>
                  <w:shd w:val="clear" w:color="auto" w:fill="auto"/>
                  <w:vAlign w:val="center"/>
                </w:tcPr>
                <w:p>
                  <w:pPr>
                    <w:spacing w:line="240" w:lineRule="auto"/>
                    <w:ind w:right="46" w:rightChars="19" w:firstLine="0" w:firstLineChars="0"/>
                    <w:jc w:val="center"/>
                    <w:rPr>
                      <w:sz w:val="21"/>
                      <w:szCs w:val="21"/>
                    </w:rPr>
                  </w:pPr>
                  <w:r>
                    <w:rPr>
                      <w:rFonts w:hint="eastAsia"/>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444" w:type="pct"/>
                  <w:vMerge w:val="restart"/>
                  <w:shd w:val="clear" w:color="auto" w:fill="auto"/>
                  <w:vAlign w:val="center"/>
                </w:tcPr>
                <w:p>
                  <w:pPr>
                    <w:spacing w:line="240" w:lineRule="auto"/>
                    <w:ind w:right="46" w:rightChars="19" w:firstLine="0" w:firstLineChars="0"/>
                    <w:jc w:val="center"/>
                    <w:rPr>
                      <w:sz w:val="21"/>
                      <w:szCs w:val="21"/>
                    </w:rPr>
                  </w:pPr>
                  <w:r>
                    <w:rPr>
                      <w:rFonts w:hint="eastAsia"/>
                      <w:sz w:val="21"/>
                      <w:szCs w:val="21"/>
                    </w:rPr>
                    <w:t>软水制备系统排污水</w:t>
                  </w:r>
                </w:p>
              </w:tc>
              <w:tc>
                <w:tcPr>
                  <w:tcW w:w="483" w:type="pct"/>
                  <w:vMerge w:val="restart"/>
                  <w:vAlign w:val="center"/>
                </w:tcPr>
                <w:p>
                  <w:pPr>
                    <w:spacing w:line="240" w:lineRule="auto"/>
                    <w:ind w:right="46" w:rightChars="19" w:firstLine="0" w:firstLineChars="0"/>
                    <w:jc w:val="center"/>
                    <w:rPr>
                      <w:sz w:val="21"/>
                      <w:szCs w:val="21"/>
                    </w:rPr>
                  </w:pPr>
                  <w:r>
                    <w:rPr>
                      <w:rFonts w:hint="eastAsia"/>
                      <w:sz w:val="21"/>
                      <w:szCs w:val="21"/>
                    </w:rPr>
                    <w:t>0.19m</w:t>
                  </w:r>
                  <w:r>
                    <w:rPr>
                      <w:rFonts w:hint="eastAsia"/>
                      <w:sz w:val="21"/>
                      <w:szCs w:val="21"/>
                      <w:vertAlign w:val="superscript"/>
                    </w:rPr>
                    <w:t>3</w:t>
                  </w:r>
                  <w:r>
                    <w:rPr>
                      <w:rFonts w:hint="eastAsia"/>
                      <w:sz w:val="21"/>
                      <w:szCs w:val="21"/>
                    </w:rPr>
                    <w:t>/d</w:t>
                  </w:r>
                </w:p>
                <w:p>
                  <w:pPr>
                    <w:spacing w:line="240" w:lineRule="auto"/>
                    <w:ind w:right="46" w:rightChars="19" w:firstLine="0" w:firstLineChars="0"/>
                    <w:jc w:val="center"/>
                    <w:rPr>
                      <w:sz w:val="21"/>
                      <w:szCs w:val="21"/>
                    </w:rPr>
                  </w:pPr>
                  <w:r>
                    <w:rPr>
                      <w:rFonts w:hint="eastAsia"/>
                      <w:sz w:val="21"/>
                      <w:szCs w:val="21"/>
                    </w:rPr>
                    <w:t>69.35m</w:t>
                  </w:r>
                  <w:r>
                    <w:rPr>
                      <w:rFonts w:hint="eastAsia"/>
                      <w:sz w:val="21"/>
                      <w:szCs w:val="21"/>
                      <w:vertAlign w:val="superscript"/>
                    </w:rPr>
                    <w:t>3</w:t>
                  </w:r>
                  <w:r>
                    <w:rPr>
                      <w:rFonts w:hint="eastAsia"/>
                      <w:sz w:val="21"/>
                      <w:szCs w:val="21"/>
                    </w:rPr>
                    <w:t>/a</w:t>
                  </w:r>
                </w:p>
              </w:tc>
              <w:tc>
                <w:tcPr>
                  <w:tcW w:w="490" w:type="pct"/>
                  <w:shd w:val="clear" w:color="auto" w:fill="auto"/>
                  <w:vAlign w:val="center"/>
                </w:tcPr>
                <w:p>
                  <w:pPr>
                    <w:spacing w:line="240" w:lineRule="auto"/>
                    <w:ind w:right="46" w:rightChars="19" w:firstLine="0" w:firstLineChars="0"/>
                    <w:jc w:val="center"/>
                    <w:rPr>
                      <w:sz w:val="21"/>
                      <w:szCs w:val="21"/>
                    </w:rPr>
                  </w:pPr>
                  <w:r>
                    <w:rPr>
                      <w:rFonts w:hint="eastAsia"/>
                      <w:sz w:val="21"/>
                      <w:szCs w:val="21"/>
                    </w:rPr>
                    <w:t>浓度</w:t>
                  </w:r>
                  <w:r>
                    <w:rPr>
                      <w:sz w:val="21"/>
                      <w:szCs w:val="21"/>
                    </w:rPr>
                    <w:t>（mg/L）</w:t>
                  </w:r>
                </w:p>
              </w:tc>
              <w:tc>
                <w:tcPr>
                  <w:tcW w:w="361" w:type="pct"/>
                  <w:shd w:val="clear" w:color="auto" w:fill="auto"/>
                  <w:vAlign w:val="center"/>
                </w:tcPr>
                <w:p>
                  <w:pPr>
                    <w:spacing w:line="240" w:lineRule="auto"/>
                    <w:ind w:firstLine="0" w:firstLineChars="0"/>
                    <w:jc w:val="center"/>
                    <w:rPr>
                      <w:sz w:val="21"/>
                      <w:szCs w:val="21"/>
                    </w:rPr>
                  </w:pPr>
                  <w:r>
                    <w:rPr>
                      <w:rFonts w:hint="eastAsia"/>
                      <w:sz w:val="21"/>
                      <w:szCs w:val="21"/>
                    </w:rPr>
                    <w:t>50</w:t>
                  </w:r>
                </w:p>
              </w:tc>
              <w:tc>
                <w:tcPr>
                  <w:tcW w:w="313" w:type="pct"/>
                  <w:shd w:val="clear" w:color="auto" w:fill="auto"/>
                  <w:vAlign w:val="center"/>
                </w:tcPr>
                <w:p>
                  <w:pPr>
                    <w:spacing w:line="240" w:lineRule="auto"/>
                    <w:ind w:firstLine="0" w:firstLineChars="0"/>
                    <w:jc w:val="center"/>
                    <w:rPr>
                      <w:sz w:val="21"/>
                      <w:szCs w:val="21"/>
                    </w:rPr>
                  </w:pPr>
                  <w:r>
                    <w:rPr>
                      <w:rFonts w:hint="eastAsia"/>
                      <w:sz w:val="21"/>
                      <w:szCs w:val="21"/>
                    </w:rPr>
                    <w:t>20</w:t>
                  </w:r>
                </w:p>
              </w:tc>
              <w:tc>
                <w:tcPr>
                  <w:tcW w:w="313" w:type="pct"/>
                  <w:shd w:val="clear" w:color="auto" w:fill="auto"/>
                  <w:vAlign w:val="center"/>
                </w:tcPr>
                <w:p>
                  <w:pPr>
                    <w:spacing w:line="240" w:lineRule="auto"/>
                    <w:ind w:firstLine="0" w:firstLineChars="0"/>
                    <w:jc w:val="center"/>
                    <w:rPr>
                      <w:sz w:val="21"/>
                      <w:szCs w:val="21"/>
                    </w:rPr>
                  </w:pPr>
                  <w:r>
                    <w:rPr>
                      <w:rFonts w:hint="eastAsia"/>
                      <w:sz w:val="21"/>
                      <w:szCs w:val="21"/>
                    </w:rPr>
                    <w:t>15</w:t>
                  </w:r>
                </w:p>
              </w:tc>
              <w:tc>
                <w:tcPr>
                  <w:tcW w:w="346" w:type="pct"/>
                  <w:shd w:val="clear" w:color="auto" w:fill="auto"/>
                  <w:vAlign w:val="center"/>
                </w:tcPr>
                <w:p>
                  <w:pPr>
                    <w:spacing w:line="240" w:lineRule="auto"/>
                    <w:ind w:firstLine="0" w:firstLineChars="0"/>
                    <w:jc w:val="center"/>
                    <w:rPr>
                      <w:sz w:val="21"/>
                      <w:szCs w:val="21"/>
                    </w:rPr>
                  </w:pPr>
                  <w:r>
                    <w:rPr>
                      <w:rFonts w:hint="eastAsia"/>
                      <w:sz w:val="21"/>
                      <w:szCs w:val="21"/>
                    </w:rPr>
                    <w:t>0.5</w:t>
                  </w:r>
                </w:p>
              </w:tc>
              <w:tc>
                <w:tcPr>
                  <w:tcW w:w="313" w:type="pct"/>
                  <w:shd w:val="clear" w:color="auto" w:fill="auto"/>
                  <w:vAlign w:val="center"/>
                </w:tcPr>
                <w:p>
                  <w:pPr>
                    <w:spacing w:line="240" w:lineRule="auto"/>
                    <w:ind w:firstLine="0" w:firstLineChars="0"/>
                    <w:jc w:val="center"/>
                    <w:rPr>
                      <w:sz w:val="21"/>
                      <w:szCs w:val="21"/>
                    </w:rPr>
                  </w:pPr>
                  <w:r>
                    <w:rPr>
                      <w:rFonts w:hint="eastAsia"/>
                      <w:sz w:val="21"/>
                      <w:szCs w:val="21"/>
                    </w:rPr>
                    <w:t>—</w:t>
                  </w:r>
                </w:p>
              </w:tc>
              <w:tc>
                <w:tcPr>
                  <w:tcW w:w="313" w:type="pct"/>
                  <w:shd w:val="clear" w:color="auto" w:fill="auto"/>
                  <w:vAlign w:val="center"/>
                </w:tcPr>
                <w:p>
                  <w:pPr>
                    <w:spacing w:line="240" w:lineRule="auto"/>
                    <w:ind w:firstLine="0" w:firstLineChars="0"/>
                    <w:jc w:val="center"/>
                    <w:rPr>
                      <w:sz w:val="21"/>
                      <w:szCs w:val="21"/>
                    </w:rPr>
                  </w:pPr>
                  <w:r>
                    <w:rPr>
                      <w:rFonts w:hint="eastAsia"/>
                      <w:sz w:val="21"/>
                      <w:szCs w:val="21"/>
                    </w:rPr>
                    <w:t>—</w:t>
                  </w:r>
                </w:p>
              </w:tc>
              <w:tc>
                <w:tcPr>
                  <w:tcW w:w="301" w:type="pct"/>
                  <w:vAlign w:val="center"/>
                </w:tcPr>
                <w:p>
                  <w:pPr>
                    <w:spacing w:line="240" w:lineRule="auto"/>
                    <w:ind w:right="46" w:rightChars="19" w:firstLine="0" w:firstLineChars="0"/>
                    <w:jc w:val="center"/>
                    <w:rPr>
                      <w:sz w:val="21"/>
                      <w:szCs w:val="21"/>
                    </w:rPr>
                  </w:pPr>
                  <w:r>
                    <w:rPr>
                      <w:rFonts w:hint="eastAsia"/>
                      <w:sz w:val="21"/>
                      <w:szCs w:val="21"/>
                    </w:rPr>
                    <w:t>—</w:t>
                  </w:r>
                </w:p>
              </w:tc>
              <w:tc>
                <w:tcPr>
                  <w:tcW w:w="324" w:type="pct"/>
                  <w:vAlign w:val="center"/>
                </w:tcPr>
                <w:p>
                  <w:pPr>
                    <w:spacing w:line="240" w:lineRule="auto"/>
                    <w:ind w:right="46" w:rightChars="19" w:firstLine="0" w:firstLineChars="0"/>
                    <w:jc w:val="center"/>
                    <w:rPr>
                      <w:sz w:val="21"/>
                      <w:szCs w:val="21"/>
                    </w:rPr>
                  </w:pPr>
                  <w:r>
                    <w:rPr>
                      <w:rFonts w:hint="eastAsia"/>
                      <w:sz w:val="21"/>
                      <w:szCs w:val="21"/>
                    </w:rPr>
                    <w:t>—</w:t>
                  </w:r>
                </w:p>
              </w:tc>
              <w:tc>
                <w:tcPr>
                  <w:tcW w:w="515" w:type="pct"/>
                  <w:vAlign w:val="center"/>
                </w:tcPr>
                <w:p>
                  <w:pPr>
                    <w:spacing w:line="240" w:lineRule="auto"/>
                    <w:ind w:right="46" w:rightChars="19" w:firstLine="0" w:firstLineChars="0"/>
                    <w:jc w:val="center"/>
                    <w:rPr>
                      <w:sz w:val="21"/>
                      <w:szCs w:val="21"/>
                    </w:rPr>
                  </w:pPr>
                  <w:r>
                    <w:rPr>
                      <w:rFonts w:hint="eastAsia"/>
                      <w:sz w:val="21"/>
                      <w:szCs w:val="21"/>
                    </w:rPr>
                    <w:t>—</w:t>
                  </w:r>
                </w:p>
              </w:tc>
              <w:tc>
                <w:tcPr>
                  <w:tcW w:w="484" w:type="pct"/>
                  <w:shd w:val="clear" w:color="auto" w:fill="auto"/>
                  <w:vAlign w:val="center"/>
                </w:tcPr>
                <w:p>
                  <w:pPr>
                    <w:spacing w:line="240" w:lineRule="auto"/>
                    <w:ind w:right="46" w:rightChars="19" w:firstLine="0" w:firstLineChars="0"/>
                    <w:jc w:val="center"/>
                    <w:rPr>
                      <w:sz w:val="21"/>
                      <w:szCs w:val="21"/>
                    </w:rPr>
                  </w:pPr>
                  <w:r>
                    <w:rPr>
                      <w:rFonts w:hint="eastAsia"/>
                      <w:sz w:val="21"/>
                      <w:szCs w:val="21"/>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444" w:type="pct"/>
                  <w:vMerge w:val="continue"/>
                  <w:shd w:val="clear" w:color="auto" w:fill="auto"/>
                  <w:vAlign w:val="center"/>
                </w:tcPr>
                <w:p>
                  <w:pPr>
                    <w:spacing w:line="240" w:lineRule="auto"/>
                    <w:ind w:right="46" w:rightChars="19" w:firstLine="0" w:firstLineChars="0"/>
                    <w:jc w:val="center"/>
                    <w:rPr>
                      <w:sz w:val="21"/>
                      <w:szCs w:val="21"/>
                    </w:rPr>
                  </w:pPr>
                </w:p>
              </w:tc>
              <w:tc>
                <w:tcPr>
                  <w:tcW w:w="483" w:type="pct"/>
                  <w:vMerge w:val="continue"/>
                  <w:vAlign w:val="center"/>
                </w:tcPr>
                <w:p>
                  <w:pPr>
                    <w:spacing w:line="240" w:lineRule="auto"/>
                    <w:ind w:right="46" w:rightChars="19" w:firstLine="0" w:firstLineChars="0"/>
                    <w:jc w:val="center"/>
                    <w:rPr>
                      <w:sz w:val="21"/>
                      <w:szCs w:val="21"/>
                    </w:rPr>
                  </w:pPr>
                </w:p>
              </w:tc>
              <w:tc>
                <w:tcPr>
                  <w:tcW w:w="490" w:type="pct"/>
                  <w:shd w:val="clear" w:color="auto" w:fill="auto"/>
                  <w:vAlign w:val="center"/>
                </w:tcPr>
                <w:p>
                  <w:pPr>
                    <w:spacing w:line="240" w:lineRule="auto"/>
                    <w:ind w:right="46" w:rightChars="19" w:firstLine="0" w:firstLineChars="0"/>
                    <w:jc w:val="center"/>
                    <w:rPr>
                      <w:sz w:val="21"/>
                      <w:szCs w:val="21"/>
                    </w:rPr>
                  </w:pPr>
                  <w:r>
                    <w:rPr>
                      <w:rFonts w:hint="eastAsia"/>
                      <w:sz w:val="21"/>
                      <w:szCs w:val="21"/>
                    </w:rPr>
                    <w:t>产生量（t/a）</w:t>
                  </w:r>
                </w:p>
              </w:tc>
              <w:tc>
                <w:tcPr>
                  <w:tcW w:w="361" w:type="pct"/>
                  <w:shd w:val="clear" w:color="auto" w:fill="auto"/>
                  <w:vAlign w:val="center"/>
                </w:tcPr>
                <w:p>
                  <w:pPr>
                    <w:spacing w:line="240" w:lineRule="auto"/>
                    <w:ind w:firstLine="0" w:firstLineChars="0"/>
                    <w:jc w:val="center"/>
                    <w:rPr>
                      <w:color w:val="000000"/>
                      <w:sz w:val="21"/>
                      <w:szCs w:val="21"/>
                    </w:rPr>
                  </w:pPr>
                  <w:r>
                    <w:rPr>
                      <w:color w:val="000000"/>
                      <w:sz w:val="21"/>
                      <w:szCs w:val="21"/>
                    </w:rPr>
                    <w:t xml:space="preserve">0.003 </w:t>
                  </w:r>
                </w:p>
              </w:tc>
              <w:tc>
                <w:tcPr>
                  <w:tcW w:w="313" w:type="pct"/>
                  <w:shd w:val="clear" w:color="auto" w:fill="auto"/>
                  <w:vAlign w:val="center"/>
                </w:tcPr>
                <w:p>
                  <w:pPr>
                    <w:spacing w:line="240" w:lineRule="auto"/>
                    <w:ind w:firstLine="0" w:firstLineChars="0"/>
                    <w:jc w:val="center"/>
                    <w:rPr>
                      <w:color w:val="000000"/>
                      <w:sz w:val="21"/>
                      <w:szCs w:val="21"/>
                    </w:rPr>
                  </w:pPr>
                  <w:r>
                    <w:rPr>
                      <w:color w:val="000000"/>
                      <w:sz w:val="21"/>
                      <w:szCs w:val="21"/>
                    </w:rPr>
                    <w:t xml:space="preserve">0.001 </w:t>
                  </w:r>
                </w:p>
              </w:tc>
              <w:tc>
                <w:tcPr>
                  <w:tcW w:w="313" w:type="pct"/>
                  <w:shd w:val="clear" w:color="auto" w:fill="auto"/>
                  <w:vAlign w:val="center"/>
                </w:tcPr>
                <w:p>
                  <w:pPr>
                    <w:spacing w:line="240" w:lineRule="auto"/>
                    <w:ind w:firstLine="0" w:firstLineChars="0"/>
                    <w:jc w:val="center"/>
                    <w:rPr>
                      <w:color w:val="000000"/>
                      <w:sz w:val="21"/>
                      <w:szCs w:val="21"/>
                    </w:rPr>
                  </w:pPr>
                  <w:r>
                    <w:rPr>
                      <w:color w:val="000000"/>
                      <w:sz w:val="21"/>
                      <w:szCs w:val="21"/>
                    </w:rPr>
                    <w:t xml:space="preserve">0.001 </w:t>
                  </w:r>
                </w:p>
              </w:tc>
              <w:tc>
                <w:tcPr>
                  <w:tcW w:w="346" w:type="pct"/>
                  <w:shd w:val="clear" w:color="auto" w:fill="auto"/>
                  <w:vAlign w:val="center"/>
                </w:tcPr>
                <w:p>
                  <w:pPr>
                    <w:spacing w:line="240" w:lineRule="auto"/>
                    <w:ind w:firstLine="0" w:firstLineChars="0"/>
                    <w:jc w:val="center"/>
                    <w:rPr>
                      <w:color w:val="000000"/>
                      <w:sz w:val="21"/>
                      <w:szCs w:val="21"/>
                    </w:rPr>
                  </w:pPr>
                  <w:r>
                    <w:rPr>
                      <w:color w:val="000000"/>
                      <w:sz w:val="21"/>
                      <w:szCs w:val="21"/>
                    </w:rPr>
                    <w:t xml:space="preserve">0.00003 </w:t>
                  </w:r>
                </w:p>
              </w:tc>
              <w:tc>
                <w:tcPr>
                  <w:tcW w:w="313" w:type="pct"/>
                  <w:shd w:val="clear" w:color="auto" w:fill="auto"/>
                  <w:vAlign w:val="center"/>
                </w:tcPr>
                <w:p>
                  <w:pPr>
                    <w:spacing w:line="240" w:lineRule="auto"/>
                    <w:ind w:firstLine="0" w:firstLineChars="0"/>
                    <w:jc w:val="center"/>
                    <w:rPr>
                      <w:sz w:val="21"/>
                      <w:szCs w:val="21"/>
                    </w:rPr>
                  </w:pPr>
                  <w:r>
                    <w:rPr>
                      <w:rFonts w:hint="eastAsia"/>
                      <w:sz w:val="21"/>
                      <w:szCs w:val="21"/>
                    </w:rPr>
                    <w:t>/</w:t>
                  </w:r>
                </w:p>
              </w:tc>
              <w:tc>
                <w:tcPr>
                  <w:tcW w:w="313" w:type="pct"/>
                  <w:shd w:val="clear" w:color="auto" w:fill="auto"/>
                  <w:vAlign w:val="center"/>
                </w:tcPr>
                <w:p>
                  <w:pPr>
                    <w:spacing w:line="240" w:lineRule="auto"/>
                    <w:ind w:firstLine="0" w:firstLineChars="0"/>
                    <w:jc w:val="center"/>
                    <w:rPr>
                      <w:sz w:val="21"/>
                      <w:szCs w:val="21"/>
                    </w:rPr>
                  </w:pPr>
                  <w:r>
                    <w:rPr>
                      <w:rFonts w:hint="eastAsia"/>
                      <w:sz w:val="21"/>
                      <w:szCs w:val="21"/>
                    </w:rPr>
                    <w:t>/</w:t>
                  </w:r>
                </w:p>
              </w:tc>
              <w:tc>
                <w:tcPr>
                  <w:tcW w:w="301" w:type="pct"/>
                  <w:vAlign w:val="center"/>
                </w:tcPr>
                <w:p>
                  <w:pPr>
                    <w:spacing w:line="240" w:lineRule="auto"/>
                    <w:ind w:right="46" w:rightChars="19" w:firstLine="0" w:firstLineChars="0"/>
                    <w:jc w:val="center"/>
                    <w:rPr>
                      <w:sz w:val="21"/>
                      <w:szCs w:val="21"/>
                    </w:rPr>
                  </w:pPr>
                  <w:r>
                    <w:rPr>
                      <w:rFonts w:hint="eastAsia"/>
                      <w:sz w:val="21"/>
                      <w:szCs w:val="21"/>
                    </w:rPr>
                    <w:t>/</w:t>
                  </w:r>
                </w:p>
              </w:tc>
              <w:tc>
                <w:tcPr>
                  <w:tcW w:w="324" w:type="pct"/>
                  <w:vAlign w:val="center"/>
                </w:tcPr>
                <w:p>
                  <w:pPr>
                    <w:spacing w:line="240" w:lineRule="auto"/>
                    <w:ind w:right="46" w:rightChars="19" w:firstLine="0" w:firstLineChars="0"/>
                    <w:jc w:val="center"/>
                    <w:rPr>
                      <w:sz w:val="21"/>
                      <w:szCs w:val="21"/>
                    </w:rPr>
                  </w:pPr>
                  <w:r>
                    <w:rPr>
                      <w:rFonts w:hint="eastAsia"/>
                      <w:sz w:val="21"/>
                      <w:szCs w:val="21"/>
                    </w:rPr>
                    <w:t>/</w:t>
                  </w:r>
                </w:p>
              </w:tc>
              <w:tc>
                <w:tcPr>
                  <w:tcW w:w="515" w:type="pct"/>
                  <w:vAlign w:val="center"/>
                </w:tcPr>
                <w:p>
                  <w:pPr>
                    <w:spacing w:line="240" w:lineRule="auto"/>
                    <w:ind w:right="46" w:rightChars="19" w:firstLine="0" w:firstLineChars="0"/>
                    <w:jc w:val="center"/>
                    <w:rPr>
                      <w:sz w:val="21"/>
                      <w:szCs w:val="21"/>
                    </w:rPr>
                  </w:pPr>
                  <w:r>
                    <w:rPr>
                      <w:rFonts w:hint="eastAsia"/>
                      <w:sz w:val="21"/>
                      <w:szCs w:val="21"/>
                    </w:rPr>
                    <w:t>/</w:t>
                  </w:r>
                </w:p>
              </w:tc>
              <w:tc>
                <w:tcPr>
                  <w:tcW w:w="484" w:type="pct"/>
                  <w:shd w:val="clear" w:color="auto" w:fill="auto"/>
                  <w:vAlign w:val="center"/>
                </w:tcPr>
                <w:p>
                  <w:pPr>
                    <w:spacing w:line="240" w:lineRule="auto"/>
                    <w:ind w:right="46" w:rightChars="19" w:firstLine="0" w:firstLineChars="0"/>
                    <w:jc w:val="center"/>
                    <w:rPr>
                      <w:sz w:val="21"/>
                      <w:szCs w:val="21"/>
                    </w:rPr>
                  </w:pPr>
                  <w:r>
                    <w:rPr>
                      <w:rFonts w:hint="eastAsia"/>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444" w:type="pct"/>
                  <w:vMerge w:val="restart"/>
                  <w:shd w:val="clear" w:color="auto" w:fill="auto"/>
                  <w:vAlign w:val="center"/>
                </w:tcPr>
                <w:p>
                  <w:pPr>
                    <w:spacing w:line="240" w:lineRule="auto"/>
                    <w:ind w:right="46" w:rightChars="19" w:firstLine="0" w:firstLineChars="0"/>
                    <w:jc w:val="center"/>
                    <w:rPr>
                      <w:sz w:val="21"/>
                      <w:szCs w:val="21"/>
                    </w:rPr>
                  </w:pPr>
                  <w:r>
                    <w:rPr>
                      <w:rFonts w:hint="eastAsia"/>
                      <w:sz w:val="21"/>
                      <w:szCs w:val="21"/>
                    </w:rPr>
                    <w:t>污水产生量</w:t>
                  </w:r>
                </w:p>
              </w:tc>
              <w:tc>
                <w:tcPr>
                  <w:tcW w:w="483" w:type="pct"/>
                  <w:vMerge w:val="restart"/>
                  <w:shd w:val="clear" w:color="auto" w:fill="auto"/>
                  <w:vAlign w:val="center"/>
                </w:tcPr>
                <w:p>
                  <w:pPr>
                    <w:spacing w:line="240" w:lineRule="auto"/>
                    <w:ind w:right="46" w:rightChars="19" w:firstLine="0" w:firstLineChars="0"/>
                    <w:jc w:val="center"/>
                    <w:rPr>
                      <w:sz w:val="21"/>
                      <w:szCs w:val="21"/>
                    </w:rPr>
                  </w:pPr>
                  <w:r>
                    <w:rPr>
                      <w:rFonts w:hint="eastAsia"/>
                      <w:sz w:val="21"/>
                      <w:szCs w:val="21"/>
                    </w:rPr>
                    <w:t>11.75m</w:t>
                  </w:r>
                  <w:r>
                    <w:rPr>
                      <w:rFonts w:hint="eastAsia"/>
                      <w:sz w:val="21"/>
                      <w:szCs w:val="21"/>
                      <w:vertAlign w:val="superscript"/>
                    </w:rPr>
                    <w:t>3</w:t>
                  </w:r>
                  <w:r>
                    <w:rPr>
                      <w:rFonts w:hint="eastAsia"/>
                      <w:sz w:val="21"/>
                      <w:szCs w:val="21"/>
                    </w:rPr>
                    <w:t>/d</w:t>
                  </w:r>
                </w:p>
                <w:p>
                  <w:pPr>
                    <w:spacing w:line="240" w:lineRule="auto"/>
                    <w:ind w:right="46" w:rightChars="19" w:firstLine="0" w:firstLineChars="0"/>
                    <w:jc w:val="center"/>
                    <w:rPr>
                      <w:sz w:val="21"/>
                      <w:szCs w:val="21"/>
                    </w:rPr>
                  </w:pPr>
                  <w:r>
                    <w:rPr>
                      <w:rFonts w:hint="eastAsia"/>
                      <w:sz w:val="21"/>
                      <w:szCs w:val="21"/>
                    </w:rPr>
                    <w:t>4288.75m</w:t>
                  </w:r>
                  <w:r>
                    <w:rPr>
                      <w:rFonts w:hint="eastAsia"/>
                      <w:sz w:val="21"/>
                      <w:szCs w:val="21"/>
                      <w:vertAlign w:val="superscript"/>
                    </w:rPr>
                    <w:t>3</w:t>
                  </w:r>
                  <w:r>
                    <w:rPr>
                      <w:rFonts w:hint="eastAsia"/>
                      <w:sz w:val="21"/>
                      <w:szCs w:val="21"/>
                    </w:rPr>
                    <w:t>/a</w:t>
                  </w:r>
                </w:p>
              </w:tc>
              <w:tc>
                <w:tcPr>
                  <w:tcW w:w="490" w:type="pct"/>
                  <w:shd w:val="clear" w:color="auto" w:fill="auto"/>
                  <w:vAlign w:val="center"/>
                </w:tcPr>
                <w:p>
                  <w:pPr>
                    <w:spacing w:line="240" w:lineRule="auto"/>
                    <w:ind w:right="46" w:rightChars="19" w:firstLine="0" w:firstLineChars="0"/>
                    <w:jc w:val="center"/>
                    <w:rPr>
                      <w:sz w:val="21"/>
                      <w:szCs w:val="21"/>
                    </w:rPr>
                  </w:pPr>
                  <w:r>
                    <w:rPr>
                      <w:rFonts w:hint="eastAsia"/>
                      <w:sz w:val="21"/>
                      <w:szCs w:val="21"/>
                    </w:rPr>
                    <w:t>浓度</w:t>
                  </w:r>
                  <w:r>
                    <w:rPr>
                      <w:sz w:val="21"/>
                      <w:szCs w:val="21"/>
                    </w:rPr>
                    <w:t>（mg/L）</w:t>
                  </w:r>
                </w:p>
              </w:tc>
              <w:tc>
                <w:tcPr>
                  <w:tcW w:w="361" w:type="pct"/>
                  <w:shd w:val="clear" w:color="auto" w:fill="auto"/>
                  <w:vAlign w:val="center"/>
                </w:tcPr>
                <w:p>
                  <w:pPr>
                    <w:spacing w:line="240" w:lineRule="auto"/>
                    <w:ind w:firstLine="0" w:firstLineChars="0"/>
                    <w:jc w:val="center"/>
                    <w:rPr>
                      <w:color w:val="000000"/>
                      <w:sz w:val="21"/>
                      <w:szCs w:val="21"/>
                    </w:rPr>
                  </w:pPr>
                  <w:r>
                    <w:rPr>
                      <w:color w:val="000000"/>
                      <w:sz w:val="21"/>
                      <w:szCs w:val="21"/>
                    </w:rPr>
                    <w:t>354.68</w:t>
                  </w:r>
                  <w:r>
                    <w:rPr>
                      <w:rFonts w:hint="eastAsia"/>
                      <w:color w:val="000000"/>
                      <w:sz w:val="21"/>
                      <w:szCs w:val="21"/>
                    </w:rPr>
                    <w:t>1</w:t>
                  </w:r>
                </w:p>
              </w:tc>
              <w:tc>
                <w:tcPr>
                  <w:tcW w:w="313" w:type="pct"/>
                  <w:shd w:val="clear" w:color="auto" w:fill="auto"/>
                  <w:vAlign w:val="center"/>
                </w:tcPr>
                <w:p>
                  <w:pPr>
                    <w:spacing w:line="240" w:lineRule="auto"/>
                    <w:ind w:firstLine="0" w:firstLineChars="0"/>
                    <w:jc w:val="center"/>
                    <w:rPr>
                      <w:color w:val="000000"/>
                      <w:sz w:val="21"/>
                      <w:szCs w:val="21"/>
                    </w:rPr>
                  </w:pPr>
                  <w:r>
                    <w:rPr>
                      <w:rFonts w:hint="eastAsia"/>
                      <w:color w:val="000000"/>
                      <w:sz w:val="21"/>
                      <w:szCs w:val="21"/>
                    </w:rPr>
                    <w:t>166.409</w:t>
                  </w:r>
                </w:p>
              </w:tc>
              <w:tc>
                <w:tcPr>
                  <w:tcW w:w="313" w:type="pct"/>
                  <w:shd w:val="clear" w:color="auto" w:fill="auto"/>
                  <w:vAlign w:val="center"/>
                </w:tcPr>
                <w:p>
                  <w:pPr>
                    <w:spacing w:line="240" w:lineRule="auto"/>
                    <w:ind w:firstLine="0" w:firstLineChars="0"/>
                    <w:jc w:val="center"/>
                    <w:rPr>
                      <w:color w:val="000000"/>
                      <w:sz w:val="21"/>
                      <w:szCs w:val="21"/>
                    </w:rPr>
                  </w:pPr>
                  <w:r>
                    <w:rPr>
                      <w:color w:val="000000"/>
                      <w:sz w:val="21"/>
                      <w:szCs w:val="21"/>
                    </w:rPr>
                    <w:t>129.451</w:t>
                  </w:r>
                </w:p>
              </w:tc>
              <w:tc>
                <w:tcPr>
                  <w:tcW w:w="346" w:type="pct"/>
                  <w:shd w:val="clear" w:color="auto" w:fill="auto"/>
                  <w:vAlign w:val="center"/>
                </w:tcPr>
                <w:p>
                  <w:pPr>
                    <w:spacing w:line="240" w:lineRule="auto"/>
                    <w:ind w:firstLine="0" w:firstLineChars="0"/>
                    <w:jc w:val="center"/>
                    <w:rPr>
                      <w:color w:val="000000"/>
                      <w:sz w:val="21"/>
                      <w:szCs w:val="21"/>
                    </w:rPr>
                  </w:pPr>
                  <w:r>
                    <w:rPr>
                      <w:color w:val="000000"/>
                      <w:sz w:val="21"/>
                      <w:szCs w:val="21"/>
                    </w:rPr>
                    <w:t>47.07</w:t>
                  </w:r>
                  <w:r>
                    <w:rPr>
                      <w:rFonts w:hint="eastAsia"/>
                      <w:color w:val="000000"/>
                      <w:sz w:val="21"/>
                      <w:szCs w:val="21"/>
                    </w:rPr>
                    <w:t>2</w:t>
                  </w:r>
                </w:p>
              </w:tc>
              <w:tc>
                <w:tcPr>
                  <w:tcW w:w="313" w:type="pct"/>
                  <w:shd w:val="clear" w:color="auto" w:fill="auto"/>
                  <w:vAlign w:val="center"/>
                </w:tcPr>
                <w:p>
                  <w:pPr>
                    <w:spacing w:line="240" w:lineRule="auto"/>
                    <w:ind w:firstLine="0" w:firstLineChars="0"/>
                    <w:jc w:val="center"/>
                    <w:rPr>
                      <w:color w:val="000000"/>
                      <w:sz w:val="21"/>
                      <w:szCs w:val="21"/>
                    </w:rPr>
                  </w:pPr>
                  <w:r>
                    <w:rPr>
                      <w:color w:val="000000"/>
                      <w:sz w:val="21"/>
                      <w:szCs w:val="21"/>
                    </w:rPr>
                    <w:t>7.530</w:t>
                  </w:r>
                </w:p>
              </w:tc>
              <w:tc>
                <w:tcPr>
                  <w:tcW w:w="313" w:type="pct"/>
                  <w:shd w:val="clear" w:color="auto" w:fill="auto"/>
                  <w:vAlign w:val="center"/>
                </w:tcPr>
                <w:p>
                  <w:pPr>
                    <w:spacing w:line="240" w:lineRule="auto"/>
                    <w:ind w:firstLine="0" w:firstLineChars="0"/>
                    <w:jc w:val="center"/>
                    <w:rPr>
                      <w:color w:val="000000"/>
                      <w:sz w:val="21"/>
                      <w:szCs w:val="21"/>
                    </w:rPr>
                  </w:pPr>
                  <w:r>
                    <w:rPr>
                      <w:color w:val="000000"/>
                      <w:sz w:val="21"/>
                      <w:szCs w:val="21"/>
                    </w:rPr>
                    <w:t>65.889</w:t>
                  </w:r>
                </w:p>
              </w:tc>
              <w:tc>
                <w:tcPr>
                  <w:tcW w:w="301" w:type="pct"/>
                  <w:vAlign w:val="center"/>
                </w:tcPr>
                <w:p>
                  <w:pPr>
                    <w:spacing w:line="240" w:lineRule="auto"/>
                    <w:ind w:firstLine="0" w:firstLineChars="0"/>
                    <w:jc w:val="center"/>
                    <w:rPr>
                      <w:color w:val="000000"/>
                      <w:sz w:val="21"/>
                      <w:szCs w:val="21"/>
                    </w:rPr>
                  </w:pPr>
                  <w:r>
                    <w:rPr>
                      <w:color w:val="000000"/>
                      <w:sz w:val="21"/>
                      <w:szCs w:val="21"/>
                    </w:rPr>
                    <w:t>13.851</w:t>
                  </w:r>
                </w:p>
              </w:tc>
              <w:tc>
                <w:tcPr>
                  <w:tcW w:w="324" w:type="pct"/>
                  <w:vAlign w:val="center"/>
                </w:tcPr>
                <w:p>
                  <w:pPr>
                    <w:spacing w:line="240" w:lineRule="auto"/>
                    <w:ind w:firstLine="0" w:firstLineChars="0"/>
                    <w:jc w:val="center"/>
                    <w:rPr>
                      <w:color w:val="000000"/>
                      <w:sz w:val="21"/>
                      <w:szCs w:val="21"/>
                    </w:rPr>
                  </w:pPr>
                  <w:r>
                    <w:rPr>
                      <w:color w:val="000000"/>
                      <w:sz w:val="21"/>
                      <w:szCs w:val="21"/>
                    </w:rPr>
                    <w:t>0.04</w:t>
                  </w:r>
                  <w:r>
                    <w:rPr>
                      <w:rFonts w:hint="eastAsia"/>
                      <w:color w:val="000000"/>
                      <w:sz w:val="21"/>
                      <w:szCs w:val="21"/>
                    </w:rPr>
                    <w:t>6</w:t>
                  </w:r>
                </w:p>
              </w:tc>
              <w:tc>
                <w:tcPr>
                  <w:tcW w:w="515" w:type="pct"/>
                  <w:vAlign w:val="center"/>
                </w:tcPr>
                <w:p>
                  <w:pPr>
                    <w:spacing w:line="240" w:lineRule="auto"/>
                    <w:ind w:firstLine="0" w:firstLineChars="0"/>
                    <w:jc w:val="center"/>
                    <w:rPr>
                      <w:color w:val="000000"/>
                      <w:sz w:val="21"/>
                      <w:szCs w:val="21"/>
                    </w:rPr>
                  </w:pPr>
                  <w:r>
                    <w:rPr>
                      <w:color w:val="000000"/>
                      <w:sz w:val="21"/>
                      <w:szCs w:val="21"/>
                    </w:rPr>
                    <w:t>2708936</w:t>
                  </w:r>
                </w:p>
              </w:tc>
              <w:tc>
                <w:tcPr>
                  <w:tcW w:w="484" w:type="pct"/>
                  <w:shd w:val="clear" w:color="auto" w:fill="auto"/>
                  <w:vAlign w:val="center"/>
                </w:tcPr>
                <w:p>
                  <w:pPr>
                    <w:spacing w:line="240" w:lineRule="auto"/>
                    <w:ind w:right="46" w:rightChars="19" w:firstLine="0" w:firstLineChars="0"/>
                    <w:jc w:val="center"/>
                    <w:rPr>
                      <w:sz w:val="21"/>
                      <w:szCs w:val="21"/>
                    </w:rPr>
                  </w:pPr>
                  <w:r>
                    <w:rPr>
                      <w:rFonts w:hint="eastAsia"/>
                      <w:sz w:val="21"/>
                      <w:szCs w:val="21"/>
                    </w:rPr>
                    <w:t>6～9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444" w:type="pct"/>
                  <w:vMerge w:val="continue"/>
                  <w:shd w:val="clear" w:color="auto" w:fill="auto"/>
                  <w:vAlign w:val="center"/>
                </w:tcPr>
                <w:p>
                  <w:pPr>
                    <w:spacing w:line="240" w:lineRule="auto"/>
                    <w:ind w:right="46" w:rightChars="19" w:firstLine="0" w:firstLineChars="0"/>
                    <w:jc w:val="center"/>
                    <w:rPr>
                      <w:sz w:val="21"/>
                      <w:szCs w:val="21"/>
                    </w:rPr>
                  </w:pPr>
                </w:p>
              </w:tc>
              <w:tc>
                <w:tcPr>
                  <w:tcW w:w="483" w:type="pct"/>
                  <w:vMerge w:val="continue"/>
                  <w:shd w:val="clear" w:color="auto" w:fill="auto"/>
                  <w:vAlign w:val="center"/>
                </w:tcPr>
                <w:p>
                  <w:pPr>
                    <w:spacing w:line="240" w:lineRule="auto"/>
                    <w:ind w:right="46" w:rightChars="19" w:firstLine="0" w:firstLineChars="0"/>
                    <w:jc w:val="center"/>
                    <w:rPr>
                      <w:sz w:val="21"/>
                      <w:szCs w:val="21"/>
                    </w:rPr>
                  </w:pPr>
                </w:p>
              </w:tc>
              <w:tc>
                <w:tcPr>
                  <w:tcW w:w="490" w:type="pct"/>
                  <w:shd w:val="clear" w:color="auto" w:fill="auto"/>
                  <w:vAlign w:val="center"/>
                </w:tcPr>
                <w:p>
                  <w:pPr>
                    <w:spacing w:line="240" w:lineRule="auto"/>
                    <w:ind w:right="46" w:rightChars="19" w:firstLine="0" w:firstLineChars="0"/>
                    <w:jc w:val="center"/>
                    <w:rPr>
                      <w:sz w:val="21"/>
                      <w:szCs w:val="21"/>
                    </w:rPr>
                  </w:pPr>
                  <w:r>
                    <w:rPr>
                      <w:rFonts w:hint="eastAsia"/>
                      <w:sz w:val="21"/>
                      <w:szCs w:val="21"/>
                    </w:rPr>
                    <w:t>产生量（t/a）</w:t>
                  </w:r>
                </w:p>
              </w:tc>
              <w:tc>
                <w:tcPr>
                  <w:tcW w:w="361" w:type="pct"/>
                  <w:shd w:val="clear" w:color="auto" w:fill="auto"/>
                  <w:vAlign w:val="center"/>
                </w:tcPr>
                <w:p>
                  <w:pPr>
                    <w:spacing w:line="240" w:lineRule="auto"/>
                    <w:ind w:firstLine="0" w:firstLineChars="0"/>
                    <w:jc w:val="center"/>
                    <w:rPr>
                      <w:color w:val="000000"/>
                      <w:sz w:val="21"/>
                      <w:szCs w:val="21"/>
                    </w:rPr>
                  </w:pPr>
                  <w:r>
                    <w:rPr>
                      <w:color w:val="000000"/>
                      <w:sz w:val="21"/>
                      <w:szCs w:val="21"/>
                    </w:rPr>
                    <w:t xml:space="preserve">1.521 </w:t>
                  </w:r>
                </w:p>
              </w:tc>
              <w:tc>
                <w:tcPr>
                  <w:tcW w:w="313" w:type="pct"/>
                  <w:shd w:val="clear" w:color="auto" w:fill="auto"/>
                  <w:vAlign w:val="center"/>
                </w:tcPr>
                <w:p>
                  <w:pPr>
                    <w:spacing w:line="240" w:lineRule="auto"/>
                    <w:ind w:firstLine="0" w:firstLineChars="0"/>
                    <w:jc w:val="center"/>
                    <w:rPr>
                      <w:color w:val="000000"/>
                      <w:sz w:val="21"/>
                      <w:szCs w:val="21"/>
                    </w:rPr>
                  </w:pPr>
                  <w:r>
                    <w:rPr>
                      <w:rFonts w:hint="eastAsia"/>
                      <w:color w:val="000000"/>
                      <w:sz w:val="21"/>
                      <w:szCs w:val="21"/>
                    </w:rPr>
                    <w:t>0.713</w:t>
                  </w:r>
                  <w:r>
                    <w:rPr>
                      <w:color w:val="000000"/>
                      <w:sz w:val="21"/>
                      <w:szCs w:val="21"/>
                    </w:rPr>
                    <w:t xml:space="preserve"> </w:t>
                  </w:r>
                </w:p>
              </w:tc>
              <w:tc>
                <w:tcPr>
                  <w:tcW w:w="313" w:type="pct"/>
                  <w:shd w:val="clear" w:color="auto" w:fill="auto"/>
                  <w:vAlign w:val="center"/>
                </w:tcPr>
                <w:p>
                  <w:pPr>
                    <w:spacing w:line="240" w:lineRule="auto"/>
                    <w:ind w:firstLine="0" w:firstLineChars="0"/>
                    <w:jc w:val="center"/>
                    <w:rPr>
                      <w:color w:val="000000"/>
                      <w:sz w:val="21"/>
                      <w:szCs w:val="21"/>
                    </w:rPr>
                  </w:pPr>
                  <w:r>
                    <w:rPr>
                      <w:color w:val="000000"/>
                      <w:sz w:val="21"/>
                      <w:szCs w:val="21"/>
                    </w:rPr>
                    <w:t xml:space="preserve">0.555 </w:t>
                  </w:r>
                </w:p>
              </w:tc>
              <w:tc>
                <w:tcPr>
                  <w:tcW w:w="346" w:type="pct"/>
                  <w:shd w:val="clear" w:color="auto" w:fill="auto"/>
                  <w:vAlign w:val="center"/>
                </w:tcPr>
                <w:p>
                  <w:pPr>
                    <w:spacing w:line="240" w:lineRule="auto"/>
                    <w:ind w:firstLine="0" w:firstLineChars="0"/>
                    <w:jc w:val="center"/>
                    <w:rPr>
                      <w:color w:val="000000"/>
                      <w:sz w:val="21"/>
                      <w:szCs w:val="21"/>
                    </w:rPr>
                  </w:pPr>
                  <w:r>
                    <w:rPr>
                      <w:color w:val="000000"/>
                      <w:sz w:val="21"/>
                      <w:szCs w:val="21"/>
                    </w:rPr>
                    <w:t xml:space="preserve">0.202 </w:t>
                  </w:r>
                </w:p>
              </w:tc>
              <w:tc>
                <w:tcPr>
                  <w:tcW w:w="313" w:type="pct"/>
                  <w:shd w:val="clear" w:color="auto" w:fill="auto"/>
                  <w:vAlign w:val="center"/>
                </w:tcPr>
                <w:p>
                  <w:pPr>
                    <w:spacing w:line="240" w:lineRule="auto"/>
                    <w:ind w:firstLine="0" w:firstLineChars="0"/>
                    <w:jc w:val="center"/>
                    <w:rPr>
                      <w:color w:val="000000"/>
                      <w:sz w:val="21"/>
                      <w:szCs w:val="21"/>
                    </w:rPr>
                  </w:pPr>
                  <w:r>
                    <w:rPr>
                      <w:color w:val="000000"/>
                      <w:sz w:val="21"/>
                      <w:szCs w:val="21"/>
                    </w:rPr>
                    <w:t xml:space="preserve">0.032 </w:t>
                  </w:r>
                </w:p>
              </w:tc>
              <w:tc>
                <w:tcPr>
                  <w:tcW w:w="313" w:type="pct"/>
                  <w:shd w:val="clear" w:color="auto" w:fill="auto"/>
                  <w:vAlign w:val="center"/>
                </w:tcPr>
                <w:p>
                  <w:pPr>
                    <w:spacing w:line="240" w:lineRule="auto"/>
                    <w:ind w:firstLine="0" w:firstLineChars="0"/>
                    <w:jc w:val="center"/>
                    <w:rPr>
                      <w:color w:val="000000"/>
                      <w:sz w:val="21"/>
                      <w:szCs w:val="21"/>
                    </w:rPr>
                  </w:pPr>
                  <w:r>
                    <w:rPr>
                      <w:color w:val="000000"/>
                      <w:sz w:val="21"/>
                      <w:szCs w:val="21"/>
                    </w:rPr>
                    <w:t xml:space="preserve">0.283 </w:t>
                  </w:r>
                </w:p>
              </w:tc>
              <w:tc>
                <w:tcPr>
                  <w:tcW w:w="301" w:type="pct"/>
                  <w:vAlign w:val="center"/>
                </w:tcPr>
                <w:p>
                  <w:pPr>
                    <w:spacing w:line="240" w:lineRule="auto"/>
                    <w:ind w:firstLine="0" w:firstLineChars="0"/>
                    <w:jc w:val="center"/>
                    <w:rPr>
                      <w:color w:val="000000"/>
                      <w:sz w:val="21"/>
                      <w:szCs w:val="21"/>
                    </w:rPr>
                  </w:pPr>
                  <w:r>
                    <w:rPr>
                      <w:color w:val="000000"/>
                      <w:sz w:val="21"/>
                      <w:szCs w:val="21"/>
                    </w:rPr>
                    <w:t xml:space="preserve">0.059 </w:t>
                  </w:r>
                </w:p>
              </w:tc>
              <w:tc>
                <w:tcPr>
                  <w:tcW w:w="324" w:type="pct"/>
                  <w:vAlign w:val="center"/>
                </w:tcPr>
                <w:p>
                  <w:pPr>
                    <w:spacing w:line="240" w:lineRule="auto"/>
                    <w:ind w:firstLine="0" w:firstLineChars="0"/>
                    <w:jc w:val="center"/>
                    <w:rPr>
                      <w:color w:val="000000"/>
                      <w:sz w:val="21"/>
                      <w:szCs w:val="21"/>
                    </w:rPr>
                  </w:pPr>
                  <w:r>
                    <w:rPr>
                      <w:color w:val="000000"/>
                      <w:sz w:val="21"/>
                      <w:szCs w:val="21"/>
                    </w:rPr>
                    <w:t xml:space="preserve">0.000 </w:t>
                  </w:r>
                </w:p>
              </w:tc>
              <w:tc>
                <w:tcPr>
                  <w:tcW w:w="515" w:type="pct"/>
                  <w:vAlign w:val="center"/>
                </w:tcPr>
                <w:p>
                  <w:pPr>
                    <w:spacing w:line="240" w:lineRule="auto"/>
                    <w:ind w:firstLine="0" w:firstLineChars="0"/>
                    <w:jc w:val="center"/>
                    <w:rPr>
                      <w:color w:val="000000"/>
                      <w:sz w:val="21"/>
                      <w:szCs w:val="21"/>
                    </w:rPr>
                  </w:pPr>
                  <w:r>
                    <w:rPr>
                      <w:color w:val="000000"/>
                      <w:sz w:val="21"/>
                      <w:szCs w:val="21"/>
                    </w:rPr>
                    <w:t>1.162</w:t>
                  </w:r>
                  <w:r>
                    <w:rPr>
                      <w:rFonts w:hint="eastAsia"/>
                      <w:sz w:val="21"/>
                      <w:szCs w:val="21"/>
                    </w:rPr>
                    <w:t>×10</w:t>
                  </w:r>
                  <w:r>
                    <w:rPr>
                      <w:rFonts w:hint="eastAsia"/>
                      <w:sz w:val="21"/>
                      <w:szCs w:val="21"/>
                      <w:vertAlign w:val="superscript"/>
                    </w:rPr>
                    <w:t>13</w:t>
                  </w:r>
                </w:p>
              </w:tc>
              <w:tc>
                <w:tcPr>
                  <w:tcW w:w="484" w:type="pct"/>
                  <w:shd w:val="clear" w:color="auto" w:fill="auto"/>
                  <w:vAlign w:val="center"/>
                </w:tcPr>
                <w:p>
                  <w:pPr>
                    <w:spacing w:line="240" w:lineRule="auto"/>
                    <w:ind w:right="46" w:rightChars="19" w:firstLine="0" w:firstLineChars="0"/>
                    <w:jc w:val="center"/>
                    <w:rPr>
                      <w:sz w:val="21"/>
                      <w:szCs w:val="21"/>
                    </w:rPr>
                  </w:pPr>
                  <w:r>
                    <w:rPr>
                      <w:rFonts w:hint="eastAsia"/>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417" w:type="pct"/>
                  <w:gridSpan w:val="3"/>
                  <w:shd w:val="clear" w:color="auto" w:fill="auto"/>
                  <w:vAlign w:val="center"/>
                </w:tcPr>
                <w:p>
                  <w:pPr>
                    <w:spacing w:line="240" w:lineRule="auto"/>
                    <w:ind w:right="46" w:rightChars="19" w:firstLine="0" w:firstLineChars="0"/>
                    <w:jc w:val="center"/>
                    <w:rPr>
                      <w:sz w:val="21"/>
                      <w:szCs w:val="21"/>
                    </w:rPr>
                  </w:pPr>
                  <w:r>
                    <w:rPr>
                      <w:rFonts w:hint="eastAsia"/>
                      <w:sz w:val="21"/>
                      <w:szCs w:val="21"/>
                    </w:rPr>
                    <w:t>污水处理设施去除效率（%）</w:t>
                  </w:r>
                </w:p>
              </w:tc>
              <w:tc>
                <w:tcPr>
                  <w:tcW w:w="361" w:type="pct"/>
                  <w:shd w:val="clear" w:color="auto" w:fill="auto"/>
                  <w:vAlign w:val="center"/>
                </w:tcPr>
                <w:p>
                  <w:pPr>
                    <w:spacing w:line="240" w:lineRule="auto"/>
                    <w:ind w:firstLine="0" w:firstLineChars="0"/>
                    <w:jc w:val="center"/>
                    <w:rPr>
                      <w:color w:val="000000"/>
                      <w:sz w:val="21"/>
                      <w:szCs w:val="21"/>
                    </w:rPr>
                  </w:pPr>
                  <w:r>
                    <w:rPr>
                      <w:color w:val="000000"/>
                      <w:sz w:val="21"/>
                      <w:szCs w:val="21"/>
                    </w:rPr>
                    <w:t>60</w:t>
                  </w:r>
                </w:p>
              </w:tc>
              <w:tc>
                <w:tcPr>
                  <w:tcW w:w="313" w:type="pct"/>
                  <w:shd w:val="clear" w:color="auto" w:fill="auto"/>
                  <w:vAlign w:val="center"/>
                </w:tcPr>
                <w:p>
                  <w:pPr>
                    <w:spacing w:line="240" w:lineRule="auto"/>
                    <w:ind w:firstLine="0" w:firstLineChars="0"/>
                    <w:jc w:val="center"/>
                    <w:rPr>
                      <w:color w:val="000000"/>
                      <w:sz w:val="21"/>
                      <w:szCs w:val="21"/>
                    </w:rPr>
                  </w:pPr>
                  <w:r>
                    <w:rPr>
                      <w:rFonts w:hint="eastAsia"/>
                      <w:color w:val="000000"/>
                      <w:sz w:val="21"/>
                      <w:szCs w:val="21"/>
                    </w:rPr>
                    <w:t>65</w:t>
                  </w:r>
                </w:p>
              </w:tc>
              <w:tc>
                <w:tcPr>
                  <w:tcW w:w="313" w:type="pct"/>
                  <w:shd w:val="clear" w:color="auto" w:fill="auto"/>
                  <w:vAlign w:val="center"/>
                </w:tcPr>
                <w:p>
                  <w:pPr>
                    <w:spacing w:line="240" w:lineRule="auto"/>
                    <w:ind w:firstLine="0" w:firstLineChars="0"/>
                    <w:jc w:val="center"/>
                    <w:rPr>
                      <w:color w:val="000000"/>
                      <w:sz w:val="21"/>
                      <w:szCs w:val="21"/>
                    </w:rPr>
                  </w:pPr>
                  <w:r>
                    <w:rPr>
                      <w:color w:val="000000"/>
                      <w:sz w:val="21"/>
                      <w:szCs w:val="21"/>
                    </w:rPr>
                    <w:t>85</w:t>
                  </w:r>
                </w:p>
              </w:tc>
              <w:tc>
                <w:tcPr>
                  <w:tcW w:w="346" w:type="pct"/>
                  <w:shd w:val="clear" w:color="auto" w:fill="auto"/>
                  <w:vAlign w:val="center"/>
                </w:tcPr>
                <w:p>
                  <w:pPr>
                    <w:spacing w:line="240" w:lineRule="auto"/>
                    <w:ind w:firstLine="0" w:firstLineChars="0"/>
                    <w:jc w:val="center"/>
                    <w:rPr>
                      <w:color w:val="000000"/>
                      <w:sz w:val="21"/>
                      <w:szCs w:val="21"/>
                    </w:rPr>
                  </w:pPr>
                  <w:r>
                    <w:rPr>
                      <w:color w:val="000000"/>
                      <w:sz w:val="21"/>
                      <w:szCs w:val="21"/>
                    </w:rPr>
                    <w:t>50</w:t>
                  </w:r>
                </w:p>
              </w:tc>
              <w:tc>
                <w:tcPr>
                  <w:tcW w:w="313" w:type="pct"/>
                  <w:shd w:val="clear" w:color="auto" w:fill="auto"/>
                  <w:vAlign w:val="center"/>
                </w:tcPr>
                <w:p>
                  <w:pPr>
                    <w:spacing w:line="240" w:lineRule="auto"/>
                    <w:ind w:firstLine="0" w:firstLineChars="0"/>
                    <w:jc w:val="center"/>
                    <w:rPr>
                      <w:color w:val="000000"/>
                      <w:sz w:val="21"/>
                      <w:szCs w:val="21"/>
                    </w:rPr>
                  </w:pPr>
                  <w:r>
                    <w:rPr>
                      <w:color w:val="000000"/>
                      <w:sz w:val="21"/>
                      <w:szCs w:val="21"/>
                    </w:rPr>
                    <w:t>60</w:t>
                  </w:r>
                </w:p>
              </w:tc>
              <w:tc>
                <w:tcPr>
                  <w:tcW w:w="313" w:type="pct"/>
                  <w:shd w:val="clear" w:color="auto" w:fill="auto"/>
                  <w:vAlign w:val="center"/>
                </w:tcPr>
                <w:p>
                  <w:pPr>
                    <w:spacing w:line="240" w:lineRule="auto"/>
                    <w:ind w:firstLine="0" w:firstLineChars="0"/>
                    <w:jc w:val="center"/>
                    <w:rPr>
                      <w:color w:val="000000"/>
                      <w:sz w:val="21"/>
                      <w:szCs w:val="21"/>
                    </w:rPr>
                  </w:pPr>
                  <w:r>
                    <w:rPr>
                      <w:color w:val="000000"/>
                      <w:sz w:val="21"/>
                      <w:szCs w:val="21"/>
                    </w:rPr>
                    <w:t>60</w:t>
                  </w:r>
                </w:p>
              </w:tc>
              <w:tc>
                <w:tcPr>
                  <w:tcW w:w="301" w:type="pct"/>
                  <w:vAlign w:val="center"/>
                </w:tcPr>
                <w:p>
                  <w:pPr>
                    <w:spacing w:line="240" w:lineRule="auto"/>
                    <w:ind w:firstLine="0" w:firstLineChars="0"/>
                    <w:jc w:val="center"/>
                    <w:rPr>
                      <w:color w:val="000000"/>
                      <w:sz w:val="21"/>
                      <w:szCs w:val="21"/>
                    </w:rPr>
                  </w:pPr>
                  <w:r>
                    <w:rPr>
                      <w:color w:val="000000"/>
                      <w:sz w:val="21"/>
                      <w:szCs w:val="21"/>
                    </w:rPr>
                    <w:t>70</w:t>
                  </w:r>
                </w:p>
              </w:tc>
              <w:tc>
                <w:tcPr>
                  <w:tcW w:w="324" w:type="pct"/>
                  <w:vAlign w:val="center"/>
                </w:tcPr>
                <w:p>
                  <w:pPr>
                    <w:spacing w:line="240" w:lineRule="auto"/>
                    <w:ind w:firstLine="0" w:firstLineChars="0"/>
                    <w:jc w:val="center"/>
                    <w:rPr>
                      <w:color w:val="000000"/>
                      <w:sz w:val="21"/>
                      <w:szCs w:val="21"/>
                    </w:rPr>
                  </w:pPr>
                  <w:r>
                    <w:rPr>
                      <w:color w:val="000000"/>
                      <w:sz w:val="21"/>
                      <w:szCs w:val="21"/>
                    </w:rPr>
                    <w:t>40</w:t>
                  </w:r>
                </w:p>
              </w:tc>
              <w:tc>
                <w:tcPr>
                  <w:tcW w:w="515"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w:t>
                  </w:r>
                  <w:r>
                    <w:rPr>
                      <w:color w:val="000000"/>
                      <w:sz w:val="21"/>
                      <w:szCs w:val="21"/>
                    </w:rPr>
                    <w:t>99.7</w:t>
                  </w:r>
                </w:p>
              </w:tc>
              <w:tc>
                <w:tcPr>
                  <w:tcW w:w="484" w:type="pct"/>
                  <w:shd w:val="clear" w:color="auto" w:fill="auto"/>
                  <w:vAlign w:val="center"/>
                </w:tcPr>
                <w:p>
                  <w:pPr>
                    <w:spacing w:line="240" w:lineRule="auto"/>
                    <w:ind w:right="46" w:rightChars="19" w:firstLine="0" w:firstLineChars="0"/>
                    <w:jc w:val="center"/>
                    <w:rPr>
                      <w:sz w:val="21"/>
                      <w:szCs w:val="21"/>
                    </w:rPr>
                  </w:pPr>
                  <w:r>
                    <w:rPr>
                      <w:rFonts w:hint="eastAsia"/>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927" w:type="pct"/>
                  <w:gridSpan w:val="2"/>
                  <w:vMerge w:val="restart"/>
                  <w:shd w:val="clear" w:color="auto" w:fill="auto"/>
                  <w:vAlign w:val="center"/>
                </w:tcPr>
                <w:p>
                  <w:pPr>
                    <w:spacing w:line="240" w:lineRule="auto"/>
                    <w:ind w:right="46" w:rightChars="19" w:firstLine="0" w:firstLineChars="0"/>
                    <w:jc w:val="center"/>
                    <w:rPr>
                      <w:sz w:val="21"/>
                      <w:szCs w:val="21"/>
                    </w:rPr>
                  </w:pPr>
                  <w:r>
                    <w:rPr>
                      <w:rFonts w:hint="eastAsia"/>
                      <w:sz w:val="21"/>
                      <w:szCs w:val="21"/>
                    </w:rPr>
                    <w:t>污水处理设施出水</w:t>
                  </w:r>
                </w:p>
              </w:tc>
              <w:tc>
                <w:tcPr>
                  <w:tcW w:w="490" w:type="pct"/>
                  <w:shd w:val="clear" w:color="auto" w:fill="auto"/>
                  <w:vAlign w:val="center"/>
                </w:tcPr>
                <w:p>
                  <w:pPr>
                    <w:spacing w:line="240" w:lineRule="auto"/>
                    <w:ind w:right="46" w:rightChars="19" w:firstLine="0" w:firstLineChars="0"/>
                    <w:jc w:val="center"/>
                    <w:rPr>
                      <w:sz w:val="21"/>
                      <w:szCs w:val="21"/>
                    </w:rPr>
                  </w:pPr>
                  <w:r>
                    <w:rPr>
                      <w:rFonts w:hint="eastAsia"/>
                      <w:sz w:val="21"/>
                      <w:szCs w:val="21"/>
                    </w:rPr>
                    <w:t>浓度</w:t>
                  </w:r>
                  <w:r>
                    <w:rPr>
                      <w:sz w:val="21"/>
                      <w:szCs w:val="21"/>
                    </w:rPr>
                    <w:t>（mg/L）</w:t>
                  </w:r>
                </w:p>
              </w:tc>
              <w:tc>
                <w:tcPr>
                  <w:tcW w:w="361" w:type="pct"/>
                  <w:shd w:val="clear" w:color="auto" w:fill="auto"/>
                  <w:vAlign w:val="center"/>
                </w:tcPr>
                <w:p>
                  <w:pPr>
                    <w:spacing w:line="240" w:lineRule="auto"/>
                    <w:ind w:firstLine="0" w:firstLineChars="0"/>
                    <w:jc w:val="center"/>
                    <w:rPr>
                      <w:color w:val="000000"/>
                      <w:sz w:val="21"/>
                      <w:szCs w:val="21"/>
                    </w:rPr>
                  </w:pPr>
                  <w:r>
                    <w:rPr>
                      <w:color w:val="000000"/>
                      <w:sz w:val="21"/>
                      <w:szCs w:val="21"/>
                    </w:rPr>
                    <w:t>14</w:t>
                  </w:r>
                  <w:r>
                    <w:rPr>
                      <w:rFonts w:hint="eastAsia"/>
                      <w:color w:val="000000"/>
                      <w:sz w:val="21"/>
                      <w:szCs w:val="21"/>
                    </w:rPr>
                    <w:t>2</w:t>
                  </w:r>
                </w:p>
              </w:tc>
              <w:tc>
                <w:tcPr>
                  <w:tcW w:w="313" w:type="pct"/>
                  <w:shd w:val="clear" w:color="auto" w:fill="auto"/>
                  <w:vAlign w:val="center"/>
                </w:tcPr>
                <w:p>
                  <w:pPr>
                    <w:spacing w:line="240" w:lineRule="auto"/>
                    <w:ind w:firstLine="0" w:firstLineChars="0"/>
                    <w:jc w:val="center"/>
                    <w:rPr>
                      <w:color w:val="000000"/>
                      <w:sz w:val="21"/>
                      <w:szCs w:val="21"/>
                    </w:rPr>
                  </w:pPr>
                  <w:r>
                    <w:rPr>
                      <w:rFonts w:hint="eastAsia"/>
                      <w:color w:val="000000"/>
                      <w:sz w:val="21"/>
                      <w:szCs w:val="21"/>
                    </w:rPr>
                    <w:t>58</w:t>
                  </w:r>
                </w:p>
              </w:tc>
              <w:tc>
                <w:tcPr>
                  <w:tcW w:w="313" w:type="pct"/>
                  <w:shd w:val="clear" w:color="auto" w:fill="auto"/>
                  <w:vAlign w:val="center"/>
                </w:tcPr>
                <w:p>
                  <w:pPr>
                    <w:spacing w:line="240" w:lineRule="auto"/>
                    <w:ind w:firstLine="0" w:firstLineChars="0"/>
                    <w:jc w:val="center"/>
                    <w:rPr>
                      <w:color w:val="000000"/>
                      <w:sz w:val="21"/>
                      <w:szCs w:val="21"/>
                    </w:rPr>
                  </w:pPr>
                  <w:r>
                    <w:rPr>
                      <w:color w:val="000000"/>
                      <w:sz w:val="21"/>
                      <w:szCs w:val="21"/>
                    </w:rPr>
                    <w:t>19</w:t>
                  </w:r>
                </w:p>
              </w:tc>
              <w:tc>
                <w:tcPr>
                  <w:tcW w:w="346" w:type="pct"/>
                  <w:shd w:val="clear" w:color="auto" w:fill="auto"/>
                  <w:vAlign w:val="center"/>
                </w:tcPr>
                <w:p>
                  <w:pPr>
                    <w:spacing w:line="240" w:lineRule="auto"/>
                    <w:ind w:firstLine="0" w:firstLineChars="0"/>
                    <w:jc w:val="center"/>
                    <w:rPr>
                      <w:color w:val="000000"/>
                      <w:sz w:val="21"/>
                      <w:szCs w:val="21"/>
                    </w:rPr>
                  </w:pPr>
                  <w:r>
                    <w:rPr>
                      <w:color w:val="000000"/>
                      <w:sz w:val="21"/>
                      <w:szCs w:val="21"/>
                    </w:rPr>
                    <w:t>2</w:t>
                  </w:r>
                  <w:r>
                    <w:rPr>
                      <w:rFonts w:hint="eastAsia"/>
                      <w:color w:val="000000"/>
                      <w:sz w:val="21"/>
                      <w:szCs w:val="21"/>
                    </w:rPr>
                    <w:t>4</w:t>
                  </w:r>
                </w:p>
              </w:tc>
              <w:tc>
                <w:tcPr>
                  <w:tcW w:w="313" w:type="pct"/>
                  <w:shd w:val="clear" w:color="auto" w:fill="auto"/>
                  <w:vAlign w:val="center"/>
                </w:tcPr>
                <w:p>
                  <w:pPr>
                    <w:spacing w:line="240" w:lineRule="auto"/>
                    <w:ind w:firstLine="0" w:firstLineChars="0"/>
                    <w:jc w:val="center"/>
                    <w:rPr>
                      <w:color w:val="000000"/>
                      <w:sz w:val="21"/>
                      <w:szCs w:val="21"/>
                    </w:rPr>
                  </w:pPr>
                  <w:r>
                    <w:rPr>
                      <w:color w:val="000000"/>
                      <w:sz w:val="21"/>
                      <w:szCs w:val="21"/>
                    </w:rPr>
                    <w:t>3</w:t>
                  </w:r>
                </w:p>
              </w:tc>
              <w:tc>
                <w:tcPr>
                  <w:tcW w:w="313" w:type="pct"/>
                  <w:shd w:val="clear" w:color="auto" w:fill="auto"/>
                  <w:vAlign w:val="center"/>
                </w:tcPr>
                <w:p>
                  <w:pPr>
                    <w:spacing w:line="240" w:lineRule="auto"/>
                    <w:ind w:firstLine="0" w:firstLineChars="0"/>
                    <w:jc w:val="center"/>
                    <w:rPr>
                      <w:color w:val="000000"/>
                      <w:sz w:val="21"/>
                      <w:szCs w:val="21"/>
                    </w:rPr>
                  </w:pPr>
                  <w:r>
                    <w:rPr>
                      <w:color w:val="000000"/>
                      <w:sz w:val="21"/>
                      <w:szCs w:val="21"/>
                    </w:rPr>
                    <w:t>26</w:t>
                  </w:r>
                </w:p>
              </w:tc>
              <w:tc>
                <w:tcPr>
                  <w:tcW w:w="301" w:type="pct"/>
                  <w:vAlign w:val="center"/>
                </w:tcPr>
                <w:p>
                  <w:pPr>
                    <w:spacing w:line="240" w:lineRule="auto"/>
                    <w:ind w:firstLine="0" w:firstLineChars="0"/>
                    <w:jc w:val="center"/>
                    <w:rPr>
                      <w:color w:val="000000"/>
                      <w:sz w:val="21"/>
                      <w:szCs w:val="21"/>
                    </w:rPr>
                  </w:pPr>
                  <w:r>
                    <w:rPr>
                      <w:color w:val="000000"/>
                      <w:sz w:val="21"/>
                      <w:szCs w:val="21"/>
                    </w:rPr>
                    <w:t>4</w:t>
                  </w:r>
                </w:p>
              </w:tc>
              <w:tc>
                <w:tcPr>
                  <w:tcW w:w="324" w:type="pct"/>
                  <w:vAlign w:val="center"/>
                </w:tcPr>
                <w:p>
                  <w:pPr>
                    <w:spacing w:line="240" w:lineRule="auto"/>
                    <w:ind w:firstLine="0" w:firstLineChars="0"/>
                    <w:jc w:val="center"/>
                    <w:rPr>
                      <w:color w:val="000000"/>
                      <w:sz w:val="21"/>
                      <w:szCs w:val="21"/>
                    </w:rPr>
                  </w:pPr>
                  <w:r>
                    <w:rPr>
                      <w:color w:val="000000"/>
                      <w:sz w:val="21"/>
                      <w:szCs w:val="21"/>
                    </w:rPr>
                    <w:t>0.0</w:t>
                  </w:r>
                  <w:r>
                    <w:rPr>
                      <w:rFonts w:hint="eastAsia"/>
                      <w:color w:val="000000"/>
                      <w:sz w:val="21"/>
                      <w:szCs w:val="21"/>
                    </w:rPr>
                    <w:t>3</w:t>
                  </w:r>
                </w:p>
              </w:tc>
              <w:tc>
                <w:tcPr>
                  <w:tcW w:w="515" w:type="pct"/>
                  <w:vAlign w:val="center"/>
                </w:tcPr>
                <w:p>
                  <w:pPr>
                    <w:spacing w:line="240" w:lineRule="auto"/>
                    <w:ind w:firstLine="0" w:firstLineChars="0"/>
                    <w:jc w:val="center"/>
                    <w:rPr>
                      <w:color w:val="000000"/>
                      <w:sz w:val="21"/>
                      <w:szCs w:val="21"/>
                    </w:rPr>
                  </w:pPr>
                  <w:r>
                    <w:rPr>
                      <w:rFonts w:hint="eastAsia"/>
                      <w:color w:val="000000"/>
                      <w:sz w:val="21"/>
                      <w:szCs w:val="21"/>
                    </w:rPr>
                    <w:t>＜</w:t>
                  </w:r>
                  <w:r>
                    <w:rPr>
                      <w:color w:val="000000"/>
                      <w:sz w:val="21"/>
                      <w:szCs w:val="21"/>
                    </w:rPr>
                    <w:t>270</w:t>
                  </w:r>
                  <w:r>
                    <w:rPr>
                      <w:rFonts w:hint="eastAsia"/>
                      <w:color w:val="000000"/>
                      <w:sz w:val="21"/>
                      <w:szCs w:val="21"/>
                    </w:rPr>
                    <w:t>9</w:t>
                  </w:r>
                </w:p>
              </w:tc>
              <w:tc>
                <w:tcPr>
                  <w:tcW w:w="484" w:type="pct"/>
                  <w:shd w:val="clear" w:color="auto" w:fill="auto"/>
                  <w:vAlign w:val="center"/>
                </w:tcPr>
                <w:p>
                  <w:pPr>
                    <w:spacing w:line="240" w:lineRule="auto"/>
                    <w:ind w:right="46" w:rightChars="19" w:firstLine="0" w:firstLineChars="0"/>
                    <w:jc w:val="center"/>
                    <w:rPr>
                      <w:sz w:val="21"/>
                      <w:szCs w:val="21"/>
                    </w:rPr>
                  </w:pPr>
                  <w:r>
                    <w:rPr>
                      <w:rFonts w:hint="eastAsia"/>
                      <w:sz w:val="21"/>
                      <w:szCs w:val="21"/>
                    </w:rPr>
                    <w:t>6～9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927" w:type="pct"/>
                  <w:gridSpan w:val="2"/>
                  <w:vMerge w:val="continue"/>
                  <w:shd w:val="clear" w:color="auto" w:fill="auto"/>
                  <w:vAlign w:val="center"/>
                </w:tcPr>
                <w:p>
                  <w:pPr>
                    <w:spacing w:line="240" w:lineRule="auto"/>
                    <w:ind w:right="46" w:rightChars="19" w:firstLine="0" w:firstLineChars="0"/>
                    <w:jc w:val="center"/>
                    <w:rPr>
                      <w:sz w:val="21"/>
                      <w:szCs w:val="21"/>
                    </w:rPr>
                  </w:pPr>
                </w:p>
              </w:tc>
              <w:tc>
                <w:tcPr>
                  <w:tcW w:w="490" w:type="pct"/>
                  <w:shd w:val="clear" w:color="auto" w:fill="auto"/>
                  <w:vAlign w:val="center"/>
                </w:tcPr>
                <w:p>
                  <w:pPr>
                    <w:spacing w:line="240" w:lineRule="auto"/>
                    <w:ind w:right="46" w:rightChars="19" w:firstLine="0" w:firstLineChars="0"/>
                    <w:jc w:val="center"/>
                    <w:rPr>
                      <w:sz w:val="21"/>
                      <w:szCs w:val="21"/>
                    </w:rPr>
                  </w:pPr>
                  <w:r>
                    <w:rPr>
                      <w:rFonts w:hint="eastAsia"/>
                      <w:sz w:val="21"/>
                      <w:szCs w:val="21"/>
                    </w:rPr>
                    <w:t>排放量（t/a）</w:t>
                  </w:r>
                </w:p>
              </w:tc>
              <w:tc>
                <w:tcPr>
                  <w:tcW w:w="361" w:type="pct"/>
                  <w:shd w:val="clear" w:color="auto" w:fill="auto"/>
                  <w:vAlign w:val="center"/>
                </w:tcPr>
                <w:p>
                  <w:pPr>
                    <w:spacing w:line="240" w:lineRule="auto"/>
                    <w:ind w:firstLine="0" w:firstLineChars="0"/>
                    <w:jc w:val="center"/>
                    <w:rPr>
                      <w:color w:val="000000"/>
                      <w:sz w:val="21"/>
                      <w:szCs w:val="21"/>
                    </w:rPr>
                  </w:pPr>
                  <w:r>
                    <w:rPr>
                      <w:color w:val="000000"/>
                      <w:sz w:val="21"/>
                      <w:szCs w:val="21"/>
                    </w:rPr>
                    <w:t xml:space="preserve">0.61 </w:t>
                  </w:r>
                </w:p>
              </w:tc>
              <w:tc>
                <w:tcPr>
                  <w:tcW w:w="313" w:type="pct"/>
                  <w:shd w:val="clear" w:color="auto" w:fill="auto"/>
                  <w:vAlign w:val="center"/>
                </w:tcPr>
                <w:p>
                  <w:pPr>
                    <w:spacing w:line="240" w:lineRule="auto"/>
                    <w:ind w:firstLine="0" w:firstLineChars="0"/>
                    <w:jc w:val="center"/>
                    <w:rPr>
                      <w:color w:val="000000"/>
                      <w:sz w:val="21"/>
                      <w:szCs w:val="21"/>
                    </w:rPr>
                  </w:pPr>
                  <w:r>
                    <w:rPr>
                      <w:color w:val="000000"/>
                      <w:sz w:val="21"/>
                      <w:szCs w:val="21"/>
                    </w:rPr>
                    <w:t>0.2</w:t>
                  </w:r>
                  <w:r>
                    <w:rPr>
                      <w:rFonts w:hint="eastAsia"/>
                      <w:color w:val="000000"/>
                      <w:sz w:val="21"/>
                      <w:szCs w:val="21"/>
                    </w:rPr>
                    <w:t>5</w:t>
                  </w:r>
                </w:p>
              </w:tc>
              <w:tc>
                <w:tcPr>
                  <w:tcW w:w="313" w:type="pct"/>
                  <w:shd w:val="clear" w:color="auto" w:fill="auto"/>
                  <w:vAlign w:val="center"/>
                </w:tcPr>
                <w:p>
                  <w:pPr>
                    <w:spacing w:line="240" w:lineRule="auto"/>
                    <w:ind w:firstLine="0" w:firstLineChars="0"/>
                    <w:jc w:val="center"/>
                    <w:rPr>
                      <w:color w:val="000000"/>
                      <w:sz w:val="21"/>
                      <w:szCs w:val="21"/>
                    </w:rPr>
                  </w:pPr>
                  <w:r>
                    <w:rPr>
                      <w:color w:val="000000"/>
                      <w:sz w:val="21"/>
                      <w:szCs w:val="21"/>
                    </w:rPr>
                    <w:t xml:space="preserve">0.08 </w:t>
                  </w:r>
                </w:p>
              </w:tc>
              <w:tc>
                <w:tcPr>
                  <w:tcW w:w="346" w:type="pct"/>
                  <w:shd w:val="clear" w:color="auto" w:fill="auto"/>
                  <w:vAlign w:val="center"/>
                </w:tcPr>
                <w:p>
                  <w:pPr>
                    <w:spacing w:line="240" w:lineRule="auto"/>
                    <w:ind w:firstLine="0" w:firstLineChars="0"/>
                    <w:jc w:val="center"/>
                    <w:rPr>
                      <w:color w:val="000000"/>
                      <w:sz w:val="21"/>
                      <w:szCs w:val="21"/>
                    </w:rPr>
                  </w:pPr>
                  <w:r>
                    <w:rPr>
                      <w:color w:val="000000"/>
                      <w:sz w:val="21"/>
                      <w:szCs w:val="21"/>
                    </w:rPr>
                    <w:t xml:space="preserve">0.10 </w:t>
                  </w:r>
                </w:p>
              </w:tc>
              <w:tc>
                <w:tcPr>
                  <w:tcW w:w="313" w:type="pct"/>
                  <w:shd w:val="clear" w:color="auto" w:fill="auto"/>
                  <w:vAlign w:val="center"/>
                </w:tcPr>
                <w:p>
                  <w:pPr>
                    <w:spacing w:line="240" w:lineRule="auto"/>
                    <w:ind w:firstLine="0" w:firstLineChars="0"/>
                    <w:jc w:val="center"/>
                    <w:rPr>
                      <w:color w:val="000000"/>
                      <w:sz w:val="21"/>
                      <w:szCs w:val="21"/>
                    </w:rPr>
                  </w:pPr>
                  <w:r>
                    <w:rPr>
                      <w:color w:val="000000"/>
                      <w:sz w:val="21"/>
                      <w:szCs w:val="21"/>
                    </w:rPr>
                    <w:t xml:space="preserve">0.01 </w:t>
                  </w:r>
                </w:p>
              </w:tc>
              <w:tc>
                <w:tcPr>
                  <w:tcW w:w="313" w:type="pct"/>
                  <w:shd w:val="clear" w:color="auto" w:fill="auto"/>
                  <w:vAlign w:val="center"/>
                </w:tcPr>
                <w:p>
                  <w:pPr>
                    <w:spacing w:line="240" w:lineRule="auto"/>
                    <w:ind w:firstLine="0" w:firstLineChars="0"/>
                    <w:jc w:val="center"/>
                    <w:rPr>
                      <w:color w:val="000000"/>
                      <w:sz w:val="21"/>
                      <w:szCs w:val="21"/>
                    </w:rPr>
                  </w:pPr>
                  <w:r>
                    <w:rPr>
                      <w:color w:val="000000"/>
                      <w:sz w:val="21"/>
                      <w:szCs w:val="21"/>
                    </w:rPr>
                    <w:t xml:space="preserve">0.11 </w:t>
                  </w:r>
                </w:p>
              </w:tc>
              <w:tc>
                <w:tcPr>
                  <w:tcW w:w="301" w:type="pct"/>
                  <w:vAlign w:val="center"/>
                </w:tcPr>
                <w:p>
                  <w:pPr>
                    <w:spacing w:line="240" w:lineRule="auto"/>
                    <w:ind w:firstLine="0" w:firstLineChars="0"/>
                    <w:jc w:val="center"/>
                    <w:rPr>
                      <w:color w:val="000000"/>
                      <w:sz w:val="21"/>
                      <w:szCs w:val="21"/>
                    </w:rPr>
                  </w:pPr>
                  <w:r>
                    <w:rPr>
                      <w:color w:val="000000"/>
                      <w:sz w:val="21"/>
                      <w:szCs w:val="21"/>
                    </w:rPr>
                    <w:t xml:space="preserve">0.02 </w:t>
                  </w:r>
                </w:p>
              </w:tc>
              <w:tc>
                <w:tcPr>
                  <w:tcW w:w="324" w:type="pct"/>
                  <w:vAlign w:val="center"/>
                </w:tcPr>
                <w:p>
                  <w:pPr>
                    <w:spacing w:line="240" w:lineRule="auto"/>
                    <w:ind w:firstLine="0" w:firstLineChars="0"/>
                    <w:jc w:val="center"/>
                    <w:rPr>
                      <w:color w:val="000000"/>
                      <w:sz w:val="21"/>
                      <w:szCs w:val="21"/>
                    </w:rPr>
                  </w:pPr>
                  <w:r>
                    <w:rPr>
                      <w:color w:val="000000"/>
                      <w:sz w:val="21"/>
                      <w:szCs w:val="21"/>
                    </w:rPr>
                    <w:t xml:space="preserve">0.0001 </w:t>
                  </w:r>
                </w:p>
              </w:tc>
              <w:tc>
                <w:tcPr>
                  <w:tcW w:w="515" w:type="pct"/>
                  <w:vAlign w:val="center"/>
                </w:tcPr>
                <w:p>
                  <w:pPr>
                    <w:spacing w:line="240" w:lineRule="auto"/>
                    <w:ind w:firstLine="0" w:firstLineChars="0"/>
                    <w:jc w:val="center"/>
                    <w:rPr>
                      <w:color w:val="000000"/>
                      <w:sz w:val="21"/>
                      <w:szCs w:val="21"/>
                    </w:rPr>
                  </w:pPr>
                  <w:r>
                    <w:rPr>
                      <w:rFonts w:hint="eastAsia"/>
                      <w:sz w:val="21"/>
                      <w:szCs w:val="21"/>
                    </w:rPr>
                    <w:t>—</w:t>
                  </w:r>
                </w:p>
              </w:tc>
              <w:tc>
                <w:tcPr>
                  <w:tcW w:w="484" w:type="pct"/>
                  <w:shd w:val="clear" w:color="auto" w:fill="auto"/>
                  <w:vAlign w:val="center"/>
                </w:tcPr>
                <w:p>
                  <w:pPr>
                    <w:spacing w:line="240" w:lineRule="auto"/>
                    <w:ind w:right="46" w:rightChars="19" w:firstLine="0" w:firstLineChars="0"/>
                    <w:jc w:val="center"/>
                    <w:rPr>
                      <w:sz w:val="21"/>
                      <w:szCs w:val="21"/>
                    </w:rPr>
                  </w:pPr>
                  <w:r>
                    <w:rPr>
                      <w:rFonts w:hint="eastAsia"/>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927" w:type="pct"/>
                  <w:gridSpan w:val="2"/>
                  <w:shd w:val="clear" w:color="auto" w:fill="auto"/>
                  <w:vAlign w:val="center"/>
                </w:tcPr>
                <w:p>
                  <w:pPr>
                    <w:spacing w:line="240" w:lineRule="auto"/>
                    <w:ind w:right="46" w:rightChars="19" w:firstLine="0" w:firstLineChars="0"/>
                    <w:jc w:val="center"/>
                    <w:rPr>
                      <w:sz w:val="21"/>
                      <w:szCs w:val="21"/>
                    </w:rPr>
                  </w:pPr>
                  <w:r>
                    <w:rPr>
                      <w:rFonts w:hint="eastAsia"/>
                      <w:sz w:val="21"/>
                      <w:szCs w:val="21"/>
                    </w:rPr>
                    <w:t>本项目执行标准</w:t>
                  </w:r>
                </w:p>
              </w:tc>
              <w:tc>
                <w:tcPr>
                  <w:tcW w:w="490" w:type="pct"/>
                  <w:shd w:val="clear" w:color="auto" w:fill="auto"/>
                  <w:vAlign w:val="center"/>
                </w:tcPr>
                <w:p>
                  <w:pPr>
                    <w:spacing w:line="240" w:lineRule="auto"/>
                    <w:ind w:right="46" w:rightChars="19" w:firstLine="0" w:firstLineChars="0"/>
                    <w:jc w:val="center"/>
                    <w:rPr>
                      <w:sz w:val="21"/>
                      <w:szCs w:val="21"/>
                    </w:rPr>
                  </w:pPr>
                  <w:r>
                    <w:rPr>
                      <w:rFonts w:hint="eastAsia"/>
                      <w:sz w:val="21"/>
                      <w:szCs w:val="21"/>
                    </w:rPr>
                    <w:t>浓度</w:t>
                  </w:r>
                  <w:r>
                    <w:rPr>
                      <w:sz w:val="21"/>
                      <w:szCs w:val="21"/>
                    </w:rPr>
                    <w:t>（mg/L）</w:t>
                  </w:r>
                </w:p>
              </w:tc>
              <w:tc>
                <w:tcPr>
                  <w:tcW w:w="361" w:type="pct"/>
                  <w:shd w:val="clear" w:color="auto" w:fill="auto"/>
                  <w:vAlign w:val="center"/>
                </w:tcPr>
                <w:p>
                  <w:pPr>
                    <w:spacing w:line="240" w:lineRule="auto"/>
                    <w:ind w:firstLine="0" w:firstLineChars="0"/>
                    <w:jc w:val="center"/>
                    <w:rPr>
                      <w:color w:val="000000"/>
                      <w:sz w:val="21"/>
                      <w:szCs w:val="21"/>
                    </w:rPr>
                  </w:pPr>
                  <w:r>
                    <w:rPr>
                      <w:rFonts w:hint="eastAsia"/>
                      <w:color w:val="000000"/>
                      <w:sz w:val="21"/>
                      <w:szCs w:val="21"/>
                    </w:rPr>
                    <w:t>250</w:t>
                  </w:r>
                </w:p>
              </w:tc>
              <w:tc>
                <w:tcPr>
                  <w:tcW w:w="313" w:type="pct"/>
                  <w:shd w:val="clear" w:color="auto" w:fill="auto"/>
                  <w:vAlign w:val="center"/>
                </w:tcPr>
                <w:p>
                  <w:pPr>
                    <w:spacing w:line="240" w:lineRule="auto"/>
                    <w:ind w:firstLine="0" w:firstLineChars="0"/>
                    <w:jc w:val="center"/>
                    <w:rPr>
                      <w:color w:val="000000"/>
                      <w:sz w:val="21"/>
                      <w:szCs w:val="21"/>
                    </w:rPr>
                  </w:pPr>
                  <w:r>
                    <w:rPr>
                      <w:rFonts w:hint="eastAsia"/>
                      <w:color w:val="000000"/>
                      <w:sz w:val="21"/>
                      <w:szCs w:val="21"/>
                    </w:rPr>
                    <w:t>100</w:t>
                  </w:r>
                </w:p>
              </w:tc>
              <w:tc>
                <w:tcPr>
                  <w:tcW w:w="313" w:type="pct"/>
                  <w:shd w:val="clear" w:color="auto" w:fill="auto"/>
                  <w:vAlign w:val="center"/>
                </w:tcPr>
                <w:p>
                  <w:pPr>
                    <w:spacing w:line="240" w:lineRule="auto"/>
                    <w:ind w:firstLine="0" w:firstLineChars="0"/>
                    <w:jc w:val="center"/>
                    <w:rPr>
                      <w:color w:val="000000"/>
                      <w:sz w:val="21"/>
                      <w:szCs w:val="21"/>
                    </w:rPr>
                  </w:pPr>
                  <w:r>
                    <w:rPr>
                      <w:rFonts w:hint="eastAsia"/>
                      <w:color w:val="000000"/>
                      <w:sz w:val="21"/>
                      <w:szCs w:val="21"/>
                    </w:rPr>
                    <w:t>60</w:t>
                  </w:r>
                </w:p>
              </w:tc>
              <w:tc>
                <w:tcPr>
                  <w:tcW w:w="346" w:type="pct"/>
                  <w:shd w:val="clear" w:color="auto" w:fill="auto"/>
                  <w:vAlign w:val="center"/>
                </w:tcPr>
                <w:p>
                  <w:pPr>
                    <w:spacing w:line="240" w:lineRule="auto"/>
                    <w:ind w:firstLine="0" w:firstLineChars="0"/>
                    <w:jc w:val="center"/>
                    <w:rPr>
                      <w:color w:val="000000"/>
                      <w:sz w:val="21"/>
                      <w:szCs w:val="21"/>
                    </w:rPr>
                  </w:pPr>
                  <w:r>
                    <w:rPr>
                      <w:rFonts w:hint="eastAsia"/>
                      <w:color w:val="000000"/>
                      <w:sz w:val="21"/>
                      <w:szCs w:val="21"/>
                    </w:rPr>
                    <w:t>40</w:t>
                  </w:r>
                </w:p>
              </w:tc>
              <w:tc>
                <w:tcPr>
                  <w:tcW w:w="313" w:type="pct"/>
                  <w:shd w:val="clear" w:color="auto" w:fill="auto"/>
                  <w:vAlign w:val="center"/>
                </w:tcPr>
                <w:p>
                  <w:pPr>
                    <w:spacing w:line="240" w:lineRule="auto"/>
                    <w:ind w:firstLine="0" w:firstLineChars="0"/>
                    <w:jc w:val="center"/>
                    <w:rPr>
                      <w:color w:val="000000"/>
                      <w:sz w:val="21"/>
                      <w:szCs w:val="21"/>
                    </w:rPr>
                  </w:pPr>
                  <w:r>
                    <w:rPr>
                      <w:rFonts w:hint="eastAsia"/>
                      <w:color w:val="000000"/>
                      <w:sz w:val="21"/>
                      <w:szCs w:val="21"/>
                    </w:rPr>
                    <w:t>5</w:t>
                  </w:r>
                </w:p>
              </w:tc>
              <w:tc>
                <w:tcPr>
                  <w:tcW w:w="313" w:type="pct"/>
                  <w:shd w:val="clear" w:color="auto" w:fill="auto"/>
                  <w:vAlign w:val="center"/>
                </w:tcPr>
                <w:p>
                  <w:pPr>
                    <w:spacing w:line="240" w:lineRule="auto"/>
                    <w:ind w:firstLine="0" w:firstLineChars="0"/>
                    <w:jc w:val="center"/>
                    <w:rPr>
                      <w:color w:val="000000"/>
                      <w:sz w:val="21"/>
                      <w:szCs w:val="21"/>
                    </w:rPr>
                  </w:pPr>
                  <w:r>
                    <w:rPr>
                      <w:rFonts w:hint="eastAsia"/>
                      <w:color w:val="000000"/>
                      <w:sz w:val="21"/>
                      <w:szCs w:val="21"/>
                    </w:rPr>
                    <w:t>40</w:t>
                  </w:r>
                </w:p>
              </w:tc>
              <w:tc>
                <w:tcPr>
                  <w:tcW w:w="301" w:type="pct"/>
                  <w:vAlign w:val="center"/>
                </w:tcPr>
                <w:p>
                  <w:pPr>
                    <w:spacing w:line="240" w:lineRule="auto"/>
                    <w:ind w:firstLine="0" w:firstLineChars="0"/>
                    <w:jc w:val="center"/>
                    <w:rPr>
                      <w:color w:val="000000"/>
                      <w:sz w:val="21"/>
                      <w:szCs w:val="21"/>
                    </w:rPr>
                  </w:pPr>
                  <w:r>
                    <w:rPr>
                      <w:rFonts w:hint="eastAsia"/>
                      <w:color w:val="000000"/>
                      <w:sz w:val="21"/>
                      <w:szCs w:val="21"/>
                    </w:rPr>
                    <w:t>10</w:t>
                  </w:r>
                </w:p>
              </w:tc>
              <w:tc>
                <w:tcPr>
                  <w:tcW w:w="324" w:type="pct"/>
                  <w:vAlign w:val="center"/>
                </w:tcPr>
                <w:p>
                  <w:pPr>
                    <w:spacing w:line="240" w:lineRule="auto"/>
                    <w:ind w:firstLine="0" w:firstLineChars="0"/>
                    <w:jc w:val="center"/>
                    <w:rPr>
                      <w:color w:val="000000"/>
                      <w:sz w:val="21"/>
                      <w:szCs w:val="21"/>
                    </w:rPr>
                  </w:pPr>
                  <w:r>
                    <w:rPr>
                      <w:rFonts w:hint="eastAsia"/>
                      <w:color w:val="000000"/>
                      <w:sz w:val="21"/>
                      <w:szCs w:val="21"/>
                    </w:rPr>
                    <w:t>1.0</w:t>
                  </w:r>
                </w:p>
              </w:tc>
              <w:tc>
                <w:tcPr>
                  <w:tcW w:w="515" w:type="pct"/>
                  <w:vAlign w:val="center"/>
                </w:tcPr>
                <w:p>
                  <w:pPr>
                    <w:spacing w:line="240" w:lineRule="auto"/>
                    <w:ind w:firstLine="0" w:firstLineChars="0"/>
                    <w:jc w:val="center"/>
                    <w:rPr>
                      <w:color w:val="000000"/>
                      <w:sz w:val="21"/>
                      <w:szCs w:val="21"/>
                    </w:rPr>
                  </w:pPr>
                  <w:r>
                    <w:rPr>
                      <w:rFonts w:hint="eastAsia"/>
                      <w:color w:val="000000"/>
                      <w:sz w:val="21"/>
                      <w:szCs w:val="21"/>
                    </w:rPr>
                    <w:t>5000</w:t>
                  </w:r>
                </w:p>
              </w:tc>
              <w:tc>
                <w:tcPr>
                  <w:tcW w:w="484" w:type="pct"/>
                  <w:shd w:val="clear" w:color="auto" w:fill="auto"/>
                  <w:vAlign w:val="center"/>
                </w:tcPr>
                <w:p>
                  <w:pPr>
                    <w:spacing w:line="240" w:lineRule="auto"/>
                    <w:ind w:right="46" w:rightChars="19" w:firstLine="0" w:firstLineChars="0"/>
                    <w:jc w:val="center"/>
                    <w:rPr>
                      <w:sz w:val="21"/>
                      <w:szCs w:val="21"/>
                    </w:rPr>
                  </w:pPr>
                  <w:r>
                    <w:rPr>
                      <w:rFonts w:hint="eastAsia"/>
                      <w:sz w:val="21"/>
                      <w:szCs w:val="21"/>
                    </w:rPr>
                    <w:t>6～9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417" w:type="pct"/>
                  <w:gridSpan w:val="3"/>
                  <w:shd w:val="clear" w:color="auto" w:fill="auto"/>
                  <w:vAlign w:val="center"/>
                </w:tcPr>
                <w:p>
                  <w:pPr>
                    <w:spacing w:line="240" w:lineRule="auto"/>
                    <w:ind w:right="46" w:rightChars="19" w:firstLine="0" w:firstLineChars="0"/>
                    <w:jc w:val="center"/>
                    <w:rPr>
                      <w:sz w:val="21"/>
                      <w:szCs w:val="21"/>
                    </w:rPr>
                  </w:pPr>
                  <w:r>
                    <w:rPr>
                      <w:rFonts w:hint="eastAsia"/>
                      <w:sz w:val="21"/>
                      <w:szCs w:val="21"/>
                    </w:rPr>
                    <w:t>达标情况</w:t>
                  </w:r>
                </w:p>
              </w:tc>
              <w:tc>
                <w:tcPr>
                  <w:tcW w:w="361" w:type="pct"/>
                  <w:shd w:val="clear" w:color="auto" w:fill="auto"/>
                  <w:vAlign w:val="center"/>
                </w:tcPr>
                <w:p>
                  <w:pPr>
                    <w:spacing w:line="240" w:lineRule="auto"/>
                    <w:ind w:firstLine="0" w:firstLineChars="0"/>
                    <w:jc w:val="center"/>
                    <w:rPr>
                      <w:color w:val="000000"/>
                      <w:sz w:val="21"/>
                      <w:szCs w:val="21"/>
                    </w:rPr>
                  </w:pPr>
                  <w:r>
                    <w:rPr>
                      <w:rFonts w:hint="eastAsia"/>
                      <w:color w:val="000000"/>
                      <w:sz w:val="21"/>
                      <w:szCs w:val="21"/>
                    </w:rPr>
                    <w:t>达标</w:t>
                  </w:r>
                </w:p>
              </w:tc>
              <w:tc>
                <w:tcPr>
                  <w:tcW w:w="313" w:type="pct"/>
                  <w:shd w:val="clear" w:color="auto" w:fill="auto"/>
                  <w:vAlign w:val="center"/>
                </w:tcPr>
                <w:p>
                  <w:pPr>
                    <w:spacing w:line="240" w:lineRule="auto"/>
                    <w:ind w:firstLine="0" w:firstLineChars="0"/>
                    <w:jc w:val="center"/>
                    <w:rPr>
                      <w:color w:val="000000"/>
                      <w:sz w:val="21"/>
                      <w:szCs w:val="21"/>
                    </w:rPr>
                  </w:pPr>
                  <w:r>
                    <w:rPr>
                      <w:rFonts w:hint="eastAsia"/>
                      <w:color w:val="000000"/>
                      <w:sz w:val="21"/>
                      <w:szCs w:val="21"/>
                    </w:rPr>
                    <w:t>达标</w:t>
                  </w:r>
                </w:p>
              </w:tc>
              <w:tc>
                <w:tcPr>
                  <w:tcW w:w="313" w:type="pct"/>
                  <w:shd w:val="clear" w:color="auto" w:fill="auto"/>
                  <w:vAlign w:val="center"/>
                </w:tcPr>
                <w:p>
                  <w:pPr>
                    <w:spacing w:line="240" w:lineRule="auto"/>
                    <w:ind w:firstLine="0" w:firstLineChars="0"/>
                    <w:jc w:val="center"/>
                    <w:rPr>
                      <w:color w:val="000000"/>
                      <w:sz w:val="21"/>
                      <w:szCs w:val="21"/>
                    </w:rPr>
                  </w:pPr>
                  <w:r>
                    <w:rPr>
                      <w:rFonts w:hint="eastAsia"/>
                      <w:color w:val="000000"/>
                      <w:sz w:val="21"/>
                      <w:szCs w:val="21"/>
                    </w:rPr>
                    <w:t>达标</w:t>
                  </w:r>
                </w:p>
              </w:tc>
              <w:tc>
                <w:tcPr>
                  <w:tcW w:w="346" w:type="pct"/>
                  <w:shd w:val="clear" w:color="auto" w:fill="auto"/>
                  <w:vAlign w:val="center"/>
                </w:tcPr>
                <w:p>
                  <w:pPr>
                    <w:spacing w:line="240" w:lineRule="auto"/>
                    <w:ind w:firstLine="0" w:firstLineChars="0"/>
                    <w:jc w:val="center"/>
                    <w:rPr>
                      <w:color w:val="000000"/>
                      <w:sz w:val="21"/>
                      <w:szCs w:val="21"/>
                    </w:rPr>
                  </w:pPr>
                  <w:r>
                    <w:rPr>
                      <w:rFonts w:hint="eastAsia"/>
                      <w:color w:val="000000"/>
                      <w:sz w:val="21"/>
                      <w:szCs w:val="21"/>
                    </w:rPr>
                    <w:t>达标</w:t>
                  </w:r>
                </w:p>
              </w:tc>
              <w:tc>
                <w:tcPr>
                  <w:tcW w:w="313" w:type="pct"/>
                  <w:shd w:val="clear" w:color="auto" w:fill="auto"/>
                  <w:vAlign w:val="center"/>
                </w:tcPr>
                <w:p>
                  <w:pPr>
                    <w:spacing w:line="240" w:lineRule="auto"/>
                    <w:ind w:firstLine="0" w:firstLineChars="0"/>
                    <w:jc w:val="center"/>
                    <w:rPr>
                      <w:color w:val="000000"/>
                      <w:sz w:val="21"/>
                      <w:szCs w:val="21"/>
                    </w:rPr>
                  </w:pPr>
                  <w:r>
                    <w:rPr>
                      <w:rFonts w:hint="eastAsia"/>
                      <w:color w:val="000000"/>
                      <w:sz w:val="21"/>
                      <w:szCs w:val="21"/>
                    </w:rPr>
                    <w:t>达标</w:t>
                  </w:r>
                </w:p>
              </w:tc>
              <w:tc>
                <w:tcPr>
                  <w:tcW w:w="313" w:type="pct"/>
                  <w:shd w:val="clear" w:color="auto" w:fill="auto"/>
                  <w:vAlign w:val="center"/>
                </w:tcPr>
                <w:p>
                  <w:pPr>
                    <w:spacing w:line="240" w:lineRule="auto"/>
                    <w:ind w:firstLine="0" w:firstLineChars="0"/>
                    <w:jc w:val="center"/>
                    <w:rPr>
                      <w:color w:val="000000"/>
                      <w:sz w:val="21"/>
                      <w:szCs w:val="21"/>
                    </w:rPr>
                  </w:pPr>
                  <w:r>
                    <w:rPr>
                      <w:rFonts w:hint="eastAsia"/>
                      <w:color w:val="000000"/>
                      <w:sz w:val="21"/>
                      <w:szCs w:val="21"/>
                    </w:rPr>
                    <w:t>达标</w:t>
                  </w:r>
                </w:p>
              </w:tc>
              <w:tc>
                <w:tcPr>
                  <w:tcW w:w="301" w:type="pct"/>
                  <w:vAlign w:val="center"/>
                </w:tcPr>
                <w:p>
                  <w:pPr>
                    <w:spacing w:line="240" w:lineRule="auto"/>
                    <w:ind w:firstLine="0" w:firstLineChars="0"/>
                    <w:jc w:val="center"/>
                    <w:rPr>
                      <w:color w:val="000000"/>
                      <w:sz w:val="21"/>
                      <w:szCs w:val="21"/>
                    </w:rPr>
                  </w:pPr>
                  <w:r>
                    <w:rPr>
                      <w:rFonts w:hint="eastAsia"/>
                      <w:color w:val="000000"/>
                      <w:sz w:val="21"/>
                      <w:szCs w:val="21"/>
                    </w:rPr>
                    <w:t>达标</w:t>
                  </w:r>
                </w:p>
              </w:tc>
              <w:tc>
                <w:tcPr>
                  <w:tcW w:w="324" w:type="pct"/>
                  <w:vAlign w:val="center"/>
                </w:tcPr>
                <w:p>
                  <w:pPr>
                    <w:spacing w:line="240" w:lineRule="auto"/>
                    <w:ind w:firstLine="0" w:firstLineChars="0"/>
                    <w:jc w:val="center"/>
                    <w:rPr>
                      <w:color w:val="000000"/>
                      <w:sz w:val="21"/>
                      <w:szCs w:val="21"/>
                    </w:rPr>
                  </w:pPr>
                  <w:r>
                    <w:rPr>
                      <w:rFonts w:hint="eastAsia"/>
                      <w:color w:val="000000"/>
                      <w:sz w:val="21"/>
                      <w:szCs w:val="21"/>
                    </w:rPr>
                    <w:t>达标</w:t>
                  </w:r>
                </w:p>
              </w:tc>
              <w:tc>
                <w:tcPr>
                  <w:tcW w:w="515" w:type="pct"/>
                  <w:vAlign w:val="center"/>
                </w:tcPr>
                <w:p>
                  <w:pPr>
                    <w:spacing w:line="240" w:lineRule="auto"/>
                    <w:ind w:firstLine="0" w:firstLineChars="0"/>
                    <w:jc w:val="center"/>
                    <w:rPr>
                      <w:color w:val="000000"/>
                      <w:sz w:val="21"/>
                      <w:szCs w:val="21"/>
                    </w:rPr>
                  </w:pPr>
                  <w:r>
                    <w:rPr>
                      <w:rFonts w:hint="eastAsia"/>
                      <w:color w:val="000000"/>
                      <w:sz w:val="21"/>
                      <w:szCs w:val="21"/>
                    </w:rPr>
                    <w:t>达标</w:t>
                  </w:r>
                </w:p>
              </w:tc>
              <w:tc>
                <w:tcPr>
                  <w:tcW w:w="484" w:type="pct"/>
                  <w:shd w:val="clear" w:color="auto" w:fill="auto"/>
                  <w:vAlign w:val="center"/>
                </w:tcPr>
                <w:p>
                  <w:pPr>
                    <w:spacing w:line="240" w:lineRule="auto"/>
                    <w:ind w:right="46" w:rightChars="19" w:firstLine="0" w:firstLineChars="0"/>
                    <w:jc w:val="center"/>
                    <w:rPr>
                      <w:sz w:val="21"/>
                      <w:szCs w:val="21"/>
                    </w:rPr>
                  </w:pPr>
                  <w:r>
                    <w:rPr>
                      <w:rFonts w:hint="eastAsia"/>
                      <w:color w:val="000000"/>
                      <w:sz w:val="21"/>
                      <w:szCs w:val="21"/>
                    </w:rPr>
                    <w:t>达标</w:t>
                  </w:r>
                </w:p>
              </w:tc>
            </w:tr>
          </w:tbl>
          <w:p>
            <w:pPr>
              <w:ind w:left="48" w:leftChars="20" w:right="48" w:rightChars="20" w:firstLine="480"/>
            </w:pPr>
            <w:r>
              <w:rPr>
                <w:rFonts w:hint="eastAsia"/>
              </w:rPr>
              <w:t>本项目设有30张床位，污水经处理后排放量的单位床位排放负荷为C</w:t>
            </w:r>
            <w:r>
              <w:t>OD</w:t>
            </w:r>
            <w:r>
              <w:rPr>
                <w:rFonts w:hint="eastAsia"/>
              </w:rPr>
              <w:t>：56g/（床位·d），B</w:t>
            </w:r>
            <w:r>
              <w:t>OD</w:t>
            </w:r>
            <w:r>
              <w:rPr>
                <w:vertAlign w:val="subscript"/>
              </w:rPr>
              <w:t>5</w:t>
            </w:r>
            <w:r>
              <w:rPr>
                <w:rFonts w:hint="eastAsia"/>
              </w:rPr>
              <w:t>：23g/（床位·d），SS：8g/（床位·d），符合《医疗机构水污染物排放标准》(GB18466-2005)表2预处理标准要求。</w:t>
            </w:r>
          </w:p>
          <w:p>
            <w:pPr>
              <w:ind w:left="48" w:leftChars="20" w:right="48" w:rightChars="20" w:firstLine="480"/>
            </w:pPr>
          </w:p>
        </w:tc>
      </w:tr>
    </w:tbl>
    <w:p>
      <w:pPr>
        <w:spacing w:line="240" w:lineRule="auto"/>
        <w:ind w:firstLine="0" w:firstLineChars="0"/>
        <w:sectPr>
          <w:pgSz w:w="16838" w:h="11906" w:orient="landscape"/>
          <w:pgMar w:top="1800" w:right="1440" w:bottom="1800" w:left="1440" w:header="851" w:footer="992" w:gutter="0"/>
          <w:cols w:space="425" w:num="1"/>
          <w:docGrid w:type="lines" w:linePitch="326" w:charSpace="0"/>
        </w:sectPr>
      </w:pPr>
    </w:p>
    <w:tbl>
      <w:tblPr>
        <w:tblStyle w:val="17"/>
        <w:tblW w:w="9498" w:type="dxa"/>
        <w:tblInd w:w="-45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567"/>
        <w:gridCol w:w="89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567" w:type="dxa"/>
            <w:vAlign w:val="center"/>
          </w:tcPr>
          <w:p>
            <w:pPr>
              <w:spacing w:line="240" w:lineRule="auto"/>
              <w:ind w:firstLine="0" w:firstLineChars="0"/>
              <w:jc w:val="center"/>
            </w:pPr>
            <w:r>
              <w:rPr>
                <w:rFonts w:hint="eastAsia"/>
              </w:rPr>
              <w:t>运营期环境影响和保护措施</w:t>
            </w:r>
          </w:p>
        </w:tc>
        <w:tc>
          <w:tcPr>
            <w:tcW w:w="8931" w:type="dxa"/>
          </w:tcPr>
          <w:p>
            <w:pPr>
              <w:ind w:left="48" w:leftChars="20" w:right="48" w:rightChars="20" w:firstLine="480"/>
            </w:pPr>
            <w:r>
              <w:rPr>
                <w:rFonts w:hint="eastAsia"/>
              </w:rPr>
              <w:t>（3）废水污染防治措施可行性分析</w:t>
            </w:r>
          </w:p>
          <w:p>
            <w:pPr>
              <w:ind w:left="48" w:leftChars="20" w:right="48" w:rightChars="20" w:firstLine="480"/>
            </w:pPr>
            <w:r>
              <w:rPr>
                <w:rFonts w:hint="eastAsia"/>
              </w:rPr>
              <w:t>本项目污水产生量为11.75m</w:t>
            </w:r>
            <w:r>
              <w:rPr>
                <w:rFonts w:hint="eastAsia"/>
                <w:vertAlign w:val="superscript"/>
              </w:rPr>
              <w:t>3</w:t>
            </w:r>
            <w:r>
              <w:rPr>
                <w:rFonts w:hint="eastAsia"/>
              </w:rPr>
              <w:t>/d，医院建设一套20m</w:t>
            </w:r>
            <w:r>
              <w:rPr>
                <w:rFonts w:hint="eastAsia"/>
                <w:vertAlign w:val="superscript"/>
              </w:rPr>
              <w:t>3</w:t>
            </w:r>
            <w:r>
              <w:rPr>
                <w:rFonts w:hint="eastAsia"/>
              </w:rPr>
              <w:t>/d污水处理设施，可以处理本项目产生的污水。</w:t>
            </w:r>
          </w:p>
          <w:p>
            <w:pPr>
              <w:ind w:left="48" w:leftChars="20" w:right="48" w:rightChars="20" w:firstLine="480"/>
            </w:pPr>
            <w:r>
              <w:rPr>
                <w:rFonts w:hint="eastAsia"/>
              </w:rPr>
              <w:t>本项目污水处理设施与《排污许可证申请与核发技术规范 医疗机构》（HJ1105-2020）中医疗机构排污单位污水治理可行技术参照表对比如下。</w:t>
            </w:r>
          </w:p>
          <w:p>
            <w:pPr>
              <w:pStyle w:val="14"/>
            </w:pPr>
            <w:r>
              <w:rPr>
                <w:rFonts w:hint="eastAsia"/>
              </w:rPr>
              <w:t>表28   本项目废水污染防治技术与排污许可规范对照一览表</w:t>
            </w:r>
          </w:p>
          <w:tbl>
            <w:tblPr>
              <w:tblStyle w:val="17"/>
              <w:tblW w:w="4951"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984"/>
              <w:gridCol w:w="1984"/>
              <w:gridCol w:w="992"/>
              <w:gridCol w:w="3120"/>
              <w:gridCol w:w="174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558" w:type="pct"/>
                  <w:vAlign w:val="center"/>
                </w:tcPr>
                <w:p>
                  <w:pPr>
                    <w:spacing w:line="240" w:lineRule="auto"/>
                    <w:ind w:right="48" w:rightChars="20" w:firstLine="0" w:firstLineChars="0"/>
                    <w:jc w:val="center"/>
                    <w:rPr>
                      <w:sz w:val="21"/>
                      <w:szCs w:val="21"/>
                    </w:rPr>
                  </w:pPr>
                  <w:r>
                    <w:rPr>
                      <w:rFonts w:hint="eastAsia"/>
                      <w:sz w:val="21"/>
                      <w:szCs w:val="21"/>
                    </w:rPr>
                    <w:t>污水类别</w:t>
                  </w:r>
                </w:p>
              </w:tc>
              <w:tc>
                <w:tcPr>
                  <w:tcW w:w="1124" w:type="pct"/>
                  <w:vAlign w:val="center"/>
                </w:tcPr>
                <w:p>
                  <w:pPr>
                    <w:spacing w:line="240" w:lineRule="auto"/>
                    <w:ind w:right="48" w:rightChars="20" w:firstLine="0" w:firstLineChars="0"/>
                    <w:jc w:val="center"/>
                    <w:rPr>
                      <w:sz w:val="21"/>
                      <w:szCs w:val="21"/>
                    </w:rPr>
                  </w:pPr>
                  <w:r>
                    <w:rPr>
                      <w:rFonts w:hint="eastAsia"/>
                      <w:sz w:val="21"/>
                      <w:szCs w:val="21"/>
                    </w:rPr>
                    <w:t>污染物种类</w:t>
                  </w:r>
                </w:p>
              </w:tc>
              <w:tc>
                <w:tcPr>
                  <w:tcW w:w="562" w:type="pct"/>
                  <w:vAlign w:val="center"/>
                </w:tcPr>
                <w:p>
                  <w:pPr>
                    <w:spacing w:line="240" w:lineRule="auto"/>
                    <w:ind w:right="48" w:rightChars="20" w:firstLine="0" w:firstLineChars="0"/>
                    <w:jc w:val="center"/>
                    <w:rPr>
                      <w:sz w:val="21"/>
                      <w:szCs w:val="21"/>
                    </w:rPr>
                  </w:pPr>
                  <w:r>
                    <w:rPr>
                      <w:rFonts w:hint="eastAsia"/>
                      <w:sz w:val="21"/>
                      <w:szCs w:val="21"/>
                    </w:rPr>
                    <w:t>排放去向</w:t>
                  </w:r>
                </w:p>
              </w:tc>
              <w:tc>
                <w:tcPr>
                  <w:tcW w:w="1768" w:type="pct"/>
                  <w:vAlign w:val="center"/>
                </w:tcPr>
                <w:p>
                  <w:pPr>
                    <w:spacing w:line="240" w:lineRule="auto"/>
                    <w:ind w:right="48" w:rightChars="20" w:firstLine="0" w:firstLineChars="0"/>
                    <w:jc w:val="center"/>
                    <w:rPr>
                      <w:sz w:val="21"/>
                      <w:szCs w:val="21"/>
                    </w:rPr>
                  </w:pPr>
                  <w:r>
                    <w:rPr>
                      <w:rFonts w:hint="eastAsia"/>
                      <w:sz w:val="21"/>
                      <w:szCs w:val="21"/>
                    </w:rPr>
                    <w:t>可行性技术</w:t>
                  </w:r>
                </w:p>
              </w:tc>
              <w:tc>
                <w:tcPr>
                  <w:tcW w:w="988" w:type="pct"/>
                  <w:vAlign w:val="center"/>
                </w:tcPr>
                <w:p>
                  <w:pPr>
                    <w:spacing w:line="240" w:lineRule="auto"/>
                    <w:ind w:right="48" w:rightChars="20" w:firstLine="0" w:firstLineChars="0"/>
                    <w:jc w:val="center"/>
                    <w:rPr>
                      <w:sz w:val="21"/>
                      <w:szCs w:val="21"/>
                    </w:rPr>
                  </w:pPr>
                  <w:r>
                    <w:rPr>
                      <w:rFonts w:hint="eastAsia"/>
                      <w:sz w:val="21"/>
                      <w:szCs w:val="21"/>
                    </w:rPr>
                    <w:t>本项目处理措施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558" w:type="pct"/>
                  <w:vAlign w:val="center"/>
                </w:tcPr>
                <w:p>
                  <w:pPr>
                    <w:spacing w:line="240" w:lineRule="auto"/>
                    <w:ind w:right="48" w:rightChars="20" w:firstLine="0" w:firstLineChars="0"/>
                    <w:jc w:val="center"/>
                    <w:rPr>
                      <w:sz w:val="21"/>
                      <w:szCs w:val="21"/>
                    </w:rPr>
                  </w:pPr>
                  <w:r>
                    <w:rPr>
                      <w:rFonts w:hint="eastAsia"/>
                      <w:sz w:val="21"/>
                      <w:szCs w:val="21"/>
                    </w:rPr>
                    <w:t>医疗污水</w:t>
                  </w:r>
                </w:p>
              </w:tc>
              <w:tc>
                <w:tcPr>
                  <w:tcW w:w="1124" w:type="pct"/>
                  <w:vAlign w:val="center"/>
                </w:tcPr>
                <w:p>
                  <w:pPr>
                    <w:spacing w:line="240" w:lineRule="auto"/>
                    <w:ind w:right="48" w:rightChars="20" w:firstLine="0" w:firstLineChars="0"/>
                    <w:jc w:val="left"/>
                    <w:rPr>
                      <w:sz w:val="21"/>
                      <w:szCs w:val="21"/>
                    </w:rPr>
                  </w:pPr>
                  <w:r>
                    <w:rPr>
                      <w:rFonts w:hint="eastAsia"/>
                      <w:sz w:val="21"/>
                      <w:szCs w:val="21"/>
                    </w:rPr>
                    <w:t>粪大肠菌群数、肠道致病菌、肠道病毒、化学需氧量、氨氮、pH 值、悬浮物、五日生化需氧量、动植物油、石油类、阴离子表面活性剂、挥发酚、色度、总氰化物、总余氯</w:t>
                  </w:r>
                </w:p>
              </w:tc>
              <w:tc>
                <w:tcPr>
                  <w:tcW w:w="562" w:type="pct"/>
                  <w:vAlign w:val="center"/>
                </w:tcPr>
                <w:p>
                  <w:pPr>
                    <w:spacing w:line="240" w:lineRule="auto"/>
                    <w:ind w:right="48" w:rightChars="20" w:firstLine="0" w:firstLineChars="0"/>
                    <w:jc w:val="left"/>
                    <w:rPr>
                      <w:sz w:val="21"/>
                      <w:szCs w:val="21"/>
                    </w:rPr>
                  </w:pPr>
                  <w:r>
                    <w:rPr>
                      <w:rFonts w:hint="eastAsia"/>
                      <w:sz w:val="21"/>
                      <w:szCs w:val="21"/>
                    </w:rPr>
                    <w:t>排入城镇污水处理厂</w:t>
                  </w:r>
                </w:p>
              </w:tc>
              <w:tc>
                <w:tcPr>
                  <w:tcW w:w="1768" w:type="pct"/>
                  <w:vAlign w:val="center"/>
                </w:tcPr>
                <w:p>
                  <w:pPr>
                    <w:spacing w:line="240" w:lineRule="auto"/>
                    <w:ind w:right="48" w:rightChars="20" w:firstLine="0" w:firstLineChars="0"/>
                    <w:jc w:val="left"/>
                    <w:rPr>
                      <w:sz w:val="21"/>
                      <w:szCs w:val="21"/>
                    </w:rPr>
                  </w:pPr>
                  <w:r>
                    <w:rPr>
                      <w:rFonts w:hint="eastAsia"/>
                      <w:sz w:val="21"/>
                      <w:szCs w:val="21"/>
                    </w:rPr>
                    <w:t>一级处理/一级强化处理+消毒工艺。</w:t>
                  </w:r>
                </w:p>
                <w:p>
                  <w:pPr>
                    <w:spacing w:line="240" w:lineRule="auto"/>
                    <w:ind w:right="48" w:rightChars="20" w:firstLine="0" w:firstLineChars="0"/>
                    <w:jc w:val="left"/>
                    <w:rPr>
                      <w:sz w:val="21"/>
                      <w:szCs w:val="21"/>
                    </w:rPr>
                  </w:pPr>
                  <w:r>
                    <w:rPr>
                      <w:rFonts w:hint="eastAsia"/>
                      <w:sz w:val="21"/>
                      <w:szCs w:val="21"/>
                    </w:rPr>
                    <w:t>一级处理包括：筛滤法；沉淀法；气浮法；预曝气法。</w:t>
                  </w:r>
                </w:p>
                <w:p>
                  <w:pPr>
                    <w:spacing w:line="240" w:lineRule="auto"/>
                    <w:ind w:right="48" w:rightChars="20" w:firstLine="0" w:firstLineChars="0"/>
                    <w:jc w:val="left"/>
                    <w:rPr>
                      <w:sz w:val="21"/>
                      <w:szCs w:val="21"/>
                    </w:rPr>
                  </w:pPr>
                  <w:r>
                    <w:rPr>
                      <w:rFonts w:hint="eastAsia"/>
                      <w:sz w:val="21"/>
                      <w:szCs w:val="21"/>
                    </w:rPr>
                    <w:t>一级强化处理包括：化学混凝处理、机械过滤或不完全生物处理。</w:t>
                  </w:r>
                </w:p>
                <w:p>
                  <w:pPr>
                    <w:spacing w:line="240" w:lineRule="auto"/>
                    <w:ind w:right="48" w:rightChars="20" w:firstLine="0" w:firstLineChars="0"/>
                    <w:jc w:val="left"/>
                    <w:rPr>
                      <w:sz w:val="21"/>
                      <w:szCs w:val="21"/>
                    </w:rPr>
                  </w:pPr>
                  <w:r>
                    <w:rPr>
                      <w:rFonts w:hint="eastAsia"/>
                      <w:sz w:val="21"/>
                      <w:szCs w:val="21"/>
                    </w:rPr>
                    <w:t>消毒工艺：加氯消毒，臭氧法消毒，次氯酸钠法、二氧化氯法消毒、紫外线消毒等。</w:t>
                  </w:r>
                </w:p>
              </w:tc>
              <w:tc>
                <w:tcPr>
                  <w:tcW w:w="988" w:type="pct"/>
                  <w:vAlign w:val="center"/>
                </w:tcPr>
                <w:p>
                  <w:pPr>
                    <w:spacing w:line="240" w:lineRule="auto"/>
                    <w:ind w:right="48" w:rightChars="20" w:firstLine="0" w:firstLineChars="0"/>
                    <w:jc w:val="left"/>
                    <w:rPr>
                      <w:sz w:val="21"/>
                      <w:szCs w:val="21"/>
                    </w:rPr>
                  </w:pPr>
                  <w:r>
                    <w:rPr>
                      <w:rFonts w:hint="eastAsia"/>
                      <w:sz w:val="21"/>
                      <w:szCs w:val="21"/>
                    </w:rPr>
                    <w:t>格栅+调节池+水解酸化+二级接触氧化+好氧+MBR膜处理+沉淀+NaClO消毒</w:t>
                  </w:r>
                </w:p>
              </w:tc>
            </w:tr>
          </w:tbl>
          <w:p>
            <w:pPr>
              <w:ind w:left="48" w:leftChars="20" w:right="48" w:rightChars="20" w:firstLine="480"/>
            </w:pPr>
            <w:r>
              <w:rPr>
                <w:rFonts w:hint="eastAsia"/>
              </w:rPr>
              <w:t>由上表可知，本项目采用生物处理+沉淀+消毒的处理方法，符合《排污许可证申请与核发技术规范 医疗机构》（HJ1105-2020）中医疗机构产生的污水排入城镇污水处理厂时应设施的污水处理措施要求。</w:t>
            </w:r>
          </w:p>
          <w:p>
            <w:pPr>
              <w:ind w:left="48" w:leftChars="20" w:right="48" w:rightChars="20" w:firstLine="480"/>
            </w:pPr>
            <w:r>
              <w:rPr>
                <w:rFonts w:hint="eastAsia"/>
              </w:rPr>
              <w:t>《医院污水处理工程技术规范》（HJ 2029-2013）指出：针对非传染病医院，若处理出水直接或间接排入地表水体或海域时，应采用二级处理+消毒工艺或二级处理+深度处理+消毒工艺。若处理出水排入终端已建有正常运行的二级污水处理厂的城市污水管网时，可采用一级强化处理+消毒工艺。其推荐一级强化处理工艺为格栅+调节池+混凝沉淀池+消毒；二级强化处理工艺为格栅+调节池+水解池/初沉池+生化反应池+二沉池+深度处理+消毒池。</w:t>
            </w:r>
          </w:p>
          <w:p>
            <w:pPr>
              <w:ind w:left="48" w:leftChars="20" w:right="48" w:rightChars="20" w:firstLine="480"/>
            </w:pPr>
            <w:r>
              <w:rPr>
                <w:rFonts w:hint="eastAsia"/>
              </w:rPr>
              <w:t>本项目</w:t>
            </w:r>
            <w:r>
              <w:t>医疗废水处理</w:t>
            </w:r>
            <w:r>
              <w:rPr>
                <w:rFonts w:hint="eastAsia"/>
              </w:rPr>
              <w:t>工艺</w:t>
            </w:r>
            <w:r>
              <w:t>采用</w:t>
            </w:r>
            <w:r>
              <w:rPr>
                <w:rFonts w:hint="eastAsia"/>
              </w:rPr>
              <w:t>其</w:t>
            </w:r>
            <w:r>
              <w:t>推荐</w:t>
            </w:r>
            <w:r>
              <w:rPr>
                <w:rFonts w:hint="eastAsia"/>
              </w:rPr>
              <w:t>的</w:t>
            </w:r>
            <w:r>
              <w:t>二级强化处理工艺</w:t>
            </w:r>
            <w:r>
              <w:rPr>
                <w:rFonts w:hint="eastAsia"/>
              </w:rPr>
              <w:t>，</w:t>
            </w:r>
            <w:r>
              <w:t>即</w:t>
            </w:r>
            <w:r>
              <w:rPr>
                <w:rFonts w:hint="eastAsia"/>
              </w:rPr>
              <w:t>“格栅+调节池+水解池/初沉池+生化反应池+二沉池+深度处理+消毒池”，出水排入石家庄高新区污水处理厂进一步处理，采用工艺优于一级强化工艺，处理措施可行。</w:t>
            </w:r>
          </w:p>
          <w:p>
            <w:pPr>
              <w:ind w:left="48" w:leftChars="20" w:right="48" w:rightChars="20" w:firstLine="480"/>
            </w:pPr>
            <w:r>
              <w:rPr>
                <w:rFonts w:hint="eastAsia"/>
              </w:rPr>
              <w:t>（4）依托石家庄高新技术产业开发区供水排水公司可行性分析</w:t>
            </w:r>
          </w:p>
          <w:p>
            <w:pPr>
              <w:ind w:left="48" w:leftChars="20" w:right="48" w:rightChars="20" w:firstLine="480"/>
            </w:pPr>
            <w:r>
              <w:rPr>
                <w:rFonts w:hint="eastAsia"/>
              </w:rPr>
              <w:t>目前石家庄高新技术产业开发区供水排水公司出口水质主要污染物COD、BOD</w:t>
            </w:r>
            <w:r>
              <w:rPr>
                <w:rFonts w:hint="eastAsia"/>
                <w:vertAlign w:val="subscript"/>
              </w:rPr>
              <w:t>5</w:t>
            </w:r>
            <w:r>
              <w:rPr>
                <w:rFonts w:hint="eastAsia"/>
              </w:rPr>
              <w:t>、氨氮、总磷、总氮达到《子牙河流域水污染物排放标准》（DB13/2796-2018）表1标准要求，其他因子达到《城镇污水处理厂污染物排放标准》（GB18918-2002）一级A标准要求，排入汪洋沟。污水部分回用于环城水系作为景观补水，景观环境用水的再生水水质指标执行《城市污水再生利用景观环境用水水质》（GB/T18921-2002）观赏性景观环境用水河道类标准。</w:t>
            </w:r>
          </w:p>
          <w:p>
            <w:pPr>
              <w:ind w:left="48" w:leftChars="20" w:right="48" w:rightChars="20" w:firstLine="480"/>
            </w:pPr>
            <w:r>
              <w:rPr>
                <w:rFonts w:hint="eastAsia"/>
              </w:rPr>
              <w:t>本项目所在区域排水管网等设施齐全，属于石家庄高新技术产业开发区供水排水公司收水范围内，综合废水经处理后满足石家庄高新技术产业开发区供水排水公司进水水质要求，目前石家庄高新技术产业开发区供水排水公司尚有余量，可满足本项目排水需求，石家庄高新技术产业开发区供水排水公司运营单位石家庄高新技术产业开发区供水排水公司已与医院签订污水排放协议，详见附件。</w:t>
            </w:r>
          </w:p>
          <w:p>
            <w:pPr>
              <w:ind w:left="48" w:leftChars="20" w:right="48" w:rightChars="20" w:firstLine="480"/>
            </w:pPr>
            <w:r>
              <w:rPr>
                <w:rFonts w:hint="eastAsia"/>
              </w:rPr>
              <w:t>综上所述，本项目排水依托石家庄高新技术产业开发区供水排水公司的措施可行。</w:t>
            </w:r>
          </w:p>
          <w:p>
            <w:pPr>
              <w:ind w:left="48" w:leftChars="20" w:right="48" w:rightChars="20" w:firstLine="480"/>
            </w:pPr>
            <w:r>
              <w:rPr>
                <w:rFonts w:hint="eastAsia"/>
              </w:rPr>
              <w:t>（5）污水排放口基本情况</w:t>
            </w:r>
          </w:p>
          <w:p>
            <w:pPr>
              <w:ind w:left="48" w:leftChars="20" w:right="48" w:rightChars="20" w:firstLine="480"/>
            </w:pPr>
            <w:r>
              <w:rPr>
                <w:rFonts w:hint="eastAsia"/>
              </w:rPr>
              <w:t>污水排放口基本情况及排放标准见下表：</w:t>
            </w:r>
          </w:p>
          <w:p>
            <w:pPr>
              <w:pStyle w:val="14"/>
            </w:pPr>
            <w:r>
              <w:rPr>
                <w:rFonts w:hint="eastAsia"/>
              </w:rPr>
              <w:t>表29   污水排放口基本情况及排放标准一览表</w:t>
            </w:r>
          </w:p>
          <w:tbl>
            <w:tblPr>
              <w:tblStyle w:val="16"/>
              <w:tblW w:w="494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493"/>
              <w:gridCol w:w="559"/>
              <w:gridCol w:w="1675"/>
              <w:gridCol w:w="947"/>
              <w:gridCol w:w="1114"/>
              <w:gridCol w:w="40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280" w:type="pct"/>
                  <w:tcBorders>
                    <w:top w:val="single" w:color="auto" w:sz="4" w:space="0"/>
                    <w:left w:val="single" w:color="auto" w:sz="4" w:space="0"/>
                    <w:bottom w:val="single" w:color="auto" w:sz="4" w:space="0"/>
                    <w:right w:val="single" w:color="auto" w:sz="4" w:space="0"/>
                  </w:tcBorders>
                  <w:vAlign w:val="center"/>
                </w:tcPr>
                <w:p>
                  <w:pPr>
                    <w:widowControl/>
                    <w:snapToGrid w:val="0"/>
                    <w:spacing w:line="240" w:lineRule="auto"/>
                    <w:ind w:firstLine="0" w:firstLineChars="0"/>
                    <w:jc w:val="center"/>
                    <w:rPr>
                      <w:rFonts w:hAnsi="宋体"/>
                      <w:kern w:val="0"/>
                      <w:sz w:val="21"/>
                      <w:szCs w:val="21"/>
                    </w:rPr>
                  </w:pPr>
                  <w:r>
                    <w:rPr>
                      <w:rFonts w:hint="eastAsia" w:hAnsi="宋体"/>
                      <w:kern w:val="0"/>
                      <w:sz w:val="21"/>
                      <w:szCs w:val="21"/>
                    </w:rPr>
                    <w:t>序号</w:t>
                  </w:r>
                </w:p>
              </w:tc>
              <w:tc>
                <w:tcPr>
                  <w:tcW w:w="317" w:type="pct"/>
                  <w:tcBorders>
                    <w:top w:val="single" w:color="auto" w:sz="4" w:space="0"/>
                    <w:left w:val="single" w:color="auto" w:sz="4" w:space="0"/>
                    <w:bottom w:val="single" w:color="auto" w:sz="4" w:space="0"/>
                    <w:right w:val="single" w:color="auto" w:sz="4" w:space="0"/>
                  </w:tcBorders>
                  <w:vAlign w:val="center"/>
                </w:tcPr>
                <w:p>
                  <w:pPr>
                    <w:widowControl/>
                    <w:snapToGrid w:val="0"/>
                    <w:spacing w:line="240" w:lineRule="auto"/>
                    <w:ind w:firstLine="0" w:firstLineChars="0"/>
                    <w:jc w:val="center"/>
                    <w:rPr>
                      <w:rFonts w:hAnsi="宋体"/>
                      <w:kern w:val="0"/>
                      <w:sz w:val="21"/>
                      <w:szCs w:val="21"/>
                    </w:rPr>
                  </w:pPr>
                  <w:r>
                    <w:rPr>
                      <w:rFonts w:hint="eastAsia" w:hAnsi="宋体"/>
                      <w:kern w:val="0"/>
                      <w:sz w:val="21"/>
                      <w:szCs w:val="21"/>
                    </w:rPr>
                    <w:t>名称</w:t>
                  </w:r>
                </w:p>
              </w:tc>
              <w:tc>
                <w:tcPr>
                  <w:tcW w:w="950" w:type="pct"/>
                  <w:tcBorders>
                    <w:top w:val="single" w:color="auto" w:sz="4" w:space="0"/>
                    <w:left w:val="single" w:color="auto" w:sz="4" w:space="0"/>
                    <w:bottom w:val="single" w:color="auto" w:sz="4" w:space="0"/>
                    <w:right w:val="single" w:color="auto" w:sz="4" w:space="0"/>
                  </w:tcBorders>
                  <w:vAlign w:val="center"/>
                </w:tcPr>
                <w:p>
                  <w:pPr>
                    <w:widowControl/>
                    <w:snapToGrid w:val="0"/>
                    <w:spacing w:line="240" w:lineRule="auto"/>
                    <w:ind w:firstLine="0" w:firstLineChars="0"/>
                    <w:jc w:val="center"/>
                    <w:rPr>
                      <w:rFonts w:hAnsi="宋体"/>
                      <w:kern w:val="0"/>
                      <w:sz w:val="21"/>
                      <w:szCs w:val="21"/>
                    </w:rPr>
                  </w:pPr>
                  <w:r>
                    <w:rPr>
                      <w:rFonts w:hint="eastAsia" w:hAnsi="宋体"/>
                      <w:kern w:val="0"/>
                      <w:sz w:val="21"/>
                      <w:szCs w:val="21"/>
                    </w:rPr>
                    <w:t>地理坐标</w:t>
                  </w:r>
                </w:p>
              </w:tc>
              <w:tc>
                <w:tcPr>
                  <w:tcW w:w="537" w:type="pct"/>
                  <w:tcBorders>
                    <w:top w:val="single" w:color="auto" w:sz="4" w:space="0"/>
                    <w:left w:val="single" w:color="auto" w:sz="4" w:space="0"/>
                    <w:bottom w:val="single" w:color="auto" w:sz="4" w:space="0"/>
                    <w:right w:val="single" w:color="auto" w:sz="4" w:space="0"/>
                  </w:tcBorders>
                  <w:vAlign w:val="center"/>
                </w:tcPr>
                <w:p>
                  <w:pPr>
                    <w:widowControl/>
                    <w:snapToGrid w:val="0"/>
                    <w:spacing w:line="240" w:lineRule="auto"/>
                    <w:ind w:firstLine="0" w:firstLineChars="0"/>
                    <w:jc w:val="center"/>
                    <w:rPr>
                      <w:rFonts w:hAnsi="宋体"/>
                      <w:kern w:val="0"/>
                      <w:sz w:val="21"/>
                      <w:szCs w:val="21"/>
                    </w:rPr>
                  </w:pPr>
                  <w:r>
                    <w:rPr>
                      <w:rFonts w:hint="eastAsia" w:hAnsi="宋体"/>
                      <w:kern w:val="0"/>
                      <w:sz w:val="21"/>
                      <w:szCs w:val="21"/>
                    </w:rPr>
                    <w:t>排放方式</w:t>
                  </w:r>
                </w:p>
              </w:tc>
              <w:tc>
                <w:tcPr>
                  <w:tcW w:w="632" w:type="pct"/>
                  <w:tcBorders>
                    <w:top w:val="single" w:color="auto" w:sz="4" w:space="0"/>
                    <w:left w:val="single" w:color="auto" w:sz="4" w:space="0"/>
                    <w:bottom w:val="single" w:color="auto" w:sz="4" w:space="0"/>
                    <w:right w:val="single" w:color="auto" w:sz="4" w:space="0"/>
                  </w:tcBorders>
                  <w:vAlign w:val="center"/>
                </w:tcPr>
                <w:p>
                  <w:pPr>
                    <w:widowControl/>
                    <w:snapToGrid w:val="0"/>
                    <w:spacing w:line="240" w:lineRule="auto"/>
                    <w:ind w:firstLine="0" w:firstLineChars="0"/>
                    <w:jc w:val="center"/>
                    <w:rPr>
                      <w:rFonts w:hAnsi="宋体"/>
                      <w:kern w:val="0"/>
                      <w:sz w:val="21"/>
                      <w:szCs w:val="21"/>
                    </w:rPr>
                  </w:pPr>
                  <w:r>
                    <w:rPr>
                      <w:rFonts w:hint="eastAsia" w:hAnsi="宋体"/>
                      <w:kern w:val="0"/>
                      <w:sz w:val="21"/>
                      <w:szCs w:val="21"/>
                    </w:rPr>
                    <w:t>排放去向</w:t>
                  </w:r>
                </w:p>
              </w:tc>
              <w:tc>
                <w:tcPr>
                  <w:tcW w:w="2285" w:type="pct"/>
                  <w:tcBorders>
                    <w:top w:val="single" w:color="auto" w:sz="4" w:space="0"/>
                    <w:left w:val="single" w:color="auto" w:sz="4" w:space="0"/>
                    <w:bottom w:val="single" w:color="auto" w:sz="4" w:space="0"/>
                    <w:right w:val="single" w:color="auto" w:sz="4" w:space="0"/>
                  </w:tcBorders>
                  <w:vAlign w:val="center"/>
                </w:tcPr>
                <w:p>
                  <w:pPr>
                    <w:widowControl/>
                    <w:snapToGrid w:val="0"/>
                    <w:spacing w:line="240" w:lineRule="auto"/>
                    <w:ind w:firstLine="0" w:firstLineChars="0"/>
                    <w:jc w:val="center"/>
                    <w:rPr>
                      <w:rFonts w:hAnsi="宋体"/>
                      <w:kern w:val="0"/>
                      <w:sz w:val="21"/>
                      <w:szCs w:val="21"/>
                    </w:rPr>
                  </w:pPr>
                  <w:r>
                    <w:rPr>
                      <w:rFonts w:hint="eastAsia" w:hAnsi="宋体"/>
                      <w:kern w:val="0"/>
                      <w:sz w:val="21"/>
                      <w:szCs w:val="21"/>
                    </w:rPr>
                    <w:t>排放标准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280" w:type="pct"/>
                  <w:tcBorders>
                    <w:top w:val="single" w:color="auto" w:sz="4" w:space="0"/>
                    <w:left w:val="single" w:color="auto" w:sz="4" w:space="0"/>
                    <w:bottom w:val="single" w:color="auto" w:sz="4" w:space="0"/>
                    <w:right w:val="single" w:color="auto" w:sz="4" w:space="0"/>
                  </w:tcBorders>
                  <w:vAlign w:val="center"/>
                </w:tcPr>
                <w:p>
                  <w:pPr>
                    <w:widowControl/>
                    <w:snapToGrid w:val="0"/>
                    <w:spacing w:line="240" w:lineRule="auto"/>
                    <w:ind w:firstLine="0" w:firstLineChars="0"/>
                    <w:jc w:val="center"/>
                    <w:rPr>
                      <w:rFonts w:hAnsi="宋体"/>
                      <w:kern w:val="0"/>
                      <w:sz w:val="21"/>
                      <w:szCs w:val="21"/>
                    </w:rPr>
                  </w:pPr>
                  <w:r>
                    <w:rPr>
                      <w:rFonts w:hAnsi="宋体"/>
                      <w:kern w:val="0"/>
                      <w:sz w:val="21"/>
                      <w:szCs w:val="21"/>
                    </w:rPr>
                    <w:t>1</w:t>
                  </w:r>
                </w:p>
              </w:tc>
              <w:tc>
                <w:tcPr>
                  <w:tcW w:w="317" w:type="pct"/>
                  <w:tcBorders>
                    <w:top w:val="single" w:color="auto" w:sz="4" w:space="0"/>
                    <w:left w:val="single" w:color="auto" w:sz="4" w:space="0"/>
                    <w:bottom w:val="single" w:color="auto" w:sz="4" w:space="0"/>
                    <w:right w:val="single" w:color="auto" w:sz="4" w:space="0"/>
                  </w:tcBorders>
                  <w:vAlign w:val="center"/>
                </w:tcPr>
                <w:p>
                  <w:pPr>
                    <w:widowControl/>
                    <w:snapToGrid w:val="0"/>
                    <w:spacing w:line="240" w:lineRule="auto"/>
                    <w:ind w:firstLine="0" w:firstLineChars="0"/>
                    <w:jc w:val="center"/>
                    <w:rPr>
                      <w:rFonts w:hAnsi="宋体"/>
                      <w:kern w:val="0"/>
                      <w:sz w:val="21"/>
                      <w:szCs w:val="21"/>
                    </w:rPr>
                  </w:pPr>
                  <w:r>
                    <w:rPr>
                      <w:rFonts w:hint="eastAsia" w:hAnsi="宋体"/>
                      <w:kern w:val="0"/>
                      <w:sz w:val="21"/>
                      <w:szCs w:val="21"/>
                    </w:rPr>
                    <w:t>废水排放口</w:t>
                  </w:r>
                </w:p>
              </w:tc>
              <w:tc>
                <w:tcPr>
                  <w:tcW w:w="950" w:type="pct"/>
                  <w:tcBorders>
                    <w:top w:val="single" w:color="auto" w:sz="4" w:space="0"/>
                    <w:left w:val="single" w:color="auto" w:sz="4" w:space="0"/>
                    <w:bottom w:val="single" w:color="auto" w:sz="4" w:space="0"/>
                    <w:right w:val="single" w:color="auto" w:sz="4" w:space="0"/>
                  </w:tcBorders>
                  <w:vAlign w:val="center"/>
                </w:tcPr>
                <w:p>
                  <w:pPr>
                    <w:widowControl/>
                    <w:snapToGrid w:val="0"/>
                    <w:spacing w:line="240" w:lineRule="auto"/>
                    <w:ind w:firstLine="0" w:firstLineChars="0"/>
                    <w:jc w:val="center"/>
                    <w:rPr>
                      <w:kern w:val="0"/>
                      <w:sz w:val="21"/>
                      <w:szCs w:val="21"/>
                    </w:rPr>
                  </w:pPr>
                  <w:r>
                    <w:rPr>
                      <w:rFonts w:hint="eastAsia"/>
                      <w:kern w:val="0"/>
                      <w:sz w:val="21"/>
                      <w:szCs w:val="21"/>
                    </w:rPr>
                    <w:t>114.588540</w:t>
                  </w:r>
                  <w:r>
                    <w:rPr>
                      <w:kern w:val="0"/>
                      <w:sz w:val="21"/>
                      <w:szCs w:val="21"/>
                    </w:rPr>
                    <w:t>E</w:t>
                  </w:r>
                  <w:r>
                    <w:rPr>
                      <w:rFonts w:hint="eastAsia"/>
                      <w:kern w:val="0"/>
                      <w:sz w:val="21"/>
                      <w:szCs w:val="21"/>
                    </w:rPr>
                    <w:t>；</w:t>
                  </w:r>
                </w:p>
                <w:p>
                  <w:pPr>
                    <w:widowControl/>
                    <w:snapToGrid w:val="0"/>
                    <w:spacing w:line="240" w:lineRule="auto"/>
                    <w:ind w:firstLine="0" w:firstLineChars="0"/>
                    <w:jc w:val="center"/>
                    <w:rPr>
                      <w:rFonts w:hAnsi="宋体"/>
                      <w:kern w:val="0"/>
                      <w:sz w:val="21"/>
                      <w:szCs w:val="21"/>
                    </w:rPr>
                  </w:pPr>
                  <w:r>
                    <w:rPr>
                      <w:rFonts w:hint="eastAsia"/>
                      <w:kern w:val="0"/>
                      <w:sz w:val="21"/>
                      <w:szCs w:val="21"/>
                    </w:rPr>
                    <w:t>38.010735</w:t>
                  </w:r>
                  <w:r>
                    <w:rPr>
                      <w:kern w:val="0"/>
                      <w:sz w:val="21"/>
                      <w:szCs w:val="21"/>
                    </w:rPr>
                    <w:t>N</w:t>
                  </w:r>
                </w:p>
              </w:tc>
              <w:tc>
                <w:tcPr>
                  <w:tcW w:w="537" w:type="pct"/>
                  <w:tcBorders>
                    <w:top w:val="single" w:color="auto" w:sz="4" w:space="0"/>
                    <w:left w:val="single" w:color="auto" w:sz="4" w:space="0"/>
                    <w:bottom w:val="single" w:color="auto" w:sz="4" w:space="0"/>
                    <w:right w:val="single" w:color="auto" w:sz="4" w:space="0"/>
                  </w:tcBorders>
                  <w:vAlign w:val="center"/>
                </w:tcPr>
                <w:p>
                  <w:pPr>
                    <w:widowControl/>
                    <w:snapToGrid w:val="0"/>
                    <w:spacing w:line="240" w:lineRule="auto"/>
                    <w:ind w:firstLine="0" w:firstLineChars="0"/>
                    <w:jc w:val="center"/>
                    <w:rPr>
                      <w:rFonts w:hAnsi="宋体"/>
                      <w:kern w:val="0"/>
                      <w:sz w:val="21"/>
                      <w:szCs w:val="21"/>
                    </w:rPr>
                  </w:pPr>
                  <w:r>
                    <w:rPr>
                      <w:rFonts w:hint="eastAsia" w:hAnsi="宋体"/>
                      <w:kern w:val="0"/>
                      <w:sz w:val="21"/>
                      <w:szCs w:val="21"/>
                    </w:rPr>
                    <w:t>间接</w:t>
                  </w:r>
                </w:p>
                <w:p>
                  <w:pPr>
                    <w:widowControl/>
                    <w:snapToGrid w:val="0"/>
                    <w:spacing w:line="240" w:lineRule="auto"/>
                    <w:ind w:firstLine="0" w:firstLineChars="0"/>
                    <w:jc w:val="center"/>
                    <w:rPr>
                      <w:rFonts w:hAnsi="宋体"/>
                      <w:kern w:val="0"/>
                      <w:sz w:val="21"/>
                      <w:szCs w:val="21"/>
                    </w:rPr>
                  </w:pPr>
                  <w:r>
                    <w:rPr>
                      <w:rFonts w:hint="eastAsia" w:hAnsi="宋体"/>
                      <w:kern w:val="0"/>
                      <w:sz w:val="21"/>
                      <w:szCs w:val="21"/>
                    </w:rPr>
                    <w:t>排放</w:t>
                  </w:r>
                </w:p>
              </w:tc>
              <w:tc>
                <w:tcPr>
                  <w:tcW w:w="632" w:type="pct"/>
                  <w:tcBorders>
                    <w:top w:val="single" w:color="auto" w:sz="4" w:space="0"/>
                    <w:left w:val="single" w:color="auto" w:sz="4" w:space="0"/>
                    <w:bottom w:val="single" w:color="auto" w:sz="4" w:space="0"/>
                    <w:right w:val="single" w:color="auto" w:sz="4" w:space="0"/>
                  </w:tcBorders>
                  <w:vAlign w:val="center"/>
                </w:tcPr>
                <w:p>
                  <w:pPr>
                    <w:widowControl/>
                    <w:snapToGrid w:val="0"/>
                    <w:spacing w:line="240" w:lineRule="auto"/>
                    <w:ind w:firstLine="0" w:firstLineChars="0"/>
                    <w:jc w:val="left"/>
                    <w:rPr>
                      <w:rFonts w:hAnsi="宋体"/>
                      <w:kern w:val="0"/>
                      <w:sz w:val="21"/>
                      <w:szCs w:val="21"/>
                    </w:rPr>
                  </w:pPr>
                  <w:r>
                    <w:rPr>
                      <w:rFonts w:hint="eastAsia" w:hAnsi="宋体"/>
                      <w:kern w:val="0"/>
                      <w:sz w:val="21"/>
                      <w:szCs w:val="21"/>
                    </w:rPr>
                    <w:t>石家庄高新技术产业开发区污水处理厂</w:t>
                  </w:r>
                </w:p>
              </w:tc>
              <w:tc>
                <w:tcPr>
                  <w:tcW w:w="2285" w:type="pct"/>
                  <w:tcBorders>
                    <w:top w:val="single" w:color="auto" w:sz="4" w:space="0"/>
                    <w:left w:val="single" w:color="auto" w:sz="4" w:space="0"/>
                    <w:bottom w:val="single" w:color="auto" w:sz="4" w:space="0"/>
                    <w:right w:val="single" w:color="auto" w:sz="4" w:space="0"/>
                  </w:tcBorders>
                  <w:vAlign w:val="center"/>
                </w:tcPr>
                <w:p>
                  <w:pPr>
                    <w:widowControl/>
                    <w:snapToGrid w:val="0"/>
                    <w:spacing w:line="240" w:lineRule="auto"/>
                    <w:ind w:firstLine="0" w:firstLineChars="0"/>
                    <w:jc w:val="left"/>
                    <w:rPr>
                      <w:rFonts w:hAnsi="宋体"/>
                      <w:kern w:val="0"/>
                      <w:sz w:val="21"/>
                      <w:szCs w:val="21"/>
                    </w:rPr>
                  </w:pPr>
                  <w:r>
                    <w:rPr>
                      <w:rFonts w:hint="eastAsia" w:hAnsi="宋体"/>
                      <w:kern w:val="0"/>
                      <w:sz w:val="21"/>
                      <w:szCs w:val="21"/>
                    </w:rPr>
                    <w:t>《医疗机构水污染物排放标准》(GB18466-2005)表2预处理标准</w:t>
                  </w:r>
                </w:p>
                <w:p>
                  <w:pPr>
                    <w:widowControl/>
                    <w:snapToGrid w:val="0"/>
                    <w:spacing w:line="240" w:lineRule="auto"/>
                    <w:ind w:firstLine="0" w:firstLineChars="0"/>
                    <w:jc w:val="left"/>
                    <w:rPr>
                      <w:rFonts w:hAnsi="宋体"/>
                      <w:kern w:val="0"/>
                      <w:sz w:val="21"/>
                      <w:szCs w:val="21"/>
                    </w:rPr>
                  </w:pPr>
                  <w:r>
                    <w:rPr>
                      <w:rFonts w:hint="eastAsia" w:hAnsi="宋体"/>
                      <w:kern w:val="0"/>
                      <w:sz w:val="21"/>
                      <w:szCs w:val="21"/>
                    </w:rPr>
                    <w:t>与石家庄高新技术产业开发区供水排水公司签订的污水排放协议标准要求</w:t>
                  </w:r>
                </w:p>
              </w:tc>
            </w:tr>
          </w:tbl>
          <w:p>
            <w:pPr>
              <w:ind w:left="48" w:leftChars="20" w:right="48" w:rightChars="20" w:firstLine="480"/>
            </w:pPr>
            <w:r>
              <w:rPr>
                <w:rFonts w:hint="eastAsia"/>
              </w:rPr>
              <w:t>（6）废水监测要求</w:t>
            </w:r>
          </w:p>
          <w:p>
            <w:pPr>
              <w:ind w:left="48" w:leftChars="20" w:right="48" w:rightChars="20" w:firstLine="480"/>
            </w:pPr>
            <w:r>
              <w:rPr>
                <w:rFonts w:hint="eastAsia"/>
              </w:rPr>
              <w:t>根据《</w:t>
            </w:r>
            <w:bookmarkStart w:id="22" w:name="OLE_LINK40"/>
            <w:bookmarkStart w:id="23" w:name="OLE_LINK41"/>
            <w:r>
              <w:rPr>
                <w:rFonts w:hint="eastAsia"/>
              </w:rPr>
              <w:t>排污许可证申请与核发技术规范 医疗机构</w:t>
            </w:r>
            <w:bookmarkEnd w:id="22"/>
            <w:bookmarkEnd w:id="23"/>
            <w:r>
              <w:rPr>
                <w:rFonts w:hint="eastAsia"/>
              </w:rPr>
              <w:t>》（HJ1105-2020）相关规范，制定本项目监测计划，具体监测计划见下表。</w:t>
            </w:r>
          </w:p>
          <w:p>
            <w:pPr>
              <w:pStyle w:val="14"/>
            </w:pPr>
            <w:r>
              <w:rPr>
                <w:rFonts w:hint="eastAsia"/>
              </w:rPr>
              <w:t>表30   废水监测一览表</w:t>
            </w:r>
          </w:p>
          <w:tbl>
            <w:tblPr>
              <w:tblStyle w:val="17"/>
              <w:tblW w:w="494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553"/>
              <w:gridCol w:w="850"/>
              <w:gridCol w:w="3970"/>
              <w:gridCol w:w="991"/>
              <w:gridCol w:w="24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314" w:type="pct"/>
                  <w:vAlign w:val="center"/>
                </w:tcPr>
                <w:p>
                  <w:pPr>
                    <w:widowControl/>
                    <w:spacing w:line="240" w:lineRule="auto"/>
                    <w:ind w:firstLine="0" w:firstLineChars="0"/>
                    <w:jc w:val="center"/>
                    <w:rPr>
                      <w:kern w:val="0"/>
                      <w:sz w:val="21"/>
                      <w:szCs w:val="21"/>
                    </w:rPr>
                  </w:pPr>
                  <w:r>
                    <w:rPr>
                      <w:rFonts w:hint="eastAsia"/>
                      <w:kern w:val="0"/>
                      <w:sz w:val="21"/>
                      <w:szCs w:val="21"/>
                    </w:rPr>
                    <w:t>监测类别</w:t>
                  </w:r>
                </w:p>
              </w:tc>
              <w:tc>
                <w:tcPr>
                  <w:tcW w:w="482" w:type="pct"/>
                  <w:vAlign w:val="center"/>
                </w:tcPr>
                <w:p>
                  <w:pPr>
                    <w:widowControl/>
                    <w:spacing w:line="240" w:lineRule="auto"/>
                    <w:ind w:firstLine="0" w:firstLineChars="0"/>
                    <w:jc w:val="center"/>
                    <w:rPr>
                      <w:kern w:val="0"/>
                      <w:sz w:val="21"/>
                      <w:szCs w:val="21"/>
                    </w:rPr>
                  </w:pPr>
                  <w:r>
                    <w:rPr>
                      <w:rFonts w:hint="eastAsia"/>
                      <w:kern w:val="0"/>
                      <w:sz w:val="21"/>
                      <w:szCs w:val="21"/>
                    </w:rPr>
                    <w:t>监测点位</w:t>
                  </w:r>
                </w:p>
              </w:tc>
              <w:tc>
                <w:tcPr>
                  <w:tcW w:w="2252" w:type="pct"/>
                  <w:vAlign w:val="center"/>
                </w:tcPr>
                <w:p>
                  <w:pPr>
                    <w:widowControl/>
                    <w:spacing w:line="240" w:lineRule="auto"/>
                    <w:ind w:firstLine="0" w:firstLineChars="0"/>
                    <w:jc w:val="center"/>
                    <w:rPr>
                      <w:kern w:val="0"/>
                      <w:sz w:val="21"/>
                      <w:szCs w:val="21"/>
                    </w:rPr>
                  </w:pPr>
                  <w:r>
                    <w:rPr>
                      <w:rFonts w:hint="eastAsia"/>
                      <w:kern w:val="0"/>
                      <w:sz w:val="21"/>
                      <w:szCs w:val="21"/>
                    </w:rPr>
                    <w:t>监测指标</w:t>
                  </w:r>
                </w:p>
              </w:tc>
              <w:tc>
                <w:tcPr>
                  <w:tcW w:w="562" w:type="pct"/>
                  <w:vAlign w:val="center"/>
                </w:tcPr>
                <w:p>
                  <w:pPr>
                    <w:widowControl/>
                    <w:spacing w:line="240" w:lineRule="auto"/>
                    <w:ind w:firstLine="0" w:firstLineChars="0"/>
                    <w:jc w:val="center"/>
                    <w:rPr>
                      <w:kern w:val="0"/>
                      <w:sz w:val="21"/>
                      <w:szCs w:val="21"/>
                    </w:rPr>
                  </w:pPr>
                  <w:r>
                    <w:rPr>
                      <w:rFonts w:hint="eastAsia"/>
                      <w:kern w:val="0"/>
                      <w:sz w:val="21"/>
                      <w:szCs w:val="21"/>
                    </w:rPr>
                    <w:t>监测频次</w:t>
                  </w:r>
                </w:p>
              </w:tc>
              <w:tc>
                <w:tcPr>
                  <w:tcW w:w="1390" w:type="pct"/>
                  <w:vAlign w:val="center"/>
                </w:tcPr>
                <w:p>
                  <w:pPr>
                    <w:widowControl/>
                    <w:spacing w:line="240" w:lineRule="auto"/>
                    <w:ind w:firstLine="0" w:firstLineChars="0"/>
                    <w:jc w:val="center"/>
                    <w:rPr>
                      <w:kern w:val="0"/>
                      <w:sz w:val="21"/>
                      <w:szCs w:val="21"/>
                    </w:rPr>
                  </w:pPr>
                  <w:r>
                    <w:rPr>
                      <w:rFonts w:hint="eastAsia"/>
                      <w:kern w:val="0"/>
                      <w:sz w:val="21"/>
                      <w:szCs w:val="21"/>
                    </w:rPr>
                    <w:t>执行排放标准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314" w:type="pct"/>
                  <w:vMerge w:val="restart"/>
                  <w:vAlign w:val="center"/>
                </w:tcPr>
                <w:p>
                  <w:pPr>
                    <w:spacing w:line="240" w:lineRule="auto"/>
                    <w:ind w:right="48" w:rightChars="20" w:firstLine="0" w:firstLineChars="0"/>
                    <w:jc w:val="center"/>
                    <w:rPr>
                      <w:sz w:val="21"/>
                      <w:szCs w:val="21"/>
                      <w:lang w:val="zh-CN"/>
                    </w:rPr>
                  </w:pPr>
                  <w:r>
                    <w:rPr>
                      <w:rFonts w:hint="eastAsia"/>
                      <w:sz w:val="21"/>
                      <w:szCs w:val="21"/>
                      <w:lang w:val="zh-CN"/>
                    </w:rPr>
                    <w:t>废水排放口</w:t>
                  </w:r>
                </w:p>
              </w:tc>
              <w:tc>
                <w:tcPr>
                  <w:tcW w:w="482" w:type="pct"/>
                  <w:vMerge w:val="restart"/>
                  <w:vAlign w:val="center"/>
                </w:tcPr>
                <w:p>
                  <w:pPr>
                    <w:spacing w:line="240" w:lineRule="auto"/>
                    <w:ind w:right="48" w:rightChars="20" w:firstLine="0" w:firstLineChars="0"/>
                    <w:jc w:val="center"/>
                    <w:rPr>
                      <w:sz w:val="21"/>
                      <w:szCs w:val="21"/>
                      <w:lang w:val="zh-CN"/>
                    </w:rPr>
                  </w:pPr>
                  <w:r>
                    <w:rPr>
                      <w:rFonts w:hint="eastAsia"/>
                      <w:sz w:val="21"/>
                      <w:szCs w:val="21"/>
                      <w:lang w:val="zh-CN"/>
                    </w:rPr>
                    <w:t>石家庄慈爱中医医院废水总排口</w:t>
                  </w:r>
                </w:p>
              </w:tc>
              <w:tc>
                <w:tcPr>
                  <w:tcW w:w="2252" w:type="pct"/>
                  <w:vAlign w:val="center"/>
                </w:tcPr>
                <w:p>
                  <w:pPr>
                    <w:spacing w:line="240" w:lineRule="auto"/>
                    <w:ind w:right="48" w:rightChars="20" w:firstLine="0" w:firstLineChars="0"/>
                    <w:jc w:val="center"/>
                    <w:rPr>
                      <w:sz w:val="21"/>
                      <w:szCs w:val="21"/>
                      <w:lang w:val="zh-CN"/>
                    </w:rPr>
                  </w:pPr>
                  <w:r>
                    <w:rPr>
                      <w:rFonts w:hint="eastAsia"/>
                      <w:sz w:val="21"/>
                      <w:szCs w:val="21"/>
                      <w:lang w:val="zh-CN"/>
                    </w:rPr>
                    <w:t>流量</w:t>
                  </w:r>
                </w:p>
              </w:tc>
              <w:tc>
                <w:tcPr>
                  <w:tcW w:w="562" w:type="pct"/>
                  <w:vAlign w:val="center"/>
                </w:tcPr>
                <w:p>
                  <w:pPr>
                    <w:spacing w:line="240" w:lineRule="auto"/>
                    <w:ind w:right="48" w:rightChars="20" w:firstLine="0" w:firstLineChars="0"/>
                    <w:jc w:val="center"/>
                    <w:rPr>
                      <w:sz w:val="21"/>
                      <w:szCs w:val="21"/>
                      <w:lang w:val="zh-CN"/>
                    </w:rPr>
                  </w:pPr>
                  <w:r>
                    <w:rPr>
                      <w:rFonts w:hint="eastAsia"/>
                      <w:sz w:val="21"/>
                      <w:szCs w:val="21"/>
                      <w:lang w:val="zh-CN"/>
                    </w:rPr>
                    <w:t>自动监测</w:t>
                  </w:r>
                </w:p>
              </w:tc>
              <w:tc>
                <w:tcPr>
                  <w:tcW w:w="1390" w:type="pct"/>
                  <w:vMerge w:val="restart"/>
                  <w:vAlign w:val="center"/>
                </w:tcPr>
                <w:p>
                  <w:pPr>
                    <w:spacing w:line="240" w:lineRule="auto"/>
                    <w:ind w:right="48" w:rightChars="20" w:firstLine="0" w:firstLineChars="0"/>
                    <w:jc w:val="left"/>
                    <w:rPr>
                      <w:rFonts w:hAnsi="宋体"/>
                      <w:kern w:val="0"/>
                      <w:sz w:val="21"/>
                      <w:szCs w:val="21"/>
                    </w:rPr>
                  </w:pPr>
                  <w:r>
                    <w:rPr>
                      <w:rFonts w:hint="eastAsia" w:hAnsi="宋体"/>
                      <w:kern w:val="0"/>
                      <w:sz w:val="21"/>
                      <w:szCs w:val="21"/>
                    </w:rPr>
                    <w:t>《医疗机构水污染物排放标准》（GB18466-2005）表2预处理标准要求，同时满足与石家庄高新技术产业开发区供水排水公司签订的污水排放协议要求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14" w:type="pct"/>
                  <w:vMerge w:val="continue"/>
                  <w:vAlign w:val="center"/>
                </w:tcPr>
                <w:p>
                  <w:pPr>
                    <w:spacing w:line="240" w:lineRule="auto"/>
                    <w:ind w:right="48" w:rightChars="20" w:firstLine="0" w:firstLineChars="0"/>
                    <w:jc w:val="center"/>
                    <w:rPr>
                      <w:sz w:val="21"/>
                      <w:szCs w:val="21"/>
                      <w:lang w:val="zh-CN"/>
                    </w:rPr>
                  </w:pPr>
                </w:p>
              </w:tc>
              <w:tc>
                <w:tcPr>
                  <w:tcW w:w="482" w:type="pct"/>
                  <w:vMerge w:val="continue"/>
                  <w:vAlign w:val="center"/>
                </w:tcPr>
                <w:p>
                  <w:pPr>
                    <w:spacing w:line="240" w:lineRule="auto"/>
                    <w:ind w:right="48" w:rightChars="20" w:firstLine="0" w:firstLineChars="0"/>
                    <w:jc w:val="left"/>
                    <w:rPr>
                      <w:sz w:val="21"/>
                      <w:szCs w:val="21"/>
                      <w:lang w:val="zh-CN"/>
                    </w:rPr>
                  </w:pPr>
                </w:p>
              </w:tc>
              <w:tc>
                <w:tcPr>
                  <w:tcW w:w="2252" w:type="pct"/>
                  <w:vAlign w:val="center"/>
                </w:tcPr>
                <w:p>
                  <w:pPr>
                    <w:spacing w:line="240" w:lineRule="auto"/>
                    <w:ind w:right="48" w:rightChars="20" w:firstLine="0" w:firstLineChars="0"/>
                    <w:jc w:val="center"/>
                    <w:rPr>
                      <w:sz w:val="21"/>
                      <w:szCs w:val="21"/>
                      <w:lang w:val="zh-CN"/>
                    </w:rPr>
                  </w:pPr>
                  <w:r>
                    <w:rPr>
                      <w:rFonts w:hint="eastAsia"/>
                      <w:sz w:val="21"/>
                      <w:szCs w:val="21"/>
                      <w:lang w:val="zh-CN"/>
                    </w:rPr>
                    <w:t>pH值</w:t>
                  </w:r>
                </w:p>
              </w:tc>
              <w:tc>
                <w:tcPr>
                  <w:tcW w:w="562" w:type="pct"/>
                  <w:vAlign w:val="center"/>
                </w:tcPr>
                <w:p>
                  <w:pPr>
                    <w:spacing w:line="240" w:lineRule="auto"/>
                    <w:ind w:right="48" w:rightChars="20" w:firstLine="0" w:firstLineChars="0"/>
                    <w:jc w:val="center"/>
                    <w:rPr>
                      <w:sz w:val="21"/>
                      <w:szCs w:val="21"/>
                      <w:lang w:val="zh-CN"/>
                    </w:rPr>
                  </w:pPr>
                  <w:r>
                    <w:rPr>
                      <w:rFonts w:hint="eastAsia"/>
                      <w:sz w:val="21"/>
                      <w:szCs w:val="21"/>
                      <w:lang w:val="zh-CN"/>
                    </w:rPr>
                    <w:t>12小时</w:t>
                  </w:r>
                </w:p>
              </w:tc>
              <w:tc>
                <w:tcPr>
                  <w:tcW w:w="1390" w:type="pct"/>
                  <w:vMerge w:val="continue"/>
                  <w:vAlign w:val="center"/>
                </w:tcPr>
                <w:p>
                  <w:pPr>
                    <w:spacing w:line="240" w:lineRule="auto"/>
                    <w:ind w:right="48" w:rightChars="20" w:firstLine="0" w:firstLineChars="0"/>
                    <w:jc w:val="left"/>
                    <w:rPr>
                      <w:rFonts w:hAnsi="宋体"/>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314" w:type="pct"/>
                  <w:vMerge w:val="continue"/>
                  <w:vAlign w:val="center"/>
                </w:tcPr>
                <w:p>
                  <w:pPr>
                    <w:spacing w:line="240" w:lineRule="auto"/>
                    <w:ind w:right="48" w:rightChars="20" w:firstLine="0" w:firstLineChars="0"/>
                    <w:jc w:val="center"/>
                    <w:rPr>
                      <w:sz w:val="21"/>
                      <w:szCs w:val="21"/>
                      <w:lang w:val="zh-CN"/>
                    </w:rPr>
                  </w:pPr>
                </w:p>
              </w:tc>
              <w:tc>
                <w:tcPr>
                  <w:tcW w:w="482" w:type="pct"/>
                  <w:vMerge w:val="continue"/>
                  <w:vAlign w:val="center"/>
                </w:tcPr>
                <w:p>
                  <w:pPr>
                    <w:spacing w:line="240" w:lineRule="auto"/>
                    <w:ind w:right="48" w:rightChars="20" w:firstLine="0" w:firstLineChars="0"/>
                    <w:jc w:val="left"/>
                    <w:rPr>
                      <w:sz w:val="21"/>
                      <w:szCs w:val="21"/>
                      <w:lang w:val="zh-CN"/>
                    </w:rPr>
                  </w:pPr>
                </w:p>
              </w:tc>
              <w:tc>
                <w:tcPr>
                  <w:tcW w:w="2252" w:type="pct"/>
                  <w:vAlign w:val="center"/>
                </w:tcPr>
                <w:p>
                  <w:pPr>
                    <w:spacing w:line="240" w:lineRule="auto"/>
                    <w:ind w:right="48" w:rightChars="20" w:firstLine="0" w:firstLineChars="0"/>
                    <w:jc w:val="center"/>
                    <w:rPr>
                      <w:sz w:val="21"/>
                      <w:szCs w:val="21"/>
                      <w:lang w:val="zh-CN"/>
                    </w:rPr>
                  </w:pPr>
                  <w:r>
                    <w:rPr>
                      <w:rFonts w:hint="eastAsia"/>
                      <w:sz w:val="21"/>
                      <w:szCs w:val="21"/>
                      <w:lang w:val="zh-CN"/>
                    </w:rPr>
                    <w:t>COD、SS</w:t>
                  </w:r>
                </w:p>
              </w:tc>
              <w:tc>
                <w:tcPr>
                  <w:tcW w:w="562" w:type="pct"/>
                  <w:vAlign w:val="center"/>
                </w:tcPr>
                <w:p>
                  <w:pPr>
                    <w:spacing w:line="240" w:lineRule="auto"/>
                    <w:ind w:right="48" w:rightChars="20" w:firstLine="0" w:firstLineChars="0"/>
                    <w:jc w:val="center"/>
                    <w:rPr>
                      <w:sz w:val="21"/>
                      <w:szCs w:val="21"/>
                      <w:lang w:val="zh-CN"/>
                    </w:rPr>
                  </w:pPr>
                  <w:r>
                    <w:rPr>
                      <w:rFonts w:hint="eastAsia"/>
                      <w:sz w:val="21"/>
                      <w:szCs w:val="21"/>
                      <w:lang w:val="zh-CN"/>
                    </w:rPr>
                    <w:t>1次/周</w:t>
                  </w:r>
                </w:p>
              </w:tc>
              <w:tc>
                <w:tcPr>
                  <w:tcW w:w="1390" w:type="pct"/>
                  <w:vMerge w:val="continue"/>
                  <w:vAlign w:val="center"/>
                </w:tcPr>
                <w:p>
                  <w:pPr>
                    <w:spacing w:line="240" w:lineRule="auto"/>
                    <w:ind w:right="48" w:rightChars="20" w:firstLine="0" w:firstLineChars="0"/>
                    <w:jc w:val="left"/>
                    <w:rPr>
                      <w:rFonts w:hAnsi="宋体"/>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314" w:type="pct"/>
                  <w:vMerge w:val="continue"/>
                  <w:vAlign w:val="center"/>
                </w:tcPr>
                <w:p>
                  <w:pPr>
                    <w:spacing w:line="240" w:lineRule="auto"/>
                    <w:ind w:right="48" w:rightChars="20" w:firstLine="0" w:firstLineChars="0"/>
                    <w:jc w:val="center"/>
                    <w:rPr>
                      <w:sz w:val="21"/>
                      <w:szCs w:val="21"/>
                      <w:lang w:val="zh-CN"/>
                    </w:rPr>
                  </w:pPr>
                </w:p>
              </w:tc>
              <w:tc>
                <w:tcPr>
                  <w:tcW w:w="482" w:type="pct"/>
                  <w:vMerge w:val="continue"/>
                  <w:vAlign w:val="center"/>
                </w:tcPr>
                <w:p>
                  <w:pPr>
                    <w:spacing w:line="240" w:lineRule="auto"/>
                    <w:ind w:right="48" w:rightChars="20" w:firstLine="0" w:firstLineChars="0"/>
                    <w:jc w:val="left"/>
                    <w:rPr>
                      <w:sz w:val="21"/>
                      <w:szCs w:val="21"/>
                      <w:lang w:val="zh-CN"/>
                    </w:rPr>
                  </w:pPr>
                </w:p>
              </w:tc>
              <w:tc>
                <w:tcPr>
                  <w:tcW w:w="2252" w:type="pct"/>
                  <w:vAlign w:val="center"/>
                </w:tcPr>
                <w:p>
                  <w:pPr>
                    <w:spacing w:line="240" w:lineRule="auto"/>
                    <w:ind w:right="48" w:rightChars="20" w:firstLine="0" w:firstLineChars="0"/>
                    <w:jc w:val="center"/>
                    <w:rPr>
                      <w:sz w:val="21"/>
                      <w:szCs w:val="21"/>
                      <w:lang w:val="zh-CN"/>
                    </w:rPr>
                  </w:pPr>
                  <w:r>
                    <w:rPr>
                      <w:rFonts w:hint="eastAsia"/>
                      <w:sz w:val="21"/>
                      <w:szCs w:val="21"/>
                      <w:lang w:val="zh-CN"/>
                    </w:rPr>
                    <w:t>粪大肠菌群数</w:t>
                  </w:r>
                </w:p>
              </w:tc>
              <w:tc>
                <w:tcPr>
                  <w:tcW w:w="562" w:type="pct"/>
                  <w:vAlign w:val="center"/>
                </w:tcPr>
                <w:p>
                  <w:pPr>
                    <w:spacing w:line="240" w:lineRule="auto"/>
                    <w:ind w:right="48" w:rightChars="20" w:firstLine="0" w:firstLineChars="0"/>
                    <w:jc w:val="center"/>
                    <w:rPr>
                      <w:sz w:val="21"/>
                      <w:szCs w:val="21"/>
                      <w:lang w:val="zh-CN"/>
                    </w:rPr>
                  </w:pPr>
                  <w:r>
                    <w:rPr>
                      <w:rFonts w:hint="eastAsia"/>
                      <w:sz w:val="21"/>
                      <w:szCs w:val="21"/>
                      <w:lang w:val="zh-CN"/>
                    </w:rPr>
                    <w:t>1次/月</w:t>
                  </w:r>
                </w:p>
              </w:tc>
              <w:tc>
                <w:tcPr>
                  <w:tcW w:w="1390" w:type="pct"/>
                  <w:vMerge w:val="continue"/>
                  <w:vAlign w:val="center"/>
                </w:tcPr>
                <w:p>
                  <w:pPr>
                    <w:spacing w:line="240" w:lineRule="auto"/>
                    <w:ind w:right="48" w:rightChars="20" w:firstLine="0" w:firstLineChars="0"/>
                    <w:jc w:val="left"/>
                    <w:rPr>
                      <w:rFonts w:hAnsi="宋体"/>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14" w:type="pct"/>
                  <w:vMerge w:val="continue"/>
                  <w:vAlign w:val="center"/>
                </w:tcPr>
                <w:p>
                  <w:pPr>
                    <w:spacing w:line="240" w:lineRule="auto"/>
                    <w:ind w:right="48" w:rightChars="20" w:firstLine="0" w:firstLineChars="0"/>
                    <w:jc w:val="center"/>
                    <w:rPr>
                      <w:sz w:val="21"/>
                      <w:szCs w:val="21"/>
                      <w:lang w:val="zh-CN"/>
                    </w:rPr>
                  </w:pPr>
                </w:p>
              </w:tc>
              <w:tc>
                <w:tcPr>
                  <w:tcW w:w="482" w:type="pct"/>
                  <w:vMerge w:val="continue"/>
                  <w:vAlign w:val="center"/>
                </w:tcPr>
                <w:p>
                  <w:pPr>
                    <w:spacing w:line="240" w:lineRule="auto"/>
                    <w:ind w:right="48" w:rightChars="20" w:firstLine="0" w:firstLineChars="0"/>
                    <w:jc w:val="left"/>
                    <w:rPr>
                      <w:sz w:val="21"/>
                      <w:szCs w:val="21"/>
                      <w:lang w:val="zh-CN"/>
                    </w:rPr>
                  </w:pPr>
                </w:p>
              </w:tc>
              <w:tc>
                <w:tcPr>
                  <w:tcW w:w="2252" w:type="pct"/>
                  <w:vAlign w:val="center"/>
                </w:tcPr>
                <w:p>
                  <w:pPr>
                    <w:spacing w:line="240" w:lineRule="auto"/>
                    <w:ind w:right="48" w:rightChars="20" w:firstLine="0" w:firstLineChars="0"/>
                    <w:jc w:val="left"/>
                    <w:rPr>
                      <w:sz w:val="21"/>
                      <w:szCs w:val="21"/>
                      <w:lang w:val="zh-CN"/>
                    </w:rPr>
                  </w:pPr>
                  <w:r>
                    <w:rPr>
                      <w:rFonts w:hint="eastAsia"/>
                      <w:sz w:val="21"/>
                      <w:szCs w:val="21"/>
                      <w:lang w:val="zh-CN"/>
                    </w:rPr>
                    <w:t>BOD</w:t>
                  </w:r>
                  <w:r>
                    <w:rPr>
                      <w:rFonts w:hint="eastAsia"/>
                      <w:sz w:val="21"/>
                      <w:szCs w:val="21"/>
                      <w:vertAlign w:val="subscript"/>
                      <w:lang w:val="zh-CN"/>
                    </w:rPr>
                    <w:t>5</w:t>
                  </w:r>
                  <w:r>
                    <w:rPr>
                      <w:rFonts w:hint="eastAsia"/>
                      <w:sz w:val="21"/>
                      <w:szCs w:val="21"/>
                      <w:lang w:val="zh-CN"/>
                    </w:rPr>
                    <w:t xml:space="preserve">、石油类、挥发酚、动植物油、LAS </w:t>
                  </w:r>
                </w:p>
              </w:tc>
              <w:tc>
                <w:tcPr>
                  <w:tcW w:w="562" w:type="pct"/>
                  <w:vMerge w:val="restart"/>
                  <w:vAlign w:val="center"/>
                </w:tcPr>
                <w:p>
                  <w:pPr>
                    <w:spacing w:line="240" w:lineRule="auto"/>
                    <w:ind w:right="48" w:rightChars="20" w:firstLine="0" w:firstLineChars="0"/>
                    <w:jc w:val="center"/>
                    <w:rPr>
                      <w:sz w:val="21"/>
                      <w:szCs w:val="21"/>
                      <w:lang w:val="zh-CN"/>
                    </w:rPr>
                  </w:pPr>
                  <w:r>
                    <w:rPr>
                      <w:rFonts w:hint="eastAsia"/>
                      <w:sz w:val="21"/>
                      <w:szCs w:val="21"/>
                      <w:lang w:val="zh-CN"/>
                    </w:rPr>
                    <w:t>1次/季度</w:t>
                  </w:r>
                </w:p>
              </w:tc>
              <w:tc>
                <w:tcPr>
                  <w:tcW w:w="1390" w:type="pct"/>
                  <w:vMerge w:val="continue"/>
                  <w:vAlign w:val="center"/>
                </w:tcPr>
                <w:p>
                  <w:pPr>
                    <w:spacing w:line="240" w:lineRule="auto"/>
                    <w:ind w:right="48" w:rightChars="20" w:firstLine="0" w:firstLineChars="0"/>
                    <w:jc w:val="left"/>
                    <w:rPr>
                      <w:rFonts w:hAnsi="宋体"/>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314" w:type="pct"/>
                  <w:vMerge w:val="continue"/>
                  <w:vAlign w:val="center"/>
                </w:tcPr>
                <w:p>
                  <w:pPr>
                    <w:spacing w:line="240" w:lineRule="auto"/>
                    <w:ind w:right="48" w:rightChars="20" w:firstLine="0" w:firstLineChars="0"/>
                    <w:jc w:val="center"/>
                    <w:rPr>
                      <w:sz w:val="21"/>
                      <w:szCs w:val="21"/>
                      <w:lang w:val="zh-CN"/>
                    </w:rPr>
                  </w:pPr>
                </w:p>
              </w:tc>
              <w:tc>
                <w:tcPr>
                  <w:tcW w:w="482" w:type="pct"/>
                  <w:vMerge w:val="continue"/>
                  <w:vAlign w:val="center"/>
                </w:tcPr>
                <w:p>
                  <w:pPr>
                    <w:spacing w:line="240" w:lineRule="auto"/>
                    <w:ind w:right="48" w:rightChars="20" w:firstLine="0" w:firstLineChars="0"/>
                    <w:jc w:val="left"/>
                    <w:rPr>
                      <w:sz w:val="21"/>
                      <w:szCs w:val="21"/>
                      <w:lang w:val="zh-CN"/>
                    </w:rPr>
                  </w:pPr>
                </w:p>
              </w:tc>
              <w:tc>
                <w:tcPr>
                  <w:tcW w:w="2252" w:type="pct"/>
                  <w:vAlign w:val="center"/>
                </w:tcPr>
                <w:p>
                  <w:pPr>
                    <w:spacing w:line="240" w:lineRule="auto"/>
                    <w:ind w:right="48" w:rightChars="20" w:firstLine="0" w:firstLineChars="0"/>
                    <w:jc w:val="center"/>
                    <w:rPr>
                      <w:sz w:val="21"/>
                      <w:szCs w:val="21"/>
                      <w:lang w:val="zh-CN"/>
                    </w:rPr>
                  </w:pPr>
                  <w:r>
                    <w:rPr>
                      <w:rFonts w:hint="eastAsia"/>
                      <w:sz w:val="21"/>
                      <w:szCs w:val="21"/>
                      <w:lang w:val="zh-CN"/>
                    </w:rPr>
                    <w:t>色度、氨氮、总余氯</w:t>
                  </w:r>
                </w:p>
              </w:tc>
              <w:tc>
                <w:tcPr>
                  <w:tcW w:w="562" w:type="pct"/>
                  <w:vMerge w:val="continue"/>
                  <w:vAlign w:val="center"/>
                </w:tcPr>
                <w:p>
                  <w:pPr>
                    <w:spacing w:line="240" w:lineRule="auto"/>
                    <w:ind w:right="48" w:rightChars="20" w:firstLine="0" w:firstLineChars="0"/>
                    <w:jc w:val="center"/>
                    <w:rPr>
                      <w:sz w:val="21"/>
                      <w:szCs w:val="21"/>
                      <w:lang w:val="zh-CN"/>
                    </w:rPr>
                  </w:pPr>
                </w:p>
              </w:tc>
              <w:tc>
                <w:tcPr>
                  <w:tcW w:w="1390" w:type="pct"/>
                  <w:vMerge w:val="continue"/>
                  <w:vAlign w:val="center"/>
                </w:tcPr>
                <w:p>
                  <w:pPr>
                    <w:spacing w:line="240" w:lineRule="auto"/>
                    <w:ind w:right="48" w:rightChars="20" w:firstLine="0" w:firstLineChars="0"/>
                    <w:jc w:val="left"/>
                    <w:rPr>
                      <w:rFonts w:hAnsi="宋体"/>
                      <w:kern w:val="0"/>
                      <w:sz w:val="21"/>
                      <w:szCs w:val="21"/>
                    </w:rPr>
                  </w:pPr>
                </w:p>
              </w:tc>
            </w:tr>
          </w:tbl>
          <w:p>
            <w:pPr>
              <w:ind w:right="46" w:rightChars="19" w:firstLine="0" w:firstLineChars="0"/>
              <w:jc w:val="left"/>
              <w:rPr>
                <w:b/>
              </w:rPr>
            </w:pPr>
            <w:r>
              <w:rPr>
                <w:b/>
              </w:rPr>
              <w:t>3、噪声</w:t>
            </w:r>
          </w:p>
          <w:p>
            <w:pPr>
              <w:adjustRightInd w:val="0"/>
              <w:snapToGrid w:val="0"/>
              <w:ind w:left="12" w:leftChars="5" w:right="12" w:rightChars="5" w:firstLine="480"/>
              <w:jc w:val="left"/>
              <w:rPr>
                <w:szCs w:val="21"/>
                <w:lang w:bidi="ar"/>
              </w:rPr>
            </w:pPr>
            <w:r>
              <w:rPr>
                <w:rFonts w:hint="eastAsia"/>
                <w:szCs w:val="21"/>
                <w:lang w:bidi="ar"/>
              </w:rPr>
              <w:t>（1）噪声源强</w:t>
            </w:r>
          </w:p>
          <w:p>
            <w:pPr>
              <w:adjustRightInd w:val="0"/>
              <w:snapToGrid w:val="0"/>
              <w:ind w:left="12" w:leftChars="5" w:right="12" w:rightChars="5" w:firstLine="480"/>
              <w:jc w:val="left"/>
              <w:rPr>
                <w:szCs w:val="21"/>
                <w:lang w:bidi="ar"/>
              </w:rPr>
            </w:pPr>
            <w:r>
              <w:rPr>
                <w:rFonts w:hint="eastAsia"/>
                <w:szCs w:val="21"/>
                <w:lang w:bidi="ar"/>
              </w:rPr>
              <w:t>本项目噪声主要为污水处理泵类、污水处理风机、煎药室风机、废气处理系统风机、空调系统热泵机组/冷却塔、离心机等仪器设备运行时产生的噪声，噪声级为60～75dB（A）。为确保厂界噪声达标排放，通过选购低噪声设备，并加强设备维护与保养，加装基础减振，设备置于房间内隔声等隔声降噪措施，经类比调查各噪声源噪声值见下表。</w:t>
            </w:r>
          </w:p>
          <w:p>
            <w:pPr>
              <w:adjustRightInd w:val="0"/>
              <w:snapToGrid w:val="0"/>
              <w:ind w:left="12" w:leftChars="5" w:right="12" w:rightChars="5" w:firstLine="480"/>
              <w:jc w:val="left"/>
              <w:rPr>
                <w:szCs w:val="21"/>
                <w:lang w:bidi="ar"/>
              </w:rPr>
            </w:pPr>
          </w:p>
          <w:p>
            <w:pPr>
              <w:adjustRightInd w:val="0"/>
              <w:snapToGrid w:val="0"/>
              <w:ind w:left="12" w:leftChars="5" w:right="12" w:rightChars="5" w:firstLine="480"/>
              <w:jc w:val="left"/>
              <w:rPr>
                <w:szCs w:val="21"/>
                <w:lang w:bidi="ar"/>
              </w:rPr>
            </w:pPr>
          </w:p>
          <w:p>
            <w:pPr>
              <w:adjustRightInd w:val="0"/>
              <w:snapToGrid w:val="0"/>
              <w:ind w:left="12" w:leftChars="5" w:right="12" w:rightChars="5" w:firstLine="480"/>
              <w:jc w:val="left"/>
              <w:rPr>
                <w:szCs w:val="21"/>
                <w:lang w:bidi="ar"/>
              </w:rPr>
            </w:pPr>
          </w:p>
          <w:p>
            <w:pPr>
              <w:adjustRightInd w:val="0"/>
              <w:snapToGrid w:val="0"/>
              <w:ind w:left="12" w:leftChars="5" w:right="12" w:rightChars="5" w:firstLine="480"/>
              <w:jc w:val="left"/>
              <w:rPr>
                <w:szCs w:val="21"/>
                <w:lang w:bidi="ar"/>
              </w:rPr>
            </w:pPr>
          </w:p>
          <w:p>
            <w:pPr>
              <w:adjustRightInd w:val="0"/>
              <w:snapToGrid w:val="0"/>
              <w:ind w:left="12" w:leftChars="5" w:right="12" w:rightChars="5" w:firstLine="480"/>
              <w:jc w:val="left"/>
              <w:rPr>
                <w:szCs w:val="21"/>
                <w:lang w:bidi="ar"/>
              </w:rPr>
            </w:pPr>
          </w:p>
          <w:p>
            <w:pPr>
              <w:adjustRightInd w:val="0"/>
              <w:snapToGrid w:val="0"/>
              <w:ind w:left="12" w:leftChars="5" w:right="12" w:rightChars="5" w:firstLine="480"/>
              <w:jc w:val="left"/>
              <w:rPr>
                <w:szCs w:val="21"/>
                <w:lang w:bidi="ar"/>
              </w:rPr>
            </w:pPr>
          </w:p>
          <w:p>
            <w:pPr>
              <w:adjustRightInd w:val="0"/>
              <w:snapToGrid w:val="0"/>
              <w:ind w:left="12" w:leftChars="5" w:right="12" w:rightChars="5" w:firstLine="480"/>
              <w:jc w:val="left"/>
              <w:rPr>
                <w:szCs w:val="21"/>
                <w:lang w:bidi="ar"/>
              </w:rPr>
            </w:pPr>
          </w:p>
          <w:p>
            <w:pPr>
              <w:adjustRightInd w:val="0"/>
              <w:snapToGrid w:val="0"/>
              <w:ind w:left="12" w:leftChars="5" w:right="12" w:rightChars="5" w:firstLine="480"/>
              <w:jc w:val="left"/>
              <w:rPr>
                <w:szCs w:val="21"/>
                <w:lang w:bidi="ar"/>
              </w:rPr>
            </w:pPr>
          </w:p>
          <w:p>
            <w:pPr>
              <w:adjustRightInd w:val="0"/>
              <w:snapToGrid w:val="0"/>
              <w:ind w:left="12" w:leftChars="5" w:right="12" w:rightChars="5" w:firstLine="480"/>
              <w:jc w:val="left"/>
              <w:rPr>
                <w:szCs w:val="21"/>
                <w:lang w:bidi="ar"/>
              </w:rPr>
            </w:pPr>
          </w:p>
          <w:p>
            <w:pPr>
              <w:adjustRightInd w:val="0"/>
              <w:snapToGrid w:val="0"/>
              <w:ind w:left="12" w:leftChars="5" w:right="12" w:rightChars="5" w:firstLine="480"/>
              <w:jc w:val="left"/>
              <w:rPr>
                <w:szCs w:val="21"/>
                <w:lang w:bidi="ar"/>
              </w:rPr>
            </w:pPr>
          </w:p>
          <w:p>
            <w:pPr>
              <w:adjustRightInd w:val="0"/>
              <w:snapToGrid w:val="0"/>
              <w:ind w:left="12" w:leftChars="5" w:right="12" w:rightChars="5" w:firstLine="480"/>
              <w:jc w:val="left"/>
              <w:rPr>
                <w:szCs w:val="21"/>
                <w:lang w:bidi="ar"/>
              </w:rPr>
            </w:pPr>
          </w:p>
          <w:p>
            <w:pPr>
              <w:adjustRightInd w:val="0"/>
              <w:snapToGrid w:val="0"/>
              <w:ind w:left="12" w:leftChars="5" w:right="12" w:rightChars="5" w:firstLine="480"/>
              <w:jc w:val="left"/>
              <w:rPr>
                <w:szCs w:val="21"/>
                <w:lang w:bidi="ar"/>
              </w:rPr>
            </w:pPr>
          </w:p>
          <w:p>
            <w:pPr>
              <w:adjustRightInd w:val="0"/>
              <w:snapToGrid w:val="0"/>
              <w:ind w:left="12" w:leftChars="5" w:right="12" w:rightChars="5" w:firstLine="480"/>
              <w:jc w:val="left"/>
              <w:rPr>
                <w:szCs w:val="21"/>
                <w:lang w:bidi="ar"/>
              </w:rPr>
            </w:pPr>
          </w:p>
          <w:p>
            <w:pPr>
              <w:adjustRightInd w:val="0"/>
              <w:snapToGrid w:val="0"/>
              <w:ind w:left="12" w:leftChars="5" w:right="12" w:rightChars="5" w:firstLine="480"/>
              <w:jc w:val="left"/>
              <w:rPr>
                <w:szCs w:val="21"/>
                <w:lang w:bidi="ar"/>
              </w:rPr>
            </w:pPr>
          </w:p>
          <w:p>
            <w:pPr>
              <w:adjustRightInd w:val="0"/>
              <w:snapToGrid w:val="0"/>
              <w:ind w:left="12" w:leftChars="5" w:right="12" w:rightChars="5" w:firstLine="480"/>
              <w:jc w:val="left"/>
              <w:rPr>
                <w:szCs w:val="21"/>
                <w:lang w:bidi="ar"/>
              </w:rPr>
            </w:pPr>
          </w:p>
          <w:p>
            <w:pPr>
              <w:adjustRightInd w:val="0"/>
              <w:snapToGrid w:val="0"/>
              <w:ind w:left="12" w:leftChars="5" w:right="12" w:rightChars="5" w:firstLine="480"/>
              <w:jc w:val="left"/>
              <w:rPr>
                <w:szCs w:val="21"/>
                <w:lang w:bidi="ar"/>
              </w:rPr>
            </w:pPr>
          </w:p>
          <w:p>
            <w:pPr>
              <w:adjustRightInd w:val="0"/>
              <w:snapToGrid w:val="0"/>
              <w:ind w:left="12" w:leftChars="5" w:right="12" w:rightChars="5" w:firstLine="480"/>
              <w:jc w:val="left"/>
              <w:rPr>
                <w:szCs w:val="21"/>
                <w:lang w:bidi="ar"/>
              </w:rPr>
            </w:pPr>
          </w:p>
          <w:p>
            <w:pPr>
              <w:adjustRightInd w:val="0"/>
              <w:snapToGrid w:val="0"/>
              <w:ind w:left="12" w:leftChars="5" w:right="12" w:rightChars="5" w:firstLine="480"/>
              <w:jc w:val="left"/>
              <w:rPr>
                <w:szCs w:val="21"/>
                <w:lang w:bidi="ar"/>
              </w:rPr>
            </w:pPr>
          </w:p>
          <w:p>
            <w:pPr>
              <w:adjustRightInd w:val="0"/>
              <w:snapToGrid w:val="0"/>
              <w:ind w:left="12" w:leftChars="5" w:right="12" w:rightChars="5" w:firstLine="480"/>
              <w:jc w:val="left"/>
            </w:pPr>
          </w:p>
        </w:tc>
      </w:tr>
    </w:tbl>
    <w:p>
      <w:pPr>
        <w:spacing w:line="240" w:lineRule="auto"/>
        <w:ind w:firstLine="0" w:firstLineChars="0"/>
        <w:sectPr>
          <w:pgSz w:w="11906" w:h="16838"/>
          <w:pgMar w:top="1440" w:right="1800" w:bottom="1440" w:left="1800" w:header="851" w:footer="992" w:gutter="0"/>
          <w:cols w:space="425" w:num="1"/>
          <w:docGrid w:type="lines" w:linePitch="312" w:charSpace="0"/>
        </w:sectPr>
      </w:pP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664"/>
        <w:gridCol w:w="1329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15" w:hRule="atLeast"/>
        </w:trPr>
        <w:tc>
          <w:tcPr>
            <w:tcW w:w="675" w:type="dxa"/>
            <w:vAlign w:val="center"/>
          </w:tcPr>
          <w:p>
            <w:pPr>
              <w:spacing w:line="240" w:lineRule="auto"/>
              <w:ind w:firstLine="0" w:firstLineChars="0"/>
              <w:jc w:val="center"/>
            </w:pPr>
            <w:r>
              <w:rPr>
                <w:rFonts w:hint="eastAsia"/>
              </w:rPr>
              <w:t>运营期环境影响和保护措施</w:t>
            </w:r>
          </w:p>
        </w:tc>
        <w:tc>
          <w:tcPr>
            <w:tcW w:w="13499" w:type="dxa"/>
          </w:tcPr>
          <w:p>
            <w:pPr>
              <w:pStyle w:val="14"/>
              <w:rPr>
                <w:sz w:val="21"/>
              </w:rPr>
            </w:pPr>
            <w:r>
              <w:rPr>
                <w:rFonts w:hint="eastAsia"/>
              </w:rPr>
              <w:t xml:space="preserve">表31    室内噪声源强及治理措施一览表   </w:t>
            </w:r>
            <w:r>
              <w:rPr>
                <w:rFonts w:hint="eastAsia"/>
                <w:sz w:val="21"/>
              </w:rPr>
              <w:t>单位：dB（A）</w:t>
            </w:r>
          </w:p>
          <w:tbl>
            <w:tblPr>
              <w:tblStyle w:val="16"/>
              <w:tblW w:w="492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457"/>
              <w:gridCol w:w="708"/>
              <w:gridCol w:w="850"/>
              <w:gridCol w:w="994"/>
              <w:gridCol w:w="994"/>
              <w:gridCol w:w="709"/>
              <w:gridCol w:w="853"/>
              <w:gridCol w:w="853"/>
              <w:gridCol w:w="994"/>
              <w:gridCol w:w="1133"/>
              <w:gridCol w:w="853"/>
              <w:gridCol w:w="1274"/>
              <w:gridCol w:w="1276"/>
              <w:gridCol w:w="11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175" w:type="pct"/>
                  <w:vMerge w:val="restart"/>
                  <w:vAlign w:val="center"/>
                </w:tcPr>
                <w:p>
                  <w:pPr>
                    <w:adjustRightInd w:val="0"/>
                    <w:snapToGrid w:val="0"/>
                    <w:spacing w:line="240" w:lineRule="auto"/>
                    <w:ind w:firstLine="0" w:firstLineChars="0"/>
                    <w:jc w:val="center"/>
                    <w:rPr>
                      <w:b/>
                      <w:bCs/>
                      <w:sz w:val="21"/>
                      <w:szCs w:val="21"/>
                    </w:rPr>
                  </w:pPr>
                  <w:r>
                    <w:rPr>
                      <w:b/>
                      <w:bCs/>
                      <w:sz w:val="21"/>
                      <w:szCs w:val="21"/>
                    </w:rPr>
                    <w:t>序号</w:t>
                  </w:r>
                </w:p>
              </w:tc>
              <w:tc>
                <w:tcPr>
                  <w:tcW w:w="271" w:type="pct"/>
                  <w:vMerge w:val="restart"/>
                  <w:vAlign w:val="center"/>
                </w:tcPr>
                <w:p>
                  <w:pPr>
                    <w:adjustRightInd w:val="0"/>
                    <w:snapToGrid w:val="0"/>
                    <w:spacing w:line="240" w:lineRule="auto"/>
                    <w:ind w:firstLine="0" w:firstLineChars="0"/>
                    <w:jc w:val="center"/>
                    <w:rPr>
                      <w:b/>
                      <w:bCs/>
                      <w:sz w:val="21"/>
                      <w:szCs w:val="21"/>
                    </w:rPr>
                  </w:pPr>
                  <w:r>
                    <w:rPr>
                      <w:b/>
                      <w:bCs/>
                      <w:sz w:val="21"/>
                      <w:szCs w:val="21"/>
                    </w:rPr>
                    <w:t>建筑物名称</w:t>
                  </w:r>
                </w:p>
              </w:tc>
              <w:tc>
                <w:tcPr>
                  <w:tcW w:w="325" w:type="pct"/>
                  <w:vMerge w:val="restart"/>
                  <w:vAlign w:val="center"/>
                </w:tcPr>
                <w:p>
                  <w:pPr>
                    <w:adjustRightInd w:val="0"/>
                    <w:snapToGrid w:val="0"/>
                    <w:spacing w:line="240" w:lineRule="auto"/>
                    <w:ind w:firstLine="0" w:firstLineChars="0"/>
                    <w:jc w:val="center"/>
                    <w:rPr>
                      <w:b/>
                      <w:bCs/>
                      <w:sz w:val="21"/>
                      <w:szCs w:val="21"/>
                    </w:rPr>
                  </w:pPr>
                  <w:r>
                    <w:rPr>
                      <w:b/>
                      <w:bCs/>
                      <w:sz w:val="21"/>
                      <w:szCs w:val="21"/>
                    </w:rPr>
                    <w:t>噪声源</w:t>
                  </w:r>
                </w:p>
              </w:tc>
              <w:tc>
                <w:tcPr>
                  <w:tcW w:w="380" w:type="pct"/>
                  <w:vMerge w:val="restart"/>
                  <w:vAlign w:val="center"/>
                </w:tcPr>
                <w:p>
                  <w:pPr>
                    <w:adjustRightInd w:val="0"/>
                    <w:snapToGrid w:val="0"/>
                    <w:spacing w:line="240" w:lineRule="auto"/>
                    <w:ind w:firstLine="0" w:firstLineChars="0"/>
                    <w:jc w:val="center"/>
                    <w:rPr>
                      <w:b/>
                      <w:bCs/>
                      <w:sz w:val="21"/>
                      <w:szCs w:val="21"/>
                    </w:rPr>
                  </w:pPr>
                  <w:r>
                    <w:rPr>
                      <w:b/>
                      <w:bCs/>
                      <w:sz w:val="21"/>
                      <w:szCs w:val="21"/>
                    </w:rPr>
                    <w:t>声功率级/dB(A)</w:t>
                  </w:r>
                </w:p>
              </w:tc>
              <w:tc>
                <w:tcPr>
                  <w:tcW w:w="380" w:type="pct"/>
                  <w:vMerge w:val="restart"/>
                  <w:vAlign w:val="center"/>
                </w:tcPr>
                <w:p>
                  <w:pPr>
                    <w:adjustRightInd w:val="0"/>
                    <w:snapToGrid w:val="0"/>
                    <w:spacing w:line="240" w:lineRule="auto"/>
                    <w:ind w:firstLine="0" w:firstLineChars="0"/>
                    <w:jc w:val="center"/>
                    <w:rPr>
                      <w:b/>
                      <w:bCs/>
                      <w:sz w:val="21"/>
                      <w:szCs w:val="21"/>
                    </w:rPr>
                  </w:pPr>
                  <w:r>
                    <w:rPr>
                      <w:b/>
                      <w:bCs/>
                      <w:sz w:val="21"/>
                      <w:szCs w:val="21"/>
                    </w:rPr>
                    <w:t>声源控制措施</w:t>
                  </w:r>
                </w:p>
              </w:tc>
              <w:tc>
                <w:tcPr>
                  <w:tcW w:w="923" w:type="pct"/>
                  <w:gridSpan w:val="3"/>
                  <w:vAlign w:val="center"/>
                </w:tcPr>
                <w:p>
                  <w:pPr>
                    <w:adjustRightInd w:val="0"/>
                    <w:snapToGrid w:val="0"/>
                    <w:spacing w:line="240" w:lineRule="auto"/>
                    <w:ind w:firstLine="0" w:firstLineChars="0"/>
                    <w:jc w:val="center"/>
                    <w:rPr>
                      <w:b/>
                      <w:bCs/>
                      <w:sz w:val="21"/>
                      <w:szCs w:val="21"/>
                    </w:rPr>
                  </w:pPr>
                  <w:r>
                    <w:rPr>
                      <w:b/>
                      <w:bCs/>
                      <w:sz w:val="21"/>
                      <w:szCs w:val="21"/>
                    </w:rPr>
                    <w:t>空间相对位置/m</w:t>
                  </w:r>
                </w:p>
              </w:tc>
              <w:tc>
                <w:tcPr>
                  <w:tcW w:w="380" w:type="pct"/>
                  <w:vMerge w:val="restart"/>
                  <w:vAlign w:val="center"/>
                </w:tcPr>
                <w:p>
                  <w:pPr>
                    <w:adjustRightInd w:val="0"/>
                    <w:snapToGrid w:val="0"/>
                    <w:spacing w:line="240" w:lineRule="auto"/>
                    <w:ind w:firstLine="0" w:firstLineChars="0"/>
                    <w:jc w:val="center"/>
                    <w:rPr>
                      <w:b/>
                      <w:bCs/>
                      <w:sz w:val="21"/>
                      <w:szCs w:val="21"/>
                    </w:rPr>
                  </w:pPr>
                  <w:r>
                    <w:rPr>
                      <w:b/>
                      <w:bCs/>
                      <w:sz w:val="21"/>
                      <w:szCs w:val="21"/>
                    </w:rPr>
                    <w:t>距室内边界距离/m</w:t>
                  </w:r>
                </w:p>
              </w:tc>
              <w:tc>
                <w:tcPr>
                  <w:tcW w:w="433" w:type="pct"/>
                  <w:vMerge w:val="restart"/>
                  <w:vAlign w:val="center"/>
                </w:tcPr>
                <w:p>
                  <w:pPr>
                    <w:adjustRightInd w:val="0"/>
                    <w:snapToGrid w:val="0"/>
                    <w:spacing w:line="240" w:lineRule="auto"/>
                    <w:ind w:firstLine="0" w:firstLineChars="0"/>
                    <w:jc w:val="center"/>
                    <w:rPr>
                      <w:b/>
                      <w:bCs/>
                      <w:sz w:val="21"/>
                      <w:szCs w:val="21"/>
                    </w:rPr>
                  </w:pPr>
                  <w:r>
                    <w:rPr>
                      <w:b/>
                      <w:bCs/>
                      <w:sz w:val="21"/>
                      <w:szCs w:val="21"/>
                    </w:rPr>
                    <w:t>室内边界声级/dB(A)</w:t>
                  </w:r>
                </w:p>
              </w:tc>
              <w:tc>
                <w:tcPr>
                  <w:tcW w:w="326" w:type="pct"/>
                  <w:vMerge w:val="restart"/>
                  <w:vAlign w:val="center"/>
                </w:tcPr>
                <w:p>
                  <w:pPr>
                    <w:adjustRightInd w:val="0"/>
                    <w:snapToGrid w:val="0"/>
                    <w:spacing w:line="240" w:lineRule="auto"/>
                    <w:ind w:firstLine="0" w:firstLineChars="0"/>
                    <w:jc w:val="center"/>
                    <w:rPr>
                      <w:b/>
                      <w:bCs/>
                      <w:sz w:val="21"/>
                      <w:szCs w:val="21"/>
                    </w:rPr>
                  </w:pPr>
                  <w:r>
                    <w:rPr>
                      <w:b/>
                      <w:bCs/>
                      <w:sz w:val="21"/>
                      <w:szCs w:val="21"/>
                    </w:rPr>
                    <w:t>运行时段</w:t>
                  </w:r>
                </w:p>
              </w:tc>
              <w:tc>
                <w:tcPr>
                  <w:tcW w:w="487" w:type="pct"/>
                  <w:vMerge w:val="restart"/>
                  <w:vAlign w:val="center"/>
                </w:tcPr>
                <w:p>
                  <w:pPr>
                    <w:adjustRightInd w:val="0"/>
                    <w:snapToGrid w:val="0"/>
                    <w:spacing w:line="240" w:lineRule="auto"/>
                    <w:ind w:firstLine="0" w:firstLineChars="0"/>
                    <w:jc w:val="center"/>
                    <w:rPr>
                      <w:b/>
                      <w:bCs/>
                      <w:sz w:val="21"/>
                      <w:szCs w:val="21"/>
                    </w:rPr>
                  </w:pPr>
                  <w:r>
                    <w:rPr>
                      <w:b/>
                      <w:bCs/>
                      <w:sz w:val="21"/>
                      <w:szCs w:val="21"/>
                    </w:rPr>
                    <w:t>建筑物插入损失/dB(A)</w:t>
                  </w:r>
                </w:p>
              </w:tc>
              <w:tc>
                <w:tcPr>
                  <w:tcW w:w="919" w:type="pct"/>
                  <w:gridSpan w:val="2"/>
                  <w:vAlign w:val="center"/>
                </w:tcPr>
                <w:p>
                  <w:pPr>
                    <w:adjustRightInd w:val="0"/>
                    <w:snapToGrid w:val="0"/>
                    <w:spacing w:line="240" w:lineRule="auto"/>
                    <w:ind w:firstLine="0" w:firstLineChars="0"/>
                    <w:jc w:val="center"/>
                    <w:rPr>
                      <w:b/>
                      <w:bCs/>
                      <w:sz w:val="21"/>
                      <w:szCs w:val="21"/>
                    </w:rPr>
                  </w:pPr>
                  <w:r>
                    <w:rPr>
                      <w:b/>
                      <w:bCs/>
                      <w:sz w:val="21"/>
                      <w:szCs w:val="21"/>
                    </w:rPr>
                    <w:t>建筑物外噪声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175" w:type="pct"/>
                  <w:vMerge w:val="continue"/>
                  <w:vAlign w:val="center"/>
                </w:tcPr>
                <w:p>
                  <w:pPr>
                    <w:adjustRightInd w:val="0"/>
                    <w:snapToGrid w:val="0"/>
                    <w:spacing w:line="240" w:lineRule="auto"/>
                    <w:ind w:firstLine="0" w:firstLineChars="0"/>
                    <w:jc w:val="center"/>
                    <w:rPr>
                      <w:b/>
                      <w:bCs/>
                      <w:sz w:val="21"/>
                      <w:szCs w:val="21"/>
                    </w:rPr>
                  </w:pPr>
                </w:p>
              </w:tc>
              <w:tc>
                <w:tcPr>
                  <w:tcW w:w="271" w:type="pct"/>
                  <w:vMerge w:val="continue"/>
                  <w:vAlign w:val="center"/>
                </w:tcPr>
                <w:p>
                  <w:pPr>
                    <w:spacing w:line="240" w:lineRule="auto"/>
                    <w:ind w:firstLine="0" w:firstLineChars="0"/>
                    <w:jc w:val="center"/>
                    <w:rPr>
                      <w:b/>
                      <w:bCs/>
                      <w:sz w:val="21"/>
                      <w:szCs w:val="21"/>
                    </w:rPr>
                  </w:pPr>
                </w:p>
              </w:tc>
              <w:tc>
                <w:tcPr>
                  <w:tcW w:w="325" w:type="pct"/>
                  <w:vMerge w:val="continue"/>
                  <w:vAlign w:val="center"/>
                </w:tcPr>
                <w:p>
                  <w:pPr>
                    <w:adjustRightInd w:val="0"/>
                    <w:snapToGrid w:val="0"/>
                    <w:spacing w:line="240" w:lineRule="auto"/>
                    <w:ind w:firstLine="0" w:firstLineChars="0"/>
                    <w:jc w:val="center"/>
                    <w:rPr>
                      <w:b/>
                      <w:bCs/>
                      <w:sz w:val="21"/>
                      <w:szCs w:val="21"/>
                    </w:rPr>
                  </w:pPr>
                </w:p>
              </w:tc>
              <w:tc>
                <w:tcPr>
                  <w:tcW w:w="380" w:type="pct"/>
                  <w:vMerge w:val="continue"/>
                  <w:vAlign w:val="center"/>
                </w:tcPr>
                <w:p>
                  <w:pPr>
                    <w:adjustRightInd w:val="0"/>
                    <w:snapToGrid w:val="0"/>
                    <w:spacing w:line="240" w:lineRule="auto"/>
                    <w:ind w:firstLine="0" w:firstLineChars="0"/>
                    <w:jc w:val="center"/>
                    <w:rPr>
                      <w:b/>
                      <w:bCs/>
                      <w:sz w:val="21"/>
                      <w:szCs w:val="21"/>
                    </w:rPr>
                  </w:pPr>
                </w:p>
              </w:tc>
              <w:tc>
                <w:tcPr>
                  <w:tcW w:w="380" w:type="pct"/>
                  <w:vMerge w:val="continue"/>
                  <w:vAlign w:val="center"/>
                </w:tcPr>
                <w:p>
                  <w:pPr>
                    <w:adjustRightInd w:val="0"/>
                    <w:snapToGrid w:val="0"/>
                    <w:spacing w:line="240" w:lineRule="auto"/>
                    <w:ind w:firstLine="0" w:firstLineChars="0"/>
                    <w:jc w:val="center"/>
                    <w:rPr>
                      <w:b/>
                      <w:bCs/>
                      <w:sz w:val="21"/>
                      <w:szCs w:val="21"/>
                    </w:rPr>
                  </w:pPr>
                </w:p>
              </w:tc>
              <w:tc>
                <w:tcPr>
                  <w:tcW w:w="271" w:type="pct"/>
                  <w:vAlign w:val="center"/>
                </w:tcPr>
                <w:p>
                  <w:pPr>
                    <w:adjustRightInd w:val="0"/>
                    <w:snapToGrid w:val="0"/>
                    <w:spacing w:line="240" w:lineRule="auto"/>
                    <w:ind w:firstLine="0" w:firstLineChars="0"/>
                    <w:jc w:val="center"/>
                    <w:rPr>
                      <w:b/>
                      <w:bCs/>
                      <w:sz w:val="21"/>
                      <w:szCs w:val="21"/>
                    </w:rPr>
                  </w:pPr>
                  <w:r>
                    <w:rPr>
                      <w:b/>
                      <w:bCs/>
                      <w:sz w:val="21"/>
                      <w:szCs w:val="21"/>
                    </w:rPr>
                    <w:t>X</w:t>
                  </w:r>
                </w:p>
              </w:tc>
              <w:tc>
                <w:tcPr>
                  <w:tcW w:w="326" w:type="pct"/>
                  <w:vAlign w:val="center"/>
                </w:tcPr>
                <w:p>
                  <w:pPr>
                    <w:adjustRightInd w:val="0"/>
                    <w:snapToGrid w:val="0"/>
                    <w:spacing w:line="240" w:lineRule="auto"/>
                    <w:ind w:firstLine="0" w:firstLineChars="0"/>
                    <w:jc w:val="center"/>
                    <w:rPr>
                      <w:b/>
                      <w:bCs/>
                      <w:sz w:val="21"/>
                      <w:szCs w:val="21"/>
                    </w:rPr>
                  </w:pPr>
                  <w:r>
                    <w:rPr>
                      <w:b/>
                      <w:bCs/>
                      <w:sz w:val="21"/>
                      <w:szCs w:val="21"/>
                    </w:rPr>
                    <w:t>Y</w:t>
                  </w:r>
                </w:p>
              </w:tc>
              <w:tc>
                <w:tcPr>
                  <w:tcW w:w="326" w:type="pct"/>
                  <w:vAlign w:val="center"/>
                </w:tcPr>
                <w:p>
                  <w:pPr>
                    <w:adjustRightInd w:val="0"/>
                    <w:snapToGrid w:val="0"/>
                    <w:spacing w:line="240" w:lineRule="auto"/>
                    <w:ind w:firstLine="0" w:firstLineChars="0"/>
                    <w:jc w:val="center"/>
                    <w:rPr>
                      <w:b/>
                      <w:bCs/>
                      <w:sz w:val="21"/>
                      <w:szCs w:val="21"/>
                    </w:rPr>
                  </w:pPr>
                  <w:r>
                    <w:rPr>
                      <w:b/>
                      <w:bCs/>
                      <w:sz w:val="21"/>
                      <w:szCs w:val="21"/>
                    </w:rPr>
                    <w:t>Z</w:t>
                  </w:r>
                </w:p>
              </w:tc>
              <w:tc>
                <w:tcPr>
                  <w:tcW w:w="380" w:type="pct"/>
                  <w:vMerge w:val="continue"/>
                  <w:vAlign w:val="center"/>
                </w:tcPr>
                <w:p>
                  <w:pPr>
                    <w:adjustRightInd w:val="0"/>
                    <w:snapToGrid w:val="0"/>
                    <w:spacing w:line="240" w:lineRule="auto"/>
                    <w:ind w:firstLine="0" w:firstLineChars="0"/>
                    <w:jc w:val="center"/>
                    <w:rPr>
                      <w:b/>
                      <w:bCs/>
                      <w:sz w:val="21"/>
                      <w:szCs w:val="21"/>
                    </w:rPr>
                  </w:pPr>
                </w:p>
              </w:tc>
              <w:tc>
                <w:tcPr>
                  <w:tcW w:w="433" w:type="pct"/>
                  <w:vMerge w:val="continue"/>
                  <w:vAlign w:val="center"/>
                </w:tcPr>
                <w:p>
                  <w:pPr>
                    <w:adjustRightInd w:val="0"/>
                    <w:snapToGrid w:val="0"/>
                    <w:spacing w:line="240" w:lineRule="auto"/>
                    <w:ind w:firstLine="0" w:firstLineChars="0"/>
                    <w:jc w:val="center"/>
                    <w:rPr>
                      <w:b/>
                      <w:bCs/>
                      <w:sz w:val="21"/>
                      <w:szCs w:val="21"/>
                    </w:rPr>
                  </w:pPr>
                </w:p>
              </w:tc>
              <w:tc>
                <w:tcPr>
                  <w:tcW w:w="326" w:type="pct"/>
                  <w:vMerge w:val="continue"/>
                  <w:vAlign w:val="center"/>
                </w:tcPr>
                <w:p>
                  <w:pPr>
                    <w:adjustRightInd w:val="0"/>
                    <w:snapToGrid w:val="0"/>
                    <w:spacing w:line="240" w:lineRule="auto"/>
                    <w:ind w:firstLine="0" w:firstLineChars="0"/>
                    <w:jc w:val="center"/>
                    <w:rPr>
                      <w:b/>
                      <w:bCs/>
                      <w:sz w:val="21"/>
                      <w:szCs w:val="21"/>
                    </w:rPr>
                  </w:pPr>
                </w:p>
              </w:tc>
              <w:tc>
                <w:tcPr>
                  <w:tcW w:w="487" w:type="pct"/>
                  <w:vMerge w:val="continue"/>
                  <w:vAlign w:val="center"/>
                </w:tcPr>
                <w:p>
                  <w:pPr>
                    <w:adjustRightInd w:val="0"/>
                    <w:snapToGrid w:val="0"/>
                    <w:spacing w:line="240" w:lineRule="auto"/>
                    <w:ind w:firstLine="0" w:firstLineChars="0"/>
                    <w:jc w:val="center"/>
                    <w:rPr>
                      <w:b/>
                      <w:bCs/>
                      <w:sz w:val="21"/>
                      <w:szCs w:val="21"/>
                    </w:rPr>
                  </w:pPr>
                </w:p>
              </w:tc>
              <w:tc>
                <w:tcPr>
                  <w:tcW w:w="488" w:type="pct"/>
                  <w:vAlign w:val="center"/>
                </w:tcPr>
                <w:p>
                  <w:pPr>
                    <w:adjustRightInd w:val="0"/>
                    <w:snapToGrid w:val="0"/>
                    <w:spacing w:line="240" w:lineRule="auto"/>
                    <w:ind w:firstLine="0" w:firstLineChars="0"/>
                    <w:jc w:val="center"/>
                    <w:rPr>
                      <w:b/>
                      <w:bCs/>
                      <w:sz w:val="21"/>
                      <w:szCs w:val="21"/>
                    </w:rPr>
                  </w:pPr>
                  <w:r>
                    <w:rPr>
                      <w:b/>
                      <w:bCs/>
                      <w:sz w:val="21"/>
                      <w:szCs w:val="21"/>
                    </w:rPr>
                    <w:t>声压级/dB(A)</w:t>
                  </w:r>
                </w:p>
              </w:tc>
              <w:tc>
                <w:tcPr>
                  <w:tcW w:w="431" w:type="pct"/>
                  <w:vAlign w:val="center"/>
                </w:tcPr>
                <w:p>
                  <w:pPr>
                    <w:adjustRightInd w:val="0"/>
                    <w:snapToGrid w:val="0"/>
                    <w:spacing w:line="240" w:lineRule="auto"/>
                    <w:ind w:firstLine="0" w:firstLineChars="0"/>
                    <w:jc w:val="center"/>
                    <w:rPr>
                      <w:b/>
                      <w:bCs/>
                      <w:sz w:val="21"/>
                      <w:szCs w:val="21"/>
                    </w:rPr>
                  </w:pPr>
                  <w:r>
                    <w:rPr>
                      <w:b/>
                      <w:bCs/>
                      <w:sz w:val="21"/>
                      <w:szCs w:val="21"/>
                    </w:rPr>
                    <w:t>建筑物外距离/m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175" w:type="pct"/>
                  <w:vMerge w:val="restart"/>
                  <w:vAlign w:val="center"/>
                </w:tcPr>
                <w:p>
                  <w:pPr>
                    <w:widowControl/>
                    <w:spacing w:line="240" w:lineRule="auto"/>
                    <w:ind w:firstLine="0" w:firstLineChars="0"/>
                    <w:jc w:val="center"/>
                    <w:rPr>
                      <w:sz w:val="21"/>
                      <w:szCs w:val="21"/>
                      <w:u w:color="000000"/>
                    </w:rPr>
                  </w:pPr>
                  <w:r>
                    <w:rPr>
                      <w:sz w:val="21"/>
                      <w:szCs w:val="21"/>
                      <w:u w:color="000000"/>
                    </w:rPr>
                    <w:t>1</w:t>
                  </w:r>
                </w:p>
              </w:tc>
              <w:tc>
                <w:tcPr>
                  <w:tcW w:w="271" w:type="pct"/>
                  <w:vMerge w:val="restart"/>
                  <w:vAlign w:val="center"/>
                </w:tcPr>
                <w:p>
                  <w:pPr>
                    <w:spacing w:line="240" w:lineRule="auto"/>
                    <w:ind w:firstLine="0" w:firstLineChars="0"/>
                    <w:jc w:val="center"/>
                    <w:rPr>
                      <w:sz w:val="21"/>
                      <w:szCs w:val="21"/>
                      <w:u w:color="000000"/>
                    </w:rPr>
                  </w:pPr>
                  <w:r>
                    <w:rPr>
                      <w:sz w:val="21"/>
                      <w:szCs w:val="21"/>
                      <w:u w:color="000000"/>
                    </w:rPr>
                    <w:t>医院</w:t>
                  </w:r>
                </w:p>
              </w:tc>
              <w:tc>
                <w:tcPr>
                  <w:tcW w:w="325" w:type="pct"/>
                  <w:vMerge w:val="restart"/>
                  <w:vAlign w:val="center"/>
                </w:tcPr>
                <w:p>
                  <w:pPr>
                    <w:widowControl/>
                    <w:spacing w:line="240" w:lineRule="auto"/>
                    <w:ind w:firstLine="0" w:firstLineChars="0"/>
                    <w:jc w:val="center"/>
                    <w:rPr>
                      <w:sz w:val="21"/>
                      <w:szCs w:val="21"/>
                      <w:u w:color="000000"/>
                    </w:rPr>
                  </w:pPr>
                  <w:r>
                    <w:rPr>
                      <w:rFonts w:hint="eastAsia"/>
                      <w:sz w:val="21"/>
                      <w:szCs w:val="21"/>
                      <w:u w:color="000000"/>
                    </w:rPr>
                    <w:t>煎药室风机</w:t>
                  </w:r>
                </w:p>
              </w:tc>
              <w:tc>
                <w:tcPr>
                  <w:tcW w:w="380" w:type="pct"/>
                  <w:vMerge w:val="restart"/>
                  <w:vAlign w:val="center"/>
                </w:tcPr>
                <w:p>
                  <w:pPr>
                    <w:pStyle w:val="37"/>
                    <w:rPr>
                      <w:szCs w:val="21"/>
                    </w:rPr>
                  </w:pPr>
                  <w:r>
                    <w:rPr>
                      <w:rFonts w:hint="eastAsia"/>
                      <w:szCs w:val="21"/>
                    </w:rPr>
                    <w:t>65</w:t>
                  </w:r>
                </w:p>
              </w:tc>
              <w:tc>
                <w:tcPr>
                  <w:tcW w:w="380" w:type="pct"/>
                  <w:vMerge w:val="restart"/>
                  <w:vAlign w:val="center"/>
                </w:tcPr>
                <w:p>
                  <w:pPr>
                    <w:adjustRightInd w:val="0"/>
                    <w:snapToGrid w:val="0"/>
                    <w:spacing w:line="240" w:lineRule="auto"/>
                    <w:ind w:firstLine="0" w:firstLineChars="0"/>
                    <w:jc w:val="center"/>
                    <w:rPr>
                      <w:sz w:val="21"/>
                      <w:szCs w:val="21"/>
                    </w:rPr>
                  </w:pPr>
                  <w:r>
                    <w:rPr>
                      <w:sz w:val="21"/>
                      <w:szCs w:val="21"/>
                    </w:rPr>
                    <w:t>基础减振</w:t>
                  </w:r>
                </w:p>
                <w:p>
                  <w:pPr>
                    <w:adjustRightInd w:val="0"/>
                    <w:snapToGrid w:val="0"/>
                    <w:spacing w:line="240" w:lineRule="auto"/>
                    <w:ind w:firstLine="0" w:firstLineChars="0"/>
                    <w:jc w:val="center"/>
                    <w:rPr>
                      <w:sz w:val="21"/>
                      <w:szCs w:val="21"/>
                    </w:rPr>
                  </w:pPr>
                  <w:r>
                    <w:rPr>
                      <w:sz w:val="21"/>
                      <w:szCs w:val="21"/>
                    </w:rPr>
                    <w:t>厂房隔声</w:t>
                  </w:r>
                </w:p>
              </w:tc>
              <w:tc>
                <w:tcPr>
                  <w:tcW w:w="271" w:type="pct"/>
                  <w:vMerge w:val="restar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743.51</w:t>
                  </w:r>
                </w:p>
              </w:tc>
              <w:tc>
                <w:tcPr>
                  <w:tcW w:w="326" w:type="pct"/>
                  <w:vMerge w:val="restar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695.54</w:t>
                  </w:r>
                </w:p>
              </w:tc>
              <w:tc>
                <w:tcPr>
                  <w:tcW w:w="326" w:type="pct"/>
                  <w:vMerge w:val="restar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1</w:t>
                  </w:r>
                </w:p>
              </w:tc>
              <w:tc>
                <w:tcPr>
                  <w:tcW w:w="380"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19.91</w:t>
                  </w:r>
                </w:p>
              </w:tc>
              <w:tc>
                <w:tcPr>
                  <w:tcW w:w="433"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57.78</w:t>
                  </w:r>
                </w:p>
              </w:tc>
              <w:tc>
                <w:tcPr>
                  <w:tcW w:w="326" w:type="pct"/>
                  <w:vMerge w:val="restart"/>
                  <w:vAlign w:val="center"/>
                </w:tcPr>
                <w:p>
                  <w:pPr>
                    <w:adjustRightInd w:val="0"/>
                    <w:snapToGrid w:val="0"/>
                    <w:spacing w:line="240" w:lineRule="auto"/>
                    <w:ind w:firstLine="0" w:firstLineChars="0"/>
                    <w:jc w:val="center"/>
                    <w:rPr>
                      <w:sz w:val="21"/>
                      <w:szCs w:val="21"/>
                    </w:rPr>
                  </w:pPr>
                  <w:r>
                    <w:rPr>
                      <w:rFonts w:hint="eastAsia"/>
                      <w:sz w:val="21"/>
                      <w:szCs w:val="21"/>
                      <w:lang w:val="zh-CN"/>
                    </w:rPr>
                    <w:t>昼间</w:t>
                  </w:r>
                </w:p>
              </w:tc>
              <w:tc>
                <w:tcPr>
                  <w:tcW w:w="487" w:type="pct"/>
                  <w:vMerge w:val="restart"/>
                  <w:vAlign w:val="center"/>
                </w:tcPr>
                <w:p>
                  <w:pPr>
                    <w:adjustRightInd w:val="0"/>
                    <w:snapToGrid w:val="0"/>
                    <w:spacing w:line="240" w:lineRule="auto"/>
                    <w:ind w:firstLine="0" w:firstLineChars="0"/>
                    <w:jc w:val="center"/>
                    <w:rPr>
                      <w:rFonts w:eastAsia="等线"/>
                      <w:sz w:val="21"/>
                      <w:szCs w:val="21"/>
                    </w:rPr>
                  </w:pPr>
                  <w:r>
                    <w:rPr>
                      <w:rFonts w:hint="eastAsia" w:eastAsia="等线"/>
                      <w:sz w:val="21"/>
                      <w:szCs w:val="21"/>
                    </w:rPr>
                    <w:t>26</w:t>
                  </w:r>
                </w:p>
              </w:tc>
              <w:tc>
                <w:tcPr>
                  <w:tcW w:w="488"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31.78</w:t>
                  </w:r>
                </w:p>
              </w:tc>
              <w:tc>
                <w:tcPr>
                  <w:tcW w:w="431" w:type="pct"/>
                  <w:vAlign w:val="center"/>
                </w:tcPr>
                <w:p>
                  <w:pPr>
                    <w:spacing w:line="240" w:lineRule="auto"/>
                    <w:ind w:firstLine="0" w:firstLineChars="0"/>
                    <w:jc w:val="center"/>
                    <w:rPr>
                      <w:rFonts w:eastAsia="等线"/>
                      <w:sz w:val="21"/>
                      <w:szCs w:val="21"/>
                    </w:rPr>
                  </w:pPr>
                  <w:r>
                    <w:rPr>
                      <w:rFonts w:eastAsia="等线"/>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175" w:type="pct"/>
                  <w:vMerge w:val="continue"/>
                  <w:vAlign w:val="center"/>
                </w:tcPr>
                <w:p>
                  <w:pPr>
                    <w:widowControl/>
                    <w:spacing w:line="240" w:lineRule="auto"/>
                    <w:ind w:firstLine="0" w:firstLineChars="0"/>
                    <w:jc w:val="center"/>
                    <w:rPr>
                      <w:sz w:val="21"/>
                      <w:szCs w:val="21"/>
                      <w:u w:color="000000"/>
                    </w:rPr>
                  </w:pPr>
                </w:p>
              </w:tc>
              <w:tc>
                <w:tcPr>
                  <w:tcW w:w="271" w:type="pct"/>
                  <w:vMerge w:val="continue"/>
                  <w:vAlign w:val="center"/>
                </w:tcPr>
                <w:p>
                  <w:pPr>
                    <w:widowControl/>
                    <w:spacing w:line="240" w:lineRule="auto"/>
                    <w:ind w:firstLine="0" w:firstLineChars="0"/>
                    <w:jc w:val="center"/>
                    <w:rPr>
                      <w:sz w:val="21"/>
                      <w:szCs w:val="21"/>
                      <w:u w:color="000000"/>
                    </w:rPr>
                  </w:pPr>
                </w:p>
              </w:tc>
              <w:tc>
                <w:tcPr>
                  <w:tcW w:w="325" w:type="pct"/>
                  <w:vMerge w:val="continue"/>
                  <w:vAlign w:val="center"/>
                </w:tcPr>
                <w:p>
                  <w:pPr>
                    <w:widowControl/>
                    <w:spacing w:line="240" w:lineRule="auto"/>
                    <w:ind w:firstLine="0" w:firstLineChars="0"/>
                    <w:jc w:val="center"/>
                    <w:rPr>
                      <w:sz w:val="21"/>
                      <w:szCs w:val="21"/>
                      <w:u w:color="000000"/>
                    </w:rPr>
                  </w:pPr>
                </w:p>
              </w:tc>
              <w:tc>
                <w:tcPr>
                  <w:tcW w:w="380" w:type="pct"/>
                  <w:vMerge w:val="continue"/>
                  <w:vAlign w:val="center"/>
                </w:tcPr>
                <w:p>
                  <w:pPr>
                    <w:pStyle w:val="37"/>
                    <w:rPr>
                      <w:szCs w:val="21"/>
                    </w:rPr>
                  </w:pPr>
                </w:p>
              </w:tc>
              <w:tc>
                <w:tcPr>
                  <w:tcW w:w="380" w:type="pct"/>
                  <w:vMerge w:val="continue"/>
                  <w:vAlign w:val="center"/>
                </w:tcPr>
                <w:p>
                  <w:pPr>
                    <w:adjustRightInd w:val="0"/>
                    <w:snapToGrid w:val="0"/>
                    <w:spacing w:line="240" w:lineRule="auto"/>
                    <w:ind w:firstLine="0" w:firstLineChars="0"/>
                    <w:jc w:val="center"/>
                    <w:rPr>
                      <w:sz w:val="21"/>
                      <w:szCs w:val="21"/>
                    </w:rPr>
                  </w:pPr>
                </w:p>
              </w:tc>
              <w:tc>
                <w:tcPr>
                  <w:tcW w:w="271" w:type="pct"/>
                  <w:vMerge w:val="continue"/>
                  <w:vAlign w:val="center"/>
                </w:tcPr>
                <w:p>
                  <w:pPr>
                    <w:spacing w:line="240" w:lineRule="auto"/>
                    <w:ind w:firstLine="0" w:firstLineChars="0"/>
                    <w:jc w:val="center"/>
                    <w:rPr>
                      <w:rFonts w:eastAsia="等线"/>
                      <w:sz w:val="21"/>
                      <w:szCs w:val="21"/>
                    </w:rPr>
                  </w:pPr>
                </w:p>
              </w:tc>
              <w:tc>
                <w:tcPr>
                  <w:tcW w:w="326" w:type="pct"/>
                  <w:vMerge w:val="continue"/>
                  <w:vAlign w:val="center"/>
                </w:tcPr>
                <w:p>
                  <w:pPr>
                    <w:spacing w:line="240" w:lineRule="auto"/>
                    <w:ind w:firstLine="0" w:firstLineChars="0"/>
                    <w:jc w:val="center"/>
                    <w:rPr>
                      <w:rFonts w:eastAsia="等线"/>
                      <w:sz w:val="21"/>
                      <w:szCs w:val="21"/>
                    </w:rPr>
                  </w:pPr>
                </w:p>
              </w:tc>
              <w:tc>
                <w:tcPr>
                  <w:tcW w:w="326" w:type="pct"/>
                  <w:vMerge w:val="continue"/>
                  <w:vAlign w:val="center"/>
                </w:tcPr>
                <w:p>
                  <w:pPr>
                    <w:spacing w:line="240" w:lineRule="auto"/>
                    <w:ind w:firstLine="0" w:firstLineChars="0"/>
                    <w:jc w:val="center"/>
                    <w:rPr>
                      <w:rFonts w:eastAsia="等线"/>
                      <w:sz w:val="21"/>
                      <w:szCs w:val="21"/>
                    </w:rPr>
                  </w:pPr>
                </w:p>
              </w:tc>
              <w:tc>
                <w:tcPr>
                  <w:tcW w:w="380"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14.44</w:t>
                  </w:r>
                </w:p>
              </w:tc>
              <w:tc>
                <w:tcPr>
                  <w:tcW w:w="433"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57.78</w:t>
                  </w:r>
                </w:p>
              </w:tc>
              <w:tc>
                <w:tcPr>
                  <w:tcW w:w="326" w:type="pct"/>
                  <w:vMerge w:val="continue"/>
                  <w:vAlign w:val="center"/>
                </w:tcPr>
                <w:p>
                  <w:pPr>
                    <w:adjustRightInd w:val="0"/>
                    <w:snapToGrid w:val="0"/>
                    <w:spacing w:line="240" w:lineRule="auto"/>
                    <w:ind w:firstLine="0" w:firstLineChars="0"/>
                    <w:jc w:val="center"/>
                    <w:rPr>
                      <w:sz w:val="21"/>
                      <w:szCs w:val="21"/>
                    </w:rPr>
                  </w:pPr>
                </w:p>
              </w:tc>
              <w:tc>
                <w:tcPr>
                  <w:tcW w:w="487" w:type="pct"/>
                  <w:vMerge w:val="continue"/>
                  <w:vAlign w:val="center"/>
                </w:tcPr>
                <w:p>
                  <w:pPr>
                    <w:spacing w:line="240" w:lineRule="auto"/>
                    <w:ind w:firstLine="0" w:firstLineChars="0"/>
                    <w:jc w:val="center"/>
                    <w:rPr>
                      <w:rFonts w:eastAsia="等线"/>
                      <w:sz w:val="21"/>
                      <w:szCs w:val="21"/>
                    </w:rPr>
                  </w:pPr>
                </w:p>
              </w:tc>
              <w:tc>
                <w:tcPr>
                  <w:tcW w:w="488"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31.78</w:t>
                  </w:r>
                </w:p>
              </w:tc>
              <w:tc>
                <w:tcPr>
                  <w:tcW w:w="431" w:type="pct"/>
                  <w:vAlign w:val="center"/>
                </w:tcPr>
                <w:p>
                  <w:pPr>
                    <w:spacing w:line="240" w:lineRule="auto"/>
                    <w:ind w:firstLine="0" w:firstLineChars="0"/>
                    <w:jc w:val="center"/>
                    <w:rPr>
                      <w:rFonts w:eastAsia="等线"/>
                      <w:sz w:val="21"/>
                      <w:szCs w:val="21"/>
                    </w:rPr>
                  </w:pPr>
                  <w:r>
                    <w:rPr>
                      <w:rFonts w:eastAsia="等线"/>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175" w:type="pct"/>
                  <w:vMerge w:val="continue"/>
                  <w:vAlign w:val="center"/>
                </w:tcPr>
                <w:p>
                  <w:pPr>
                    <w:widowControl/>
                    <w:spacing w:line="240" w:lineRule="auto"/>
                    <w:ind w:firstLine="0" w:firstLineChars="0"/>
                    <w:jc w:val="center"/>
                    <w:rPr>
                      <w:sz w:val="21"/>
                      <w:szCs w:val="21"/>
                      <w:u w:color="000000"/>
                    </w:rPr>
                  </w:pPr>
                </w:p>
              </w:tc>
              <w:tc>
                <w:tcPr>
                  <w:tcW w:w="271" w:type="pct"/>
                  <w:vMerge w:val="continue"/>
                  <w:vAlign w:val="center"/>
                </w:tcPr>
                <w:p>
                  <w:pPr>
                    <w:widowControl/>
                    <w:spacing w:line="240" w:lineRule="auto"/>
                    <w:ind w:firstLine="0" w:firstLineChars="0"/>
                    <w:jc w:val="center"/>
                    <w:rPr>
                      <w:sz w:val="21"/>
                      <w:szCs w:val="21"/>
                      <w:u w:color="000000"/>
                    </w:rPr>
                  </w:pPr>
                </w:p>
              </w:tc>
              <w:tc>
                <w:tcPr>
                  <w:tcW w:w="325" w:type="pct"/>
                  <w:vMerge w:val="continue"/>
                  <w:vAlign w:val="center"/>
                </w:tcPr>
                <w:p>
                  <w:pPr>
                    <w:widowControl/>
                    <w:spacing w:line="240" w:lineRule="auto"/>
                    <w:ind w:firstLine="0" w:firstLineChars="0"/>
                    <w:jc w:val="center"/>
                    <w:rPr>
                      <w:sz w:val="21"/>
                      <w:szCs w:val="21"/>
                      <w:u w:color="000000"/>
                    </w:rPr>
                  </w:pPr>
                </w:p>
              </w:tc>
              <w:tc>
                <w:tcPr>
                  <w:tcW w:w="380" w:type="pct"/>
                  <w:vMerge w:val="continue"/>
                  <w:vAlign w:val="center"/>
                </w:tcPr>
                <w:p>
                  <w:pPr>
                    <w:pStyle w:val="37"/>
                    <w:rPr>
                      <w:szCs w:val="21"/>
                    </w:rPr>
                  </w:pPr>
                </w:p>
              </w:tc>
              <w:tc>
                <w:tcPr>
                  <w:tcW w:w="380" w:type="pct"/>
                  <w:vMerge w:val="continue"/>
                  <w:vAlign w:val="center"/>
                </w:tcPr>
                <w:p>
                  <w:pPr>
                    <w:adjustRightInd w:val="0"/>
                    <w:snapToGrid w:val="0"/>
                    <w:spacing w:line="240" w:lineRule="auto"/>
                    <w:ind w:firstLine="0" w:firstLineChars="0"/>
                    <w:jc w:val="center"/>
                    <w:rPr>
                      <w:sz w:val="21"/>
                      <w:szCs w:val="21"/>
                    </w:rPr>
                  </w:pPr>
                </w:p>
              </w:tc>
              <w:tc>
                <w:tcPr>
                  <w:tcW w:w="271" w:type="pct"/>
                  <w:vMerge w:val="continue"/>
                  <w:vAlign w:val="center"/>
                </w:tcPr>
                <w:p>
                  <w:pPr>
                    <w:spacing w:line="240" w:lineRule="auto"/>
                    <w:ind w:firstLine="0" w:firstLineChars="0"/>
                    <w:jc w:val="center"/>
                    <w:rPr>
                      <w:rFonts w:eastAsia="等线"/>
                      <w:sz w:val="21"/>
                      <w:szCs w:val="21"/>
                    </w:rPr>
                  </w:pPr>
                </w:p>
              </w:tc>
              <w:tc>
                <w:tcPr>
                  <w:tcW w:w="326" w:type="pct"/>
                  <w:vMerge w:val="continue"/>
                  <w:vAlign w:val="center"/>
                </w:tcPr>
                <w:p>
                  <w:pPr>
                    <w:spacing w:line="240" w:lineRule="auto"/>
                    <w:ind w:firstLine="0" w:firstLineChars="0"/>
                    <w:jc w:val="center"/>
                    <w:rPr>
                      <w:rFonts w:eastAsia="等线"/>
                      <w:sz w:val="21"/>
                      <w:szCs w:val="21"/>
                    </w:rPr>
                  </w:pPr>
                </w:p>
              </w:tc>
              <w:tc>
                <w:tcPr>
                  <w:tcW w:w="326" w:type="pct"/>
                  <w:vMerge w:val="continue"/>
                  <w:vAlign w:val="center"/>
                </w:tcPr>
                <w:p>
                  <w:pPr>
                    <w:spacing w:line="240" w:lineRule="auto"/>
                    <w:ind w:firstLine="0" w:firstLineChars="0"/>
                    <w:jc w:val="center"/>
                    <w:rPr>
                      <w:rFonts w:eastAsia="等线"/>
                      <w:sz w:val="21"/>
                      <w:szCs w:val="21"/>
                    </w:rPr>
                  </w:pPr>
                </w:p>
              </w:tc>
              <w:tc>
                <w:tcPr>
                  <w:tcW w:w="380"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33.85</w:t>
                  </w:r>
                </w:p>
              </w:tc>
              <w:tc>
                <w:tcPr>
                  <w:tcW w:w="433"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57.77</w:t>
                  </w:r>
                </w:p>
              </w:tc>
              <w:tc>
                <w:tcPr>
                  <w:tcW w:w="326" w:type="pct"/>
                  <w:vMerge w:val="continue"/>
                  <w:vAlign w:val="center"/>
                </w:tcPr>
                <w:p>
                  <w:pPr>
                    <w:adjustRightInd w:val="0"/>
                    <w:snapToGrid w:val="0"/>
                    <w:spacing w:line="240" w:lineRule="auto"/>
                    <w:ind w:firstLine="0" w:firstLineChars="0"/>
                    <w:jc w:val="center"/>
                    <w:rPr>
                      <w:sz w:val="21"/>
                      <w:szCs w:val="21"/>
                    </w:rPr>
                  </w:pPr>
                </w:p>
              </w:tc>
              <w:tc>
                <w:tcPr>
                  <w:tcW w:w="487" w:type="pct"/>
                  <w:vMerge w:val="continue"/>
                  <w:vAlign w:val="center"/>
                </w:tcPr>
                <w:p>
                  <w:pPr>
                    <w:spacing w:line="240" w:lineRule="auto"/>
                    <w:ind w:firstLine="0" w:firstLineChars="0"/>
                    <w:jc w:val="center"/>
                    <w:rPr>
                      <w:rFonts w:eastAsia="等线"/>
                      <w:sz w:val="21"/>
                      <w:szCs w:val="21"/>
                    </w:rPr>
                  </w:pPr>
                </w:p>
              </w:tc>
              <w:tc>
                <w:tcPr>
                  <w:tcW w:w="488"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31.77</w:t>
                  </w:r>
                </w:p>
              </w:tc>
              <w:tc>
                <w:tcPr>
                  <w:tcW w:w="431" w:type="pct"/>
                  <w:vAlign w:val="center"/>
                </w:tcPr>
                <w:p>
                  <w:pPr>
                    <w:spacing w:line="240" w:lineRule="auto"/>
                    <w:ind w:firstLine="0" w:firstLineChars="0"/>
                    <w:jc w:val="center"/>
                    <w:rPr>
                      <w:rFonts w:eastAsia="等线"/>
                      <w:sz w:val="21"/>
                      <w:szCs w:val="21"/>
                    </w:rPr>
                  </w:pPr>
                  <w:r>
                    <w:rPr>
                      <w:rFonts w:hint="eastAsia" w:eastAsia="等线"/>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175" w:type="pct"/>
                  <w:vMerge w:val="continue"/>
                  <w:vAlign w:val="center"/>
                </w:tcPr>
                <w:p>
                  <w:pPr>
                    <w:widowControl/>
                    <w:spacing w:line="240" w:lineRule="auto"/>
                    <w:ind w:firstLine="0" w:firstLineChars="0"/>
                    <w:jc w:val="center"/>
                    <w:rPr>
                      <w:sz w:val="21"/>
                      <w:szCs w:val="21"/>
                      <w:u w:color="000000"/>
                    </w:rPr>
                  </w:pPr>
                </w:p>
              </w:tc>
              <w:tc>
                <w:tcPr>
                  <w:tcW w:w="271" w:type="pct"/>
                  <w:vMerge w:val="continue"/>
                  <w:vAlign w:val="center"/>
                </w:tcPr>
                <w:p>
                  <w:pPr>
                    <w:widowControl/>
                    <w:spacing w:line="240" w:lineRule="auto"/>
                    <w:ind w:firstLine="0" w:firstLineChars="0"/>
                    <w:jc w:val="center"/>
                    <w:rPr>
                      <w:sz w:val="21"/>
                      <w:szCs w:val="21"/>
                      <w:u w:color="000000"/>
                    </w:rPr>
                  </w:pPr>
                </w:p>
              </w:tc>
              <w:tc>
                <w:tcPr>
                  <w:tcW w:w="325" w:type="pct"/>
                  <w:vMerge w:val="continue"/>
                  <w:vAlign w:val="center"/>
                </w:tcPr>
                <w:p>
                  <w:pPr>
                    <w:widowControl/>
                    <w:spacing w:line="240" w:lineRule="auto"/>
                    <w:ind w:firstLine="0" w:firstLineChars="0"/>
                    <w:jc w:val="center"/>
                    <w:rPr>
                      <w:sz w:val="21"/>
                      <w:szCs w:val="21"/>
                      <w:u w:color="000000"/>
                    </w:rPr>
                  </w:pPr>
                </w:p>
              </w:tc>
              <w:tc>
                <w:tcPr>
                  <w:tcW w:w="380" w:type="pct"/>
                  <w:vMerge w:val="continue"/>
                  <w:vAlign w:val="center"/>
                </w:tcPr>
                <w:p>
                  <w:pPr>
                    <w:pStyle w:val="37"/>
                    <w:rPr>
                      <w:szCs w:val="21"/>
                    </w:rPr>
                  </w:pPr>
                </w:p>
              </w:tc>
              <w:tc>
                <w:tcPr>
                  <w:tcW w:w="380" w:type="pct"/>
                  <w:vMerge w:val="continue"/>
                  <w:vAlign w:val="center"/>
                </w:tcPr>
                <w:p>
                  <w:pPr>
                    <w:adjustRightInd w:val="0"/>
                    <w:snapToGrid w:val="0"/>
                    <w:spacing w:line="240" w:lineRule="auto"/>
                    <w:ind w:firstLine="0" w:firstLineChars="0"/>
                    <w:jc w:val="center"/>
                    <w:rPr>
                      <w:sz w:val="21"/>
                      <w:szCs w:val="21"/>
                    </w:rPr>
                  </w:pPr>
                </w:p>
              </w:tc>
              <w:tc>
                <w:tcPr>
                  <w:tcW w:w="271" w:type="pct"/>
                  <w:vMerge w:val="continue"/>
                  <w:vAlign w:val="center"/>
                </w:tcPr>
                <w:p>
                  <w:pPr>
                    <w:spacing w:line="240" w:lineRule="auto"/>
                    <w:ind w:firstLine="0" w:firstLineChars="0"/>
                    <w:jc w:val="center"/>
                    <w:rPr>
                      <w:rFonts w:eastAsia="等线"/>
                      <w:sz w:val="21"/>
                      <w:szCs w:val="21"/>
                    </w:rPr>
                  </w:pPr>
                </w:p>
              </w:tc>
              <w:tc>
                <w:tcPr>
                  <w:tcW w:w="326" w:type="pct"/>
                  <w:vMerge w:val="continue"/>
                  <w:vAlign w:val="center"/>
                </w:tcPr>
                <w:p>
                  <w:pPr>
                    <w:spacing w:line="240" w:lineRule="auto"/>
                    <w:ind w:firstLine="0" w:firstLineChars="0"/>
                    <w:jc w:val="center"/>
                    <w:rPr>
                      <w:rFonts w:eastAsia="等线"/>
                      <w:sz w:val="21"/>
                      <w:szCs w:val="21"/>
                    </w:rPr>
                  </w:pPr>
                </w:p>
              </w:tc>
              <w:tc>
                <w:tcPr>
                  <w:tcW w:w="326" w:type="pct"/>
                  <w:vMerge w:val="continue"/>
                  <w:vAlign w:val="center"/>
                </w:tcPr>
                <w:p>
                  <w:pPr>
                    <w:spacing w:line="240" w:lineRule="auto"/>
                    <w:ind w:firstLine="0" w:firstLineChars="0"/>
                    <w:jc w:val="center"/>
                    <w:rPr>
                      <w:rFonts w:eastAsia="等线"/>
                      <w:sz w:val="21"/>
                      <w:szCs w:val="21"/>
                    </w:rPr>
                  </w:pPr>
                </w:p>
              </w:tc>
              <w:tc>
                <w:tcPr>
                  <w:tcW w:w="380"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26.4</w:t>
                  </w:r>
                </w:p>
              </w:tc>
              <w:tc>
                <w:tcPr>
                  <w:tcW w:w="433"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57.77</w:t>
                  </w:r>
                </w:p>
              </w:tc>
              <w:tc>
                <w:tcPr>
                  <w:tcW w:w="326" w:type="pct"/>
                  <w:vMerge w:val="continue"/>
                  <w:vAlign w:val="center"/>
                </w:tcPr>
                <w:p>
                  <w:pPr>
                    <w:adjustRightInd w:val="0"/>
                    <w:snapToGrid w:val="0"/>
                    <w:spacing w:line="240" w:lineRule="auto"/>
                    <w:ind w:firstLine="0" w:firstLineChars="0"/>
                    <w:jc w:val="center"/>
                    <w:rPr>
                      <w:sz w:val="21"/>
                      <w:szCs w:val="21"/>
                    </w:rPr>
                  </w:pPr>
                </w:p>
              </w:tc>
              <w:tc>
                <w:tcPr>
                  <w:tcW w:w="487" w:type="pct"/>
                  <w:vMerge w:val="continue"/>
                  <w:vAlign w:val="center"/>
                </w:tcPr>
                <w:p>
                  <w:pPr>
                    <w:spacing w:line="240" w:lineRule="auto"/>
                    <w:ind w:firstLine="0" w:firstLineChars="0"/>
                    <w:jc w:val="center"/>
                    <w:rPr>
                      <w:rFonts w:eastAsia="等线"/>
                      <w:sz w:val="21"/>
                      <w:szCs w:val="21"/>
                    </w:rPr>
                  </w:pPr>
                </w:p>
              </w:tc>
              <w:tc>
                <w:tcPr>
                  <w:tcW w:w="488"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31.77</w:t>
                  </w:r>
                </w:p>
              </w:tc>
              <w:tc>
                <w:tcPr>
                  <w:tcW w:w="431" w:type="pct"/>
                  <w:vAlign w:val="center"/>
                </w:tcPr>
                <w:p>
                  <w:pPr>
                    <w:spacing w:line="240" w:lineRule="auto"/>
                    <w:ind w:firstLine="0" w:firstLineChars="0"/>
                    <w:jc w:val="center"/>
                    <w:rPr>
                      <w:rFonts w:eastAsia="等线"/>
                      <w:sz w:val="21"/>
                      <w:szCs w:val="21"/>
                    </w:rPr>
                  </w:pPr>
                  <w:r>
                    <w:rPr>
                      <w:rFonts w:eastAsia="等线"/>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175" w:type="pct"/>
                  <w:vMerge w:val="continue"/>
                  <w:vAlign w:val="center"/>
                </w:tcPr>
                <w:p>
                  <w:pPr>
                    <w:widowControl/>
                    <w:spacing w:line="240" w:lineRule="auto"/>
                    <w:ind w:firstLine="0" w:firstLineChars="0"/>
                    <w:jc w:val="center"/>
                    <w:rPr>
                      <w:sz w:val="21"/>
                      <w:szCs w:val="21"/>
                      <w:u w:color="000000"/>
                    </w:rPr>
                  </w:pPr>
                </w:p>
              </w:tc>
              <w:tc>
                <w:tcPr>
                  <w:tcW w:w="271" w:type="pct"/>
                  <w:vMerge w:val="continue"/>
                  <w:vAlign w:val="center"/>
                </w:tcPr>
                <w:p>
                  <w:pPr>
                    <w:widowControl/>
                    <w:spacing w:line="240" w:lineRule="auto"/>
                    <w:ind w:firstLine="0" w:firstLineChars="0"/>
                    <w:jc w:val="center"/>
                    <w:rPr>
                      <w:sz w:val="21"/>
                      <w:szCs w:val="21"/>
                      <w:u w:color="000000"/>
                    </w:rPr>
                  </w:pPr>
                </w:p>
              </w:tc>
              <w:tc>
                <w:tcPr>
                  <w:tcW w:w="325" w:type="pct"/>
                  <w:vMerge w:val="continue"/>
                  <w:vAlign w:val="center"/>
                </w:tcPr>
                <w:p>
                  <w:pPr>
                    <w:widowControl/>
                    <w:spacing w:line="240" w:lineRule="auto"/>
                    <w:ind w:firstLine="0" w:firstLineChars="0"/>
                    <w:jc w:val="center"/>
                    <w:rPr>
                      <w:sz w:val="21"/>
                      <w:szCs w:val="21"/>
                      <w:u w:color="000000"/>
                    </w:rPr>
                  </w:pPr>
                </w:p>
              </w:tc>
              <w:tc>
                <w:tcPr>
                  <w:tcW w:w="380" w:type="pct"/>
                  <w:vMerge w:val="continue"/>
                  <w:vAlign w:val="center"/>
                </w:tcPr>
                <w:p>
                  <w:pPr>
                    <w:pStyle w:val="37"/>
                    <w:rPr>
                      <w:szCs w:val="21"/>
                    </w:rPr>
                  </w:pPr>
                </w:p>
              </w:tc>
              <w:tc>
                <w:tcPr>
                  <w:tcW w:w="380" w:type="pct"/>
                  <w:vMerge w:val="continue"/>
                  <w:vAlign w:val="center"/>
                </w:tcPr>
                <w:p>
                  <w:pPr>
                    <w:adjustRightInd w:val="0"/>
                    <w:snapToGrid w:val="0"/>
                    <w:spacing w:line="240" w:lineRule="auto"/>
                    <w:ind w:firstLine="0" w:firstLineChars="0"/>
                    <w:jc w:val="center"/>
                    <w:rPr>
                      <w:sz w:val="21"/>
                      <w:szCs w:val="21"/>
                    </w:rPr>
                  </w:pPr>
                </w:p>
              </w:tc>
              <w:tc>
                <w:tcPr>
                  <w:tcW w:w="271" w:type="pct"/>
                  <w:vMerge w:val="continue"/>
                  <w:vAlign w:val="center"/>
                </w:tcPr>
                <w:p>
                  <w:pPr>
                    <w:spacing w:line="240" w:lineRule="auto"/>
                    <w:ind w:firstLine="0" w:firstLineChars="0"/>
                    <w:jc w:val="center"/>
                    <w:rPr>
                      <w:rFonts w:eastAsia="等线"/>
                      <w:sz w:val="21"/>
                      <w:szCs w:val="21"/>
                    </w:rPr>
                  </w:pPr>
                </w:p>
              </w:tc>
              <w:tc>
                <w:tcPr>
                  <w:tcW w:w="326" w:type="pct"/>
                  <w:vMerge w:val="continue"/>
                  <w:vAlign w:val="center"/>
                </w:tcPr>
                <w:p>
                  <w:pPr>
                    <w:spacing w:line="240" w:lineRule="auto"/>
                    <w:ind w:firstLine="0" w:firstLineChars="0"/>
                    <w:jc w:val="center"/>
                    <w:rPr>
                      <w:rFonts w:eastAsia="等线"/>
                      <w:sz w:val="21"/>
                      <w:szCs w:val="21"/>
                    </w:rPr>
                  </w:pPr>
                </w:p>
              </w:tc>
              <w:tc>
                <w:tcPr>
                  <w:tcW w:w="326" w:type="pct"/>
                  <w:vMerge w:val="continue"/>
                  <w:vAlign w:val="center"/>
                </w:tcPr>
                <w:p>
                  <w:pPr>
                    <w:spacing w:line="240" w:lineRule="auto"/>
                    <w:ind w:firstLine="0" w:firstLineChars="0"/>
                    <w:jc w:val="center"/>
                    <w:rPr>
                      <w:rFonts w:eastAsia="等线"/>
                      <w:sz w:val="21"/>
                      <w:szCs w:val="21"/>
                    </w:rPr>
                  </w:pPr>
                </w:p>
              </w:tc>
              <w:tc>
                <w:tcPr>
                  <w:tcW w:w="380"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24.91</w:t>
                  </w:r>
                </w:p>
              </w:tc>
              <w:tc>
                <w:tcPr>
                  <w:tcW w:w="433"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57.77</w:t>
                  </w:r>
                </w:p>
              </w:tc>
              <w:tc>
                <w:tcPr>
                  <w:tcW w:w="326" w:type="pct"/>
                  <w:vMerge w:val="continue"/>
                  <w:vAlign w:val="center"/>
                </w:tcPr>
                <w:p>
                  <w:pPr>
                    <w:adjustRightInd w:val="0"/>
                    <w:snapToGrid w:val="0"/>
                    <w:spacing w:line="240" w:lineRule="auto"/>
                    <w:ind w:firstLine="0" w:firstLineChars="0"/>
                    <w:jc w:val="center"/>
                    <w:rPr>
                      <w:sz w:val="21"/>
                      <w:szCs w:val="21"/>
                    </w:rPr>
                  </w:pPr>
                </w:p>
              </w:tc>
              <w:tc>
                <w:tcPr>
                  <w:tcW w:w="487" w:type="pct"/>
                  <w:vMerge w:val="continue"/>
                  <w:vAlign w:val="center"/>
                </w:tcPr>
                <w:p>
                  <w:pPr>
                    <w:spacing w:line="240" w:lineRule="auto"/>
                    <w:ind w:firstLine="0" w:firstLineChars="0"/>
                    <w:jc w:val="center"/>
                    <w:rPr>
                      <w:rFonts w:eastAsia="等线"/>
                      <w:sz w:val="21"/>
                      <w:szCs w:val="21"/>
                    </w:rPr>
                  </w:pPr>
                </w:p>
              </w:tc>
              <w:tc>
                <w:tcPr>
                  <w:tcW w:w="488"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31.77</w:t>
                  </w:r>
                </w:p>
              </w:tc>
              <w:tc>
                <w:tcPr>
                  <w:tcW w:w="431" w:type="pct"/>
                  <w:vAlign w:val="center"/>
                </w:tcPr>
                <w:p>
                  <w:pPr>
                    <w:spacing w:line="240" w:lineRule="auto"/>
                    <w:ind w:firstLine="0" w:firstLineChars="0"/>
                    <w:jc w:val="center"/>
                    <w:rPr>
                      <w:rFonts w:eastAsia="等线"/>
                      <w:sz w:val="21"/>
                      <w:szCs w:val="21"/>
                    </w:rPr>
                  </w:pPr>
                  <w:r>
                    <w:rPr>
                      <w:rFonts w:eastAsia="等线"/>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175" w:type="pct"/>
                  <w:vMerge w:val="restart"/>
                  <w:vAlign w:val="center"/>
                </w:tcPr>
                <w:p>
                  <w:pPr>
                    <w:widowControl/>
                    <w:spacing w:line="240" w:lineRule="auto"/>
                    <w:ind w:firstLine="0" w:firstLineChars="0"/>
                    <w:jc w:val="center"/>
                    <w:rPr>
                      <w:sz w:val="21"/>
                      <w:szCs w:val="21"/>
                      <w:u w:color="000000"/>
                    </w:rPr>
                  </w:pPr>
                  <w:r>
                    <w:rPr>
                      <w:sz w:val="21"/>
                      <w:szCs w:val="21"/>
                    </w:rPr>
                    <w:t>2</w:t>
                  </w:r>
                </w:p>
              </w:tc>
              <w:tc>
                <w:tcPr>
                  <w:tcW w:w="271" w:type="pct"/>
                  <w:vMerge w:val="continue"/>
                  <w:vAlign w:val="center"/>
                </w:tcPr>
                <w:p>
                  <w:pPr>
                    <w:widowControl/>
                    <w:spacing w:line="240" w:lineRule="auto"/>
                    <w:ind w:firstLine="0" w:firstLineChars="0"/>
                    <w:jc w:val="center"/>
                    <w:rPr>
                      <w:sz w:val="21"/>
                      <w:szCs w:val="21"/>
                      <w:u w:color="000000"/>
                    </w:rPr>
                  </w:pPr>
                </w:p>
              </w:tc>
              <w:tc>
                <w:tcPr>
                  <w:tcW w:w="325" w:type="pct"/>
                  <w:vMerge w:val="restart"/>
                  <w:vAlign w:val="center"/>
                </w:tcPr>
                <w:p>
                  <w:pPr>
                    <w:widowControl/>
                    <w:spacing w:line="240" w:lineRule="auto"/>
                    <w:ind w:firstLine="0" w:firstLineChars="0"/>
                    <w:jc w:val="center"/>
                    <w:rPr>
                      <w:sz w:val="21"/>
                      <w:szCs w:val="21"/>
                      <w:u w:color="000000"/>
                    </w:rPr>
                  </w:pPr>
                  <w:r>
                    <w:rPr>
                      <w:rFonts w:hint="eastAsia"/>
                      <w:sz w:val="21"/>
                      <w:szCs w:val="21"/>
                      <w:u w:color="000000"/>
                    </w:rPr>
                    <w:t>离心机</w:t>
                  </w:r>
                </w:p>
              </w:tc>
              <w:tc>
                <w:tcPr>
                  <w:tcW w:w="380" w:type="pct"/>
                  <w:vMerge w:val="restart"/>
                  <w:vAlign w:val="center"/>
                </w:tcPr>
                <w:p>
                  <w:pPr>
                    <w:pStyle w:val="37"/>
                    <w:rPr>
                      <w:szCs w:val="21"/>
                    </w:rPr>
                  </w:pPr>
                  <w:r>
                    <w:rPr>
                      <w:rFonts w:hint="eastAsia"/>
                      <w:szCs w:val="21"/>
                    </w:rPr>
                    <w:t>65</w:t>
                  </w:r>
                </w:p>
              </w:tc>
              <w:tc>
                <w:tcPr>
                  <w:tcW w:w="380" w:type="pct"/>
                  <w:vMerge w:val="continue"/>
                  <w:vAlign w:val="center"/>
                </w:tcPr>
                <w:p>
                  <w:pPr>
                    <w:adjustRightInd w:val="0"/>
                    <w:snapToGrid w:val="0"/>
                    <w:spacing w:line="240" w:lineRule="auto"/>
                    <w:ind w:firstLine="0" w:firstLineChars="0"/>
                    <w:jc w:val="center"/>
                    <w:rPr>
                      <w:sz w:val="21"/>
                      <w:szCs w:val="21"/>
                    </w:rPr>
                  </w:pPr>
                </w:p>
              </w:tc>
              <w:tc>
                <w:tcPr>
                  <w:tcW w:w="271" w:type="pct"/>
                  <w:vMerge w:val="restar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728.46</w:t>
                  </w:r>
                </w:p>
              </w:tc>
              <w:tc>
                <w:tcPr>
                  <w:tcW w:w="326" w:type="pct"/>
                  <w:vMerge w:val="restar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677.57</w:t>
                  </w:r>
                </w:p>
              </w:tc>
              <w:tc>
                <w:tcPr>
                  <w:tcW w:w="326" w:type="pct"/>
                  <w:vMerge w:val="restar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1</w:t>
                  </w:r>
                </w:p>
              </w:tc>
              <w:tc>
                <w:tcPr>
                  <w:tcW w:w="380"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37.88</w:t>
                  </w:r>
                </w:p>
              </w:tc>
              <w:tc>
                <w:tcPr>
                  <w:tcW w:w="433"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57.77</w:t>
                  </w:r>
                </w:p>
              </w:tc>
              <w:tc>
                <w:tcPr>
                  <w:tcW w:w="326" w:type="pct"/>
                  <w:vMerge w:val="restart"/>
                  <w:vAlign w:val="center"/>
                </w:tcPr>
                <w:p>
                  <w:pPr>
                    <w:adjustRightInd w:val="0"/>
                    <w:snapToGrid w:val="0"/>
                    <w:spacing w:line="240" w:lineRule="auto"/>
                    <w:ind w:firstLine="0" w:firstLineChars="0"/>
                    <w:jc w:val="center"/>
                    <w:rPr>
                      <w:sz w:val="21"/>
                      <w:szCs w:val="21"/>
                    </w:rPr>
                  </w:pPr>
                  <w:r>
                    <w:rPr>
                      <w:rFonts w:hint="eastAsia"/>
                      <w:sz w:val="21"/>
                      <w:szCs w:val="21"/>
                      <w:lang w:val="zh-CN"/>
                    </w:rPr>
                    <w:t>昼间</w:t>
                  </w:r>
                </w:p>
              </w:tc>
              <w:tc>
                <w:tcPr>
                  <w:tcW w:w="487" w:type="pct"/>
                  <w:vMerge w:val="continue"/>
                  <w:vAlign w:val="center"/>
                </w:tcPr>
                <w:p>
                  <w:pPr>
                    <w:adjustRightInd w:val="0"/>
                    <w:snapToGrid w:val="0"/>
                    <w:spacing w:line="240" w:lineRule="auto"/>
                    <w:ind w:firstLine="0" w:firstLineChars="0"/>
                    <w:jc w:val="center"/>
                    <w:rPr>
                      <w:rFonts w:eastAsia="等线"/>
                      <w:sz w:val="21"/>
                      <w:szCs w:val="21"/>
                    </w:rPr>
                  </w:pPr>
                </w:p>
              </w:tc>
              <w:tc>
                <w:tcPr>
                  <w:tcW w:w="488"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31.77</w:t>
                  </w:r>
                </w:p>
              </w:tc>
              <w:tc>
                <w:tcPr>
                  <w:tcW w:w="431" w:type="pct"/>
                  <w:vAlign w:val="center"/>
                </w:tcPr>
                <w:p>
                  <w:pPr>
                    <w:spacing w:line="240" w:lineRule="auto"/>
                    <w:ind w:firstLine="0" w:firstLineChars="0"/>
                    <w:jc w:val="center"/>
                    <w:rPr>
                      <w:rFonts w:eastAsia="等线"/>
                      <w:sz w:val="21"/>
                      <w:szCs w:val="21"/>
                    </w:rPr>
                  </w:pPr>
                  <w:r>
                    <w:rPr>
                      <w:rFonts w:eastAsia="等线"/>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175" w:type="pct"/>
                  <w:vMerge w:val="continue"/>
                  <w:vAlign w:val="center"/>
                </w:tcPr>
                <w:p>
                  <w:pPr>
                    <w:widowControl/>
                    <w:spacing w:line="240" w:lineRule="auto"/>
                    <w:ind w:firstLine="0" w:firstLineChars="0"/>
                    <w:jc w:val="center"/>
                    <w:rPr>
                      <w:sz w:val="21"/>
                      <w:szCs w:val="21"/>
                      <w:u w:color="000000"/>
                    </w:rPr>
                  </w:pPr>
                </w:p>
              </w:tc>
              <w:tc>
                <w:tcPr>
                  <w:tcW w:w="271" w:type="pct"/>
                  <w:vMerge w:val="continue"/>
                  <w:vAlign w:val="center"/>
                </w:tcPr>
                <w:p>
                  <w:pPr>
                    <w:widowControl/>
                    <w:spacing w:line="240" w:lineRule="auto"/>
                    <w:ind w:firstLine="0" w:firstLineChars="0"/>
                    <w:jc w:val="center"/>
                    <w:rPr>
                      <w:sz w:val="21"/>
                      <w:szCs w:val="21"/>
                      <w:u w:color="000000"/>
                    </w:rPr>
                  </w:pPr>
                </w:p>
              </w:tc>
              <w:tc>
                <w:tcPr>
                  <w:tcW w:w="325" w:type="pct"/>
                  <w:vMerge w:val="continue"/>
                  <w:vAlign w:val="center"/>
                </w:tcPr>
                <w:p>
                  <w:pPr>
                    <w:widowControl/>
                    <w:spacing w:line="240" w:lineRule="auto"/>
                    <w:ind w:firstLine="0" w:firstLineChars="0"/>
                    <w:jc w:val="center"/>
                    <w:rPr>
                      <w:sz w:val="21"/>
                      <w:szCs w:val="21"/>
                      <w:u w:color="000000"/>
                    </w:rPr>
                  </w:pPr>
                </w:p>
              </w:tc>
              <w:tc>
                <w:tcPr>
                  <w:tcW w:w="380" w:type="pct"/>
                  <w:vMerge w:val="continue"/>
                  <w:vAlign w:val="center"/>
                </w:tcPr>
                <w:p>
                  <w:pPr>
                    <w:pStyle w:val="37"/>
                    <w:rPr>
                      <w:szCs w:val="21"/>
                    </w:rPr>
                  </w:pPr>
                </w:p>
              </w:tc>
              <w:tc>
                <w:tcPr>
                  <w:tcW w:w="380" w:type="pct"/>
                  <w:vMerge w:val="continue"/>
                  <w:vAlign w:val="center"/>
                </w:tcPr>
                <w:p>
                  <w:pPr>
                    <w:adjustRightInd w:val="0"/>
                    <w:snapToGrid w:val="0"/>
                    <w:spacing w:line="240" w:lineRule="auto"/>
                    <w:ind w:firstLine="0" w:firstLineChars="0"/>
                    <w:jc w:val="center"/>
                    <w:rPr>
                      <w:sz w:val="21"/>
                      <w:szCs w:val="21"/>
                    </w:rPr>
                  </w:pPr>
                </w:p>
              </w:tc>
              <w:tc>
                <w:tcPr>
                  <w:tcW w:w="271" w:type="pct"/>
                  <w:vMerge w:val="continue"/>
                  <w:vAlign w:val="center"/>
                </w:tcPr>
                <w:p>
                  <w:pPr>
                    <w:spacing w:line="240" w:lineRule="auto"/>
                    <w:ind w:firstLine="0" w:firstLineChars="0"/>
                    <w:jc w:val="center"/>
                    <w:rPr>
                      <w:rFonts w:eastAsia="等线"/>
                      <w:sz w:val="21"/>
                      <w:szCs w:val="21"/>
                    </w:rPr>
                  </w:pPr>
                </w:p>
              </w:tc>
              <w:tc>
                <w:tcPr>
                  <w:tcW w:w="326" w:type="pct"/>
                  <w:vMerge w:val="continue"/>
                  <w:vAlign w:val="center"/>
                </w:tcPr>
                <w:p>
                  <w:pPr>
                    <w:spacing w:line="240" w:lineRule="auto"/>
                    <w:ind w:firstLine="0" w:firstLineChars="0"/>
                    <w:jc w:val="center"/>
                    <w:rPr>
                      <w:rFonts w:eastAsia="等线"/>
                      <w:sz w:val="21"/>
                      <w:szCs w:val="21"/>
                    </w:rPr>
                  </w:pPr>
                </w:p>
              </w:tc>
              <w:tc>
                <w:tcPr>
                  <w:tcW w:w="326" w:type="pct"/>
                  <w:vMerge w:val="continue"/>
                  <w:vAlign w:val="center"/>
                </w:tcPr>
                <w:p>
                  <w:pPr>
                    <w:spacing w:line="240" w:lineRule="auto"/>
                    <w:ind w:firstLine="0" w:firstLineChars="0"/>
                    <w:jc w:val="center"/>
                    <w:rPr>
                      <w:rFonts w:eastAsia="等线"/>
                      <w:sz w:val="21"/>
                      <w:szCs w:val="21"/>
                    </w:rPr>
                  </w:pPr>
                </w:p>
              </w:tc>
              <w:tc>
                <w:tcPr>
                  <w:tcW w:w="380"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29.81</w:t>
                  </w:r>
                </w:p>
              </w:tc>
              <w:tc>
                <w:tcPr>
                  <w:tcW w:w="433"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57.77</w:t>
                  </w:r>
                </w:p>
              </w:tc>
              <w:tc>
                <w:tcPr>
                  <w:tcW w:w="326" w:type="pct"/>
                  <w:vMerge w:val="continue"/>
                  <w:vAlign w:val="center"/>
                </w:tcPr>
                <w:p>
                  <w:pPr>
                    <w:adjustRightInd w:val="0"/>
                    <w:snapToGrid w:val="0"/>
                    <w:spacing w:line="240" w:lineRule="auto"/>
                    <w:ind w:firstLine="0" w:firstLineChars="0"/>
                    <w:jc w:val="center"/>
                    <w:rPr>
                      <w:sz w:val="21"/>
                      <w:szCs w:val="21"/>
                    </w:rPr>
                  </w:pPr>
                </w:p>
              </w:tc>
              <w:tc>
                <w:tcPr>
                  <w:tcW w:w="487" w:type="pct"/>
                  <w:vMerge w:val="continue"/>
                  <w:vAlign w:val="center"/>
                </w:tcPr>
                <w:p>
                  <w:pPr>
                    <w:spacing w:line="240" w:lineRule="auto"/>
                    <w:ind w:firstLine="0" w:firstLineChars="0"/>
                    <w:jc w:val="center"/>
                    <w:rPr>
                      <w:rFonts w:eastAsia="等线"/>
                      <w:sz w:val="21"/>
                      <w:szCs w:val="21"/>
                    </w:rPr>
                  </w:pPr>
                </w:p>
              </w:tc>
              <w:tc>
                <w:tcPr>
                  <w:tcW w:w="488"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31.77</w:t>
                  </w:r>
                </w:p>
              </w:tc>
              <w:tc>
                <w:tcPr>
                  <w:tcW w:w="431" w:type="pct"/>
                  <w:vAlign w:val="center"/>
                </w:tcPr>
                <w:p>
                  <w:pPr>
                    <w:spacing w:line="240" w:lineRule="auto"/>
                    <w:ind w:firstLine="0" w:firstLineChars="0"/>
                    <w:jc w:val="center"/>
                    <w:rPr>
                      <w:rFonts w:eastAsia="等线"/>
                      <w:sz w:val="21"/>
                      <w:szCs w:val="21"/>
                    </w:rPr>
                  </w:pPr>
                  <w:r>
                    <w:rPr>
                      <w:rFonts w:eastAsia="等线"/>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175" w:type="pct"/>
                  <w:vMerge w:val="continue"/>
                  <w:vAlign w:val="center"/>
                </w:tcPr>
                <w:p>
                  <w:pPr>
                    <w:widowControl/>
                    <w:spacing w:line="240" w:lineRule="auto"/>
                    <w:ind w:firstLine="0" w:firstLineChars="0"/>
                    <w:jc w:val="center"/>
                    <w:rPr>
                      <w:sz w:val="21"/>
                      <w:szCs w:val="21"/>
                      <w:u w:color="000000"/>
                    </w:rPr>
                  </w:pPr>
                </w:p>
              </w:tc>
              <w:tc>
                <w:tcPr>
                  <w:tcW w:w="271" w:type="pct"/>
                  <w:vMerge w:val="continue"/>
                  <w:vAlign w:val="center"/>
                </w:tcPr>
                <w:p>
                  <w:pPr>
                    <w:widowControl/>
                    <w:spacing w:line="240" w:lineRule="auto"/>
                    <w:ind w:firstLine="0" w:firstLineChars="0"/>
                    <w:jc w:val="center"/>
                    <w:rPr>
                      <w:sz w:val="21"/>
                      <w:szCs w:val="21"/>
                      <w:u w:color="000000"/>
                    </w:rPr>
                  </w:pPr>
                </w:p>
              </w:tc>
              <w:tc>
                <w:tcPr>
                  <w:tcW w:w="325" w:type="pct"/>
                  <w:vMerge w:val="continue"/>
                  <w:vAlign w:val="center"/>
                </w:tcPr>
                <w:p>
                  <w:pPr>
                    <w:widowControl/>
                    <w:spacing w:line="240" w:lineRule="auto"/>
                    <w:ind w:firstLine="0" w:firstLineChars="0"/>
                    <w:jc w:val="center"/>
                    <w:rPr>
                      <w:sz w:val="21"/>
                      <w:szCs w:val="21"/>
                      <w:u w:color="000000"/>
                    </w:rPr>
                  </w:pPr>
                </w:p>
              </w:tc>
              <w:tc>
                <w:tcPr>
                  <w:tcW w:w="380" w:type="pct"/>
                  <w:vMerge w:val="continue"/>
                  <w:vAlign w:val="center"/>
                </w:tcPr>
                <w:p>
                  <w:pPr>
                    <w:pStyle w:val="37"/>
                    <w:rPr>
                      <w:szCs w:val="21"/>
                    </w:rPr>
                  </w:pPr>
                </w:p>
              </w:tc>
              <w:tc>
                <w:tcPr>
                  <w:tcW w:w="380" w:type="pct"/>
                  <w:vMerge w:val="continue"/>
                  <w:vAlign w:val="center"/>
                </w:tcPr>
                <w:p>
                  <w:pPr>
                    <w:adjustRightInd w:val="0"/>
                    <w:snapToGrid w:val="0"/>
                    <w:spacing w:line="240" w:lineRule="auto"/>
                    <w:ind w:firstLine="0" w:firstLineChars="0"/>
                    <w:jc w:val="center"/>
                    <w:rPr>
                      <w:sz w:val="21"/>
                      <w:szCs w:val="21"/>
                    </w:rPr>
                  </w:pPr>
                </w:p>
              </w:tc>
              <w:tc>
                <w:tcPr>
                  <w:tcW w:w="271" w:type="pct"/>
                  <w:vMerge w:val="continue"/>
                  <w:vAlign w:val="center"/>
                </w:tcPr>
                <w:p>
                  <w:pPr>
                    <w:spacing w:line="240" w:lineRule="auto"/>
                    <w:ind w:firstLine="0" w:firstLineChars="0"/>
                    <w:jc w:val="center"/>
                    <w:rPr>
                      <w:rFonts w:eastAsia="等线"/>
                      <w:sz w:val="21"/>
                      <w:szCs w:val="21"/>
                    </w:rPr>
                  </w:pPr>
                </w:p>
              </w:tc>
              <w:tc>
                <w:tcPr>
                  <w:tcW w:w="326" w:type="pct"/>
                  <w:vMerge w:val="continue"/>
                  <w:vAlign w:val="center"/>
                </w:tcPr>
                <w:p>
                  <w:pPr>
                    <w:spacing w:line="240" w:lineRule="auto"/>
                    <w:ind w:firstLine="0" w:firstLineChars="0"/>
                    <w:jc w:val="center"/>
                    <w:rPr>
                      <w:rFonts w:eastAsia="等线"/>
                      <w:sz w:val="21"/>
                      <w:szCs w:val="21"/>
                    </w:rPr>
                  </w:pPr>
                </w:p>
              </w:tc>
              <w:tc>
                <w:tcPr>
                  <w:tcW w:w="326" w:type="pct"/>
                  <w:vMerge w:val="continue"/>
                  <w:vAlign w:val="center"/>
                </w:tcPr>
                <w:p>
                  <w:pPr>
                    <w:spacing w:line="240" w:lineRule="auto"/>
                    <w:ind w:firstLine="0" w:firstLineChars="0"/>
                    <w:jc w:val="center"/>
                    <w:rPr>
                      <w:rFonts w:eastAsia="等线"/>
                      <w:sz w:val="21"/>
                      <w:szCs w:val="21"/>
                    </w:rPr>
                  </w:pPr>
                </w:p>
              </w:tc>
              <w:tc>
                <w:tcPr>
                  <w:tcW w:w="380"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16.23</w:t>
                  </w:r>
                </w:p>
              </w:tc>
              <w:tc>
                <w:tcPr>
                  <w:tcW w:w="433"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57.78</w:t>
                  </w:r>
                </w:p>
              </w:tc>
              <w:tc>
                <w:tcPr>
                  <w:tcW w:w="326" w:type="pct"/>
                  <w:vMerge w:val="continue"/>
                  <w:vAlign w:val="center"/>
                </w:tcPr>
                <w:p>
                  <w:pPr>
                    <w:adjustRightInd w:val="0"/>
                    <w:snapToGrid w:val="0"/>
                    <w:spacing w:line="240" w:lineRule="auto"/>
                    <w:ind w:firstLine="0" w:firstLineChars="0"/>
                    <w:jc w:val="center"/>
                    <w:rPr>
                      <w:sz w:val="21"/>
                      <w:szCs w:val="21"/>
                    </w:rPr>
                  </w:pPr>
                </w:p>
              </w:tc>
              <w:tc>
                <w:tcPr>
                  <w:tcW w:w="487" w:type="pct"/>
                  <w:vMerge w:val="continue"/>
                  <w:vAlign w:val="center"/>
                </w:tcPr>
                <w:p>
                  <w:pPr>
                    <w:spacing w:line="240" w:lineRule="auto"/>
                    <w:ind w:firstLine="0" w:firstLineChars="0"/>
                    <w:jc w:val="center"/>
                    <w:rPr>
                      <w:rFonts w:eastAsia="等线"/>
                      <w:sz w:val="21"/>
                      <w:szCs w:val="21"/>
                    </w:rPr>
                  </w:pPr>
                </w:p>
              </w:tc>
              <w:tc>
                <w:tcPr>
                  <w:tcW w:w="488"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31.78</w:t>
                  </w:r>
                </w:p>
              </w:tc>
              <w:tc>
                <w:tcPr>
                  <w:tcW w:w="431" w:type="pct"/>
                  <w:vAlign w:val="center"/>
                </w:tcPr>
                <w:p>
                  <w:pPr>
                    <w:spacing w:line="240" w:lineRule="auto"/>
                    <w:ind w:firstLine="0" w:firstLineChars="0"/>
                    <w:jc w:val="center"/>
                    <w:rPr>
                      <w:rFonts w:eastAsia="等线"/>
                      <w:sz w:val="21"/>
                      <w:szCs w:val="21"/>
                    </w:rPr>
                  </w:pPr>
                  <w:r>
                    <w:rPr>
                      <w:rFonts w:hint="eastAsia" w:eastAsia="等线"/>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175" w:type="pct"/>
                  <w:vMerge w:val="continue"/>
                  <w:vAlign w:val="center"/>
                </w:tcPr>
                <w:p>
                  <w:pPr>
                    <w:widowControl/>
                    <w:spacing w:line="240" w:lineRule="auto"/>
                    <w:ind w:firstLine="0" w:firstLineChars="0"/>
                    <w:jc w:val="center"/>
                    <w:rPr>
                      <w:sz w:val="21"/>
                      <w:szCs w:val="21"/>
                      <w:u w:color="000000"/>
                    </w:rPr>
                  </w:pPr>
                </w:p>
              </w:tc>
              <w:tc>
                <w:tcPr>
                  <w:tcW w:w="271" w:type="pct"/>
                  <w:vMerge w:val="continue"/>
                  <w:vAlign w:val="center"/>
                </w:tcPr>
                <w:p>
                  <w:pPr>
                    <w:widowControl/>
                    <w:spacing w:line="240" w:lineRule="auto"/>
                    <w:ind w:firstLine="0" w:firstLineChars="0"/>
                    <w:jc w:val="center"/>
                    <w:rPr>
                      <w:sz w:val="21"/>
                      <w:szCs w:val="21"/>
                      <w:u w:color="000000"/>
                    </w:rPr>
                  </w:pPr>
                </w:p>
              </w:tc>
              <w:tc>
                <w:tcPr>
                  <w:tcW w:w="325" w:type="pct"/>
                  <w:vMerge w:val="continue"/>
                  <w:vAlign w:val="center"/>
                </w:tcPr>
                <w:p>
                  <w:pPr>
                    <w:widowControl/>
                    <w:spacing w:line="240" w:lineRule="auto"/>
                    <w:ind w:firstLine="0" w:firstLineChars="0"/>
                    <w:jc w:val="center"/>
                    <w:rPr>
                      <w:sz w:val="21"/>
                      <w:szCs w:val="21"/>
                      <w:u w:color="000000"/>
                    </w:rPr>
                  </w:pPr>
                </w:p>
              </w:tc>
              <w:tc>
                <w:tcPr>
                  <w:tcW w:w="380" w:type="pct"/>
                  <w:vMerge w:val="continue"/>
                  <w:vAlign w:val="center"/>
                </w:tcPr>
                <w:p>
                  <w:pPr>
                    <w:pStyle w:val="37"/>
                    <w:rPr>
                      <w:szCs w:val="21"/>
                    </w:rPr>
                  </w:pPr>
                </w:p>
              </w:tc>
              <w:tc>
                <w:tcPr>
                  <w:tcW w:w="380" w:type="pct"/>
                  <w:vMerge w:val="continue"/>
                  <w:vAlign w:val="center"/>
                </w:tcPr>
                <w:p>
                  <w:pPr>
                    <w:adjustRightInd w:val="0"/>
                    <w:snapToGrid w:val="0"/>
                    <w:spacing w:line="240" w:lineRule="auto"/>
                    <w:ind w:firstLine="0" w:firstLineChars="0"/>
                    <w:jc w:val="center"/>
                    <w:rPr>
                      <w:sz w:val="21"/>
                      <w:szCs w:val="21"/>
                    </w:rPr>
                  </w:pPr>
                </w:p>
              </w:tc>
              <w:tc>
                <w:tcPr>
                  <w:tcW w:w="271" w:type="pct"/>
                  <w:vMerge w:val="continue"/>
                  <w:vAlign w:val="center"/>
                </w:tcPr>
                <w:p>
                  <w:pPr>
                    <w:spacing w:line="240" w:lineRule="auto"/>
                    <w:ind w:firstLine="0" w:firstLineChars="0"/>
                    <w:jc w:val="center"/>
                    <w:rPr>
                      <w:rFonts w:eastAsia="等线"/>
                      <w:sz w:val="21"/>
                      <w:szCs w:val="21"/>
                    </w:rPr>
                  </w:pPr>
                </w:p>
              </w:tc>
              <w:tc>
                <w:tcPr>
                  <w:tcW w:w="326" w:type="pct"/>
                  <w:vMerge w:val="continue"/>
                  <w:vAlign w:val="center"/>
                </w:tcPr>
                <w:p>
                  <w:pPr>
                    <w:spacing w:line="240" w:lineRule="auto"/>
                    <w:ind w:firstLine="0" w:firstLineChars="0"/>
                    <w:jc w:val="center"/>
                    <w:rPr>
                      <w:rFonts w:eastAsia="等线"/>
                      <w:sz w:val="21"/>
                      <w:szCs w:val="21"/>
                    </w:rPr>
                  </w:pPr>
                </w:p>
              </w:tc>
              <w:tc>
                <w:tcPr>
                  <w:tcW w:w="326" w:type="pct"/>
                  <w:vMerge w:val="continue"/>
                  <w:vAlign w:val="center"/>
                </w:tcPr>
                <w:p>
                  <w:pPr>
                    <w:spacing w:line="240" w:lineRule="auto"/>
                    <w:ind w:firstLine="0" w:firstLineChars="0"/>
                    <w:jc w:val="center"/>
                    <w:rPr>
                      <w:rFonts w:eastAsia="等线"/>
                      <w:sz w:val="21"/>
                      <w:szCs w:val="21"/>
                    </w:rPr>
                  </w:pPr>
                </w:p>
              </w:tc>
              <w:tc>
                <w:tcPr>
                  <w:tcW w:w="380"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11.76</w:t>
                  </w:r>
                </w:p>
              </w:tc>
              <w:tc>
                <w:tcPr>
                  <w:tcW w:w="433"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57.78</w:t>
                  </w:r>
                </w:p>
              </w:tc>
              <w:tc>
                <w:tcPr>
                  <w:tcW w:w="326" w:type="pct"/>
                  <w:vMerge w:val="continue"/>
                  <w:vAlign w:val="center"/>
                </w:tcPr>
                <w:p>
                  <w:pPr>
                    <w:adjustRightInd w:val="0"/>
                    <w:snapToGrid w:val="0"/>
                    <w:spacing w:line="240" w:lineRule="auto"/>
                    <w:ind w:firstLine="0" w:firstLineChars="0"/>
                    <w:jc w:val="center"/>
                    <w:rPr>
                      <w:sz w:val="21"/>
                      <w:szCs w:val="21"/>
                    </w:rPr>
                  </w:pPr>
                </w:p>
              </w:tc>
              <w:tc>
                <w:tcPr>
                  <w:tcW w:w="487" w:type="pct"/>
                  <w:vMerge w:val="continue"/>
                  <w:vAlign w:val="center"/>
                </w:tcPr>
                <w:p>
                  <w:pPr>
                    <w:spacing w:line="240" w:lineRule="auto"/>
                    <w:ind w:firstLine="0" w:firstLineChars="0"/>
                    <w:jc w:val="center"/>
                    <w:rPr>
                      <w:rFonts w:eastAsia="等线"/>
                      <w:sz w:val="21"/>
                      <w:szCs w:val="21"/>
                    </w:rPr>
                  </w:pPr>
                </w:p>
              </w:tc>
              <w:tc>
                <w:tcPr>
                  <w:tcW w:w="488"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31.78</w:t>
                  </w:r>
                </w:p>
              </w:tc>
              <w:tc>
                <w:tcPr>
                  <w:tcW w:w="431" w:type="pct"/>
                  <w:vAlign w:val="center"/>
                </w:tcPr>
                <w:p>
                  <w:pPr>
                    <w:spacing w:line="240" w:lineRule="auto"/>
                    <w:ind w:firstLine="0" w:firstLineChars="0"/>
                    <w:jc w:val="center"/>
                    <w:rPr>
                      <w:rFonts w:eastAsia="等线"/>
                      <w:sz w:val="21"/>
                      <w:szCs w:val="21"/>
                    </w:rPr>
                  </w:pPr>
                  <w:r>
                    <w:rPr>
                      <w:rFonts w:eastAsia="等线"/>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175" w:type="pct"/>
                  <w:vMerge w:val="continue"/>
                  <w:vAlign w:val="center"/>
                </w:tcPr>
                <w:p>
                  <w:pPr>
                    <w:widowControl/>
                    <w:spacing w:line="240" w:lineRule="auto"/>
                    <w:ind w:firstLine="0" w:firstLineChars="0"/>
                    <w:jc w:val="center"/>
                    <w:rPr>
                      <w:sz w:val="21"/>
                      <w:szCs w:val="21"/>
                      <w:u w:color="000000"/>
                    </w:rPr>
                  </w:pPr>
                </w:p>
              </w:tc>
              <w:tc>
                <w:tcPr>
                  <w:tcW w:w="271" w:type="pct"/>
                  <w:vMerge w:val="continue"/>
                  <w:vAlign w:val="center"/>
                </w:tcPr>
                <w:p>
                  <w:pPr>
                    <w:widowControl/>
                    <w:spacing w:line="240" w:lineRule="auto"/>
                    <w:ind w:firstLine="0" w:firstLineChars="0"/>
                    <w:jc w:val="center"/>
                    <w:rPr>
                      <w:sz w:val="21"/>
                      <w:szCs w:val="21"/>
                      <w:u w:color="000000"/>
                    </w:rPr>
                  </w:pPr>
                </w:p>
              </w:tc>
              <w:tc>
                <w:tcPr>
                  <w:tcW w:w="325" w:type="pct"/>
                  <w:vMerge w:val="continue"/>
                  <w:vAlign w:val="center"/>
                </w:tcPr>
                <w:p>
                  <w:pPr>
                    <w:widowControl/>
                    <w:spacing w:line="240" w:lineRule="auto"/>
                    <w:ind w:firstLine="0" w:firstLineChars="0"/>
                    <w:jc w:val="center"/>
                    <w:rPr>
                      <w:sz w:val="21"/>
                      <w:szCs w:val="21"/>
                      <w:u w:color="000000"/>
                    </w:rPr>
                  </w:pPr>
                </w:p>
              </w:tc>
              <w:tc>
                <w:tcPr>
                  <w:tcW w:w="380" w:type="pct"/>
                  <w:vMerge w:val="continue"/>
                  <w:vAlign w:val="center"/>
                </w:tcPr>
                <w:p>
                  <w:pPr>
                    <w:pStyle w:val="37"/>
                    <w:rPr>
                      <w:szCs w:val="21"/>
                    </w:rPr>
                  </w:pPr>
                </w:p>
              </w:tc>
              <w:tc>
                <w:tcPr>
                  <w:tcW w:w="380" w:type="pct"/>
                  <w:vMerge w:val="continue"/>
                  <w:vAlign w:val="center"/>
                </w:tcPr>
                <w:p>
                  <w:pPr>
                    <w:adjustRightInd w:val="0"/>
                    <w:snapToGrid w:val="0"/>
                    <w:spacing w:line="240" w:lineRule="auto"/>
                    <w:ind w:firstLine="0" w:firstLineChars="0"/>
                    <w:jc w:val="center"/>
                    <w:rPr>
                      <w:sz w:val="21"/>
                      <w:szCs w:val="21"/>
                    </w:rPr>
                  </w:pPr>
                </w:p>
              </w:tc>
              <w:tc>
                <w:tcPr>
                  <w:tcW w:w="271" w:type="pct"/>
                  <w:vMerge w:val="continue"/>
                  <w:vAlign w:val="center"/>
                </w:tcPr>
                <w:p>
                  <w:pPr>
                    <w:spacing w:line="240" w:lineRule="auto"/>
                    <w:ind w:firstLine="0" w:firstLineChars="0"/>
                    <w:jc w:val="center"/>
                    <w:rPr>
                      <w:rFonts w:eastAsia="等线"/>
                      <w:sz w:val="21"/>
                      <w:szCs w:val="21"/>
                    </w:rPr>
                  </w:pPr>
                </w:p>
              </w:tc>
              <w:tc>
                <w:tcPr>
                  <w:tcW w:w="326" w:type="pct"/>
                  <w:vMerge w:val="continue"/>
                  <w:vAlign w:val="center"/>
                </w:tcPr>
                <w:p>
                  <w:pPr>
                    <w:spacing w:line="240" w:lineRule="auto"/>
                    <w:ind w:firstLine="0" w:firstLineChars="0"/>
                    <w:jc w:val="center"/>
                    <w:rPr>
                      <w:rFonts w:eastAsia="等线"/>
                      <w:sz w:val="21"/>
                      <w:szCs w:val="21"/>
                    </w:rPr>
                  </w:pPr>
                </w:p>
              </w:tc>
              <w:tc>
                <w:tcPr>
                  <w:tcW w:w="326" w:type="pct"/>
                  <w:vMerge w:val="continue"/>
                  <w:vAlign w:val="center"/>
                </w:tcPr>
                <w:p>
                  <w:pPr>
                    <w:spacing w:line="240" w:lineRule="auto"/>
                    <w:ind w:firstLine="0" w:firstLineChars="0"/>
                    <w:jc w:val="center"/>
                    <w:rPr>
                      <w:rFonts w:eastAsia="等线"/>
                      <w:sz w:val="21"/>
                      <w:szCs w:val="21"/>
                    </w:rPr>
                  </w:pPr>
                </w:p>
              </w:tc>
              <w:tc>
                <w:tcPr>
                  <w:tcW w:w="380"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25.95</w:t>
                  </w:r>
                </w:p>
              </w:tc>
              <w:tc>
                <w:tcPr>
                  <w:tcW w:w="433"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57.77</w:t>
                  </w:r>
                </w:p>
              </w:tc>
              <w:tc>
                <w:tcPr>
                  <w:tcW w:w="326" w:type="pct"/>
                  <w:vMerge w:val="continue"/>
                  <w:vAlign w:val="center"/>
                </w:tcPr>
                <w:p>
                  <w:pPr>
                    <w:adjustRightInd w:val="0"/>
                    <w:snapToGrid w:val="0"/>
                    <w:spacing w:line="240" w:lineRule="auto"/>
                    <w:ind w:firstLine="0" w:firstLineChars="0"/>
                    <w:jc w:val="center"/>
                    <w:rPr>
                      <w:sz w:val="21"/>
                      <w:szCs w:val="21"/>
                    </w:rPr>
                  </w:pPr>
                </w:p>
              </w:tc>
              <w:tc>
                <w:tcPr>
                  <w:tcW w:w="487" w:type="pct"/>
                  <w:vMerge w:val="continue"/>
                  <w:vAlign w:val="center"/>
                </w:tcPr>
                <w:p>
                  <w:pPr>
                    <w:spacing w:line="240" w:lineRule="auto"/>
                    <w:ind w:firstLine="0" w:firstLineChars="0"/>
                    <w:jc w:val="center"/>
                    <w:rPr>
                      <w:rFonts w:eastAsia="等线"/>
                      <w:sz w:val="21"/>
                      <w:szCs w:val="21"/>
                    </w:rPr>
                  </w:pPr>
                </w:p>
              </w:tc>
              <w:tc>
                <w:tcPr>
                  <w:tcW w:w="488"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31.77</w:t>
                  </w:r>
                </w:p>
              </w:tc>
              <w:tc>
                <w:tcPr>
                  <w:tcW w:w="431" w:type="pct"/>
                  <w:vAlign w:val="center"/>
                </w:tcPr>
                <w:p>
                  <w:pPr>
                    <w:spacing w:line="240" w:lineRule="auto"/>
                    <w:ind w:firstLine="0" w:firstLineChars="0"/>
                    <w:jc w:val="center"/>
                    <w:rPr>
                      <w:rFonts w:eastAsia="等线"/>
                      <w:sz w:val="21"/>
                      <w:szCs w:val="21"/>
                    </w:rPr>
                  </w:pPr>
                  <w:r>
                    <w:rPr>
                      <w:rFonts w:eastAsia="等线"/>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175" w:type="pct"/>
                  <w:vMerge w:val="restart"/>
                  <w:vAlign w:val="center"/>
                </w:tcPr>
                <w:p>
                  <w:pPr>
                    <w:widowControl/>
                    <w:spacing w:line="240" w:lineRule="auto"/>
                    <w:ind w:firstLine="0" w:firstLineChars="0"/>
                    <w:jc w:val="center"/>
                    <w:rPr>
                      <w:sz w:val="21"/>
                      <w:szCs w:val="21"/>
                    </w:rPr>
                  </w:pPr>
                  <w:r>
                    <w:rPr>
                      <w:sz w:val="21"/>
                      <w:szCs w:val="21"/>
                    </w:rPr>
                    <w:t>3</w:t>
                  </w:r>
                </w:p>
              </w:tc>
              <w:tc>
                <w:tcPr>
                  <w:tcW w:w="271" w:type="pct"/>
                  <w:vMerge w:val="continue"/>
                  <w:vAlign w:val="center"/>
                </w:tcPr>
                <w:p>
                  <w:pPr>
                    <w:widowControl/>
                    <w:spacing w:line="240" w:lineRule="auto"/>
                    <w:ind w:firstLine="0" w:firstLineChars="0"/>
                    <w:jc w:val="center"/>
                    <w:rPr>
                      <w:sz w:val="21"/>
                      <w:szCs w:val="21"/>
                    </w:rPr>
                  </w:pPr>
                </w:p>
              </w:tc>
              <w:tc>
                <w:tcPr>
                  <w:tcW w:w="325" w:type="pct"/>
                  <w:vMerge w:val="restart"/>
                  <w:vAlign w:val="center"/>
                </w:tcPr>
                <w:p>
                  <w:pPr>
                    <w:widowControl/>
                    <w:spacing w:line="240" w:lineRule="auto"/>
                    <w:ind w:firstLine="0" w:firstLineChars="0"/>
                    <w:jc w:val="center"/>
                    <w:rPr>
                      <w:sz w:val="21"/>
                      <w:szCs w:val="21"/>
                      <w:u w:color="000000"/>
                    </w:rPr>
                  </w:pPr>
                  <w:r>
                    <w:rPr>
                      <w:rFonts w:hint="eastAsia"/>
                      <w:sz w:val="21"/>
                      <w:szCs w:val="21"/>
                      <w:u w:color="000000"/>
                    </w:rPr>
                    <w:t>污水处理间提升泵</w:t>
                  </w:r>
                </w:p>
              </w:tc>
              <w:tc>
                <w:tcPr>
                  <w:tcW w:w="380" w:type="pct"/>
                  <w:vMerge w:val="restart"/>
                  <w:vAlign w:val="center"/>
                </w:tcPr>
                <w:p>
                  <w:pPr>
                    <w:pStyle w:val="37"/>
                    <w:rPr>
                      <w:szCs w:val="21"/>
                    </w:rPr>
                  </w:pPr>
                  <w:r>
                    <w:rPr>
                      <w:rFonts w:hint="eastAsia"/>
                      <w:szCs w:val="21"/>
                    </w:rPr>
                    <w:t>60</w:t>
                  </w:r>
                </w:p>
              </w:tc>
              <w:tc>
                <w:tcPr>
                  <w:tcW w:w="380" w:type="pct"/>
                  <w:vMerge w:val="continue"/>
                  <w:vAlign w:val="center"/>
                </w:tcPr>
                <w:p>
                  <w:pPr>
                    <w:adjustRightInd w:val="0"/>
                    <w:snapToGrid w:val="0"/>
                    <w:spacing w:line="240" w:lineRule="auto"/>
                    <w:ind w:firstLine="0" w:firstLineChars="0"/>
                    <w:jc w:val="center"/>
                    <w:rPr>
                      <w:sz w:val="21"/>
                      <w:szCs w:val="21"/>
                    </w:rPr>
                  </w:pPr>
                </w:p>
              </w:tc>
              <w:tc>
                <w:tcPr>
                  <w:tcW w:w="271" w:type="pct"/>
                  <w:vMerge w:val="restar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750.8</w:t>
                  </w:r>
                </w:p>
              </w:tc>
              <w:tc>
                <w:tcPr>
                  <w:tcW w:w="326" w:type="pct"/>
                  <w:vMerge w:val="restar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683.88</w:t>
                  </w:r>
                </w:p>
              </w:tc>
              <w:tc>
                <w:tcPr>
                  <w:tcW w:w="326" w:type="pct"/>
                  <w:vMerge w:val="restar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1</w:t>
                  </w:r>
                </w:p>
              </w:tc>
              <w:tc>
                <w:tcPr>
                  <w:tcW w:w="380"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31.57</w:t>
                  </w:r>
                </w:p>
              </w:tc>
              <w:tc>
                <w:tcPr>
                  <w:tcW w:w="433"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52.77</w:t>
                  </w:r>
                </w:p>
              </w:tc>
              <w:tc>
                <w:tcPr>
                  <w:tcW w:w="326" w:type="pct"/>
                  <w:vMerge w:val="restart"/>
                  <w:vAlign w:val="center"/>
                </w:tcPr>
                <w:p>
                  <w:pPr>
                    <w:adjustRightInd w:val="0"/>
                    <w:snapToGrid w:val="0"/>
                    <w:spacing w:line="240" w:lineRule="auto"/>
                    <w:ind w:firstLine="0" w:firstLineChars="0"/>
                    <w:jc w:val="center"/>
                    <w:rPr>
                      <w:sz w:val="21"/>
                      <w:szCs w:val="21"/>
                    </w:rPr>
                  </w:pPr>
                  <w:r>
                    <w:rPr>
                      <w:rFonts w:hint="eastAsia"/>
                      <w:sz w:val="21"/>
                      <w:szCs w:val="21"/>
                      <w:lang w:val="zh-CN"/>
                    </w:rPr>
                    <w:t>昼夜</w:t>
                  </w:r>
                </w:p>
              </w:tc>
              <w:tc>
                <w:tcPr>
                  <w:tcW w:w="487" w:type="pct"/>
                  <w:vMerge w:val="continue"/>
                  <w:vAlign w:val="center"/>
                </w:tcPr>
                <w:p>
                  <w:pPr>
                    <w:adjustRightInd w:val="0"/>
                    <w:snapToGrid w:val="0"/>
                    <w:spacing w:line="240" w:lineRule="auto"/>
                    <w:ind w:firstLine="0" w:firstLineChars="0"/>
                    <w:jc w:val="center"/>
                    <w:rPr>
                      <w:rFonts w:eastAsia="等线"/>
                      <w:sz w:val="21"/>
                      <w:szCs w:val="21"/>
                    </w:rPr>
                  </w:pPr>
                </w:p>
              </w:tc>
              <w:tc>
                <w:tcPr>
                  <w:tcW w:w="488"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26.77</w:t>
                  </w:r>
                </w:p>
              </w:tc>
              <w:tc>
                <w:tcPr>
                  <w:tcW w:w="431" w:type="pct"/>
                  <w:vAlign w:val="center"/>
                </w:tcPr>
                <w:p>
                  <w:pPr>
                    <w:spacing w:line="240" w:lineRule="auto"/>
                    <w:ind w:firstLine="0" w:firstLineChars="0"/>
                    <w:jc w:val="center"/>
                    <w:rPr>
                      <w:rFonts w:eastAsia="等线"/>
                      <w:sz w:val="21"/>
                      <w:szCs w:val="21"/>
                    </w:rPr>
                  </w:pPr>
                  <w:r>
                    <w:rPr>
                      <w:rFonts w:eastAsia="等线"/>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175" w:type="pct"/>
                  <w:vMerge w:val="continue"/>
                  <w:vAlign w:val="center"/>
                </w:tcPr>
                <w:p>
                  <w:pPr>
                    <w:widowControl/>
                    <w:spacing w:line="240" w:lineRule="auto"/>
                    <w:ind w:firstLine="0" w:firstLineChars="0"/>
                    <w:jc w:val="center"/>
                    <w:rPr>
                      <w:sz w:val="21"/>
                      <w:szCs w:val="21"/>
                    </w:rPr>
                  </w:pPr>
                </w:p>
              </w:tc>
              <w:tc>
                <w:tcPr>
                  <w:tcW w:w="271" w:type="pct"/>
                  <w:vMerge w:val="continue"/>
                  <w:vAlign w:val="center"/>
                </w:tcPr>
                <w:p>
                  <w:pPr>
                    <w:widowControl/>
                    <w:spacing w:line="240" w:lineRule="auto"/>
                    <w:ind w:firstLine="0" w:firstLineChars="0"/>
                    <w:jc w:val="center"/>
                    <w:rPr>
                      <w:sz w:val="21"/>
                      <w:szCs w:val="21"/>
                    </w:rPr>
                  </w:pPr>
                </w:p>
              </w:tc>
              <w:tc>
                <w:tcPr>
                  <w:tcW w:w="325" w:type="pct"/>
                  <w:vMerge w:val="continue"/>
                  <w:vAlign w:val="center"/>
                </w:tcPr>
                <w:p>
                  <w:pPr>
                    <w:widowControl/>
                    <w:spacing w:line="240" w:lineRule="auto"/>
                    <w:ind w:firstLine="0" w:firstLineChars="0"/>
                    <w:jc w:val="center"/>
                    <w:rPr>
                      <w:sz w:val="21"/>
                      <w:szCs w:val="21"/>
                      <w:u w:color="000000"/>
                    </w:rPr>
                  </w:pPr>
                </w:p>
              </w:tc>
              <w:tc>
                <w:tcPr>
                  <w:tcW w:w="380" w:type="pct"/>
                  <w:vMerge w:val="continue"/>
                  <w:vAlign w:val="center"/>
                </w:tcPr>
                <w:p>
                  <w:pPr>
                    <w:pStyle w:val="37"/>
                    <w:rPr>
                      <w:szCs w:val="21"/>
                    </w:rPr>
                  </w:pPr>
                </w:p>
              </w:tc>
              <w:tc>
                <w:tcPr>
                  <w:tcW w:w="380" w:type="pct"/>
                  <w:vMerge w:val="continue"/>
                  <w:vAlign w:val="center"/>
                </w:tcPr>
                <w:p>
                  <w:pPr>
                    <w:adjustRightInd w:val="0"/>
                    <w:snapToGrid w:val="0"/>
                    <w:spacing w:line="240" w:lineRule="auto"/>
                    <w:ind w:firstLine="0" w:firstLineChars="0"/>
                    <w:jc w:val="center"/>
                    <w:rPr>
                      <w:sz w:val="21"/>
                      <w:szCs w:val="21"/>
                    </w:rPr>
                  </w:pPr>
                </w:p>
              </w:tc>
              <w:tc>
                <w:tcPr>
                  <w:tcW w:w="271" w:type="pct"/>
                  <w:vMerge w:val="continue"/>
                  <w:vAlign w:val="center"/>
                </w:tcPr>
                <w:p>
                  <w:pPr>
                    <w:spacing w:line="240" w:lineRule="auto"/>
                    <w:ind w:firstLine="0" w:firstLineChars="0"/>
                    <w:jc w:val="center"/>
                    <w:rPr>
                      <w:rFonts w:eastAsia="等线"/>
                      <w:sz w:val="21"/>
                      <w:szCs w:val="21"/>
                    </w:rPr>
                  </w:pPr>
                </w:p>
              </w:tc>
              <w:tc>
                <w:tcPr>
                  <w:tcW w:w="326" w:type="pct"/>
                  <w:vMerge w:val="continue"/>
                  <w:vAlign w:val="center"/>
                </w:tcPr>
                <w:p>
                  <w:pPr>
                    <w:spacing w:line="240" w:lineRule="auto"/>
                    <w:ind w:firstLine="0" w:firstLineChars="0"/>
                    <w:jc w:val="center"/>
                    <w:rPr>
                      <w:rFonts w:eastAsia="等线"/>
                      <w:sz w:val="21"/>
                      <w:szCs w:val="21"/>
                    </w:rPr>
                  </w:pPr>
                </w:p>
              </w:tc>
              <w:tc>
                <w:tcPr>
                  <w:tcW w:w="326" w:type="pct"/>
                  <w:vMerge w:val="continue"/>
                  <w:vAlign w:val="center"/>
                </w:tcPr>
                <w:p>
                  <w:pPr>
                    <w:spacing w:line="240" w:lineRule="auto"/>
                    <w:ind w:firstLine="0" w:firstLineChars="0"/>
                    <w:jc w:val="center"/>
                    <w:rPr>
                      <w:rFonts w:eastAsia="等线"/>
                      <w:sz w:val="21"/>
                      <w:szCs w:val="21"/>
                    </w:rPr>
                  </w:pPr>
                </w:p>
              </w:tc>
              <w:tc>
                <w:tcPr>
                  <w:tcW w:w="380"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7.36</w:t>
                  </w:r>
                </w:p>
              </w:tc>
              <w:tc>
                <w:tcPr>
                  <w:tcW w:w="433"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52.81</w:t>
                  </w:r>
                </w:p>
              </w:tc>
              <w:tc>
                <w:tcPr>
                  <w:tcW w:w="326" w:type="pct"/>
                  <w:vMerge w:val="continue"/>
                  <w:vAlign w:val="center"/>
                </w:tcPr>
                <w:p>
                  <w:pPr>
                    <w:adjustRightInd w:val="0"/>
                    <w:snapToGrid w:val="0"/>
                    <w:spacing w:line="240" w:lineRule="auto"/>
                    <w:ind w:firstLine="0" w:firstLineChars="0"/>
                    <w:jc w:val="center"/>
                    <w:rPr>
                      <w:rFonts w:eastAsia="等线"/>
                      <w:sz w:val="21"/>
                      <w:szCs w:val="21"/>
                    </w:rPr>
                  </w:pPr>
                </w:p>
              </w:tc>
              <w:tc>
                <w:tcPr>
                  <w:tcW w:w="487" w:type="pct"/>
                  <w:vMerge w:val="continue"/>
                  <w:vAlign w:val="center"/>
                </w:tcPr>
                <w:p>
                  <w:pPr>
                    <w:adjustRightInd w:val="0"/>
                    <w:snapToGrid w:val="0"/>
                    <w:spacing w:line="240" w:lineRule="auto"/>
                    <w:ind w:firstLine="0" w:firstLineChars="0"/>
                    <w:jc w:val="center"/>
                    <w:rPr>
                      <w:rFonts w:eastAsia="等线"/>
                      <w:sz w:val="21"/>
                      <w:szCs w:val="21"/>
                    </w:rPr>
                  </w:pPr>
                </w:p>
              </w:tc>
              <w:tc>
                <w:tcPr>
                  <w:tcW w:w="488"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26.81</w:t>
                  </w:r>
                </w:p>
              </w:tc>
              <w:tc>
                <w:tcPr>
                  <w:tcW w:w="431" w:type="pct"/>
                  <w:vAlign w:val="center"/>
                </w:tcPr>
                <w:p>
                  <w:pPr>
                    <w:spacing w:line="240" w:lineRule="auto"/>
                    <w:ind w:firstLine="0" w:firstLineChars="0"/>
                    <w:jc w:val="center"/>
                    <w:rPr>
                      <w:rFonts w:eastAsia="等线"/>
                      <w:sz w:val="21"/>
                      <w:szCs w:val="21"/>
                    </w:rPr>
                  </w:pPr>
                  <w:r>
                    <w:rPr>
                      <w:rFonts w:eastAsia="等线"/>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175" w:type="pct"/>
                  <w:vMerge w:val="continue"/>
                  <w:vAlign w:val="center"/>
                </w:tcPr>
                <w:p>
                  <w:pPr>
                    <w:widowControl/>
                    <w:spacing w:line="240" w:lineRule="auto"/>
                    <w:ind w:firstLine="0" w:firstLineChars="0"/>
                    <w:jc w:val="center"/>
                    <w:rPr>
                      <w:sz w:val="21"/>
                      <w:szCs w:val="21"/>
                    </w:rPr>
                  </w:pPr>
                </w:p>
              </w:tc>
              <w:tc>
                <w:tcPr>
                  <w:tcW w:w="271" w:type="pct"/>
                  <w:vMerge w:val="continue"/>
                  <w:vAlign w:val="center"/>
                </w:tcPr>
                <w:p>
                  <w:pPr>
                    <w:widowControl/>
                    <w:spacing w:line="240" w:lineRule="auto"/>
                    <w:ind w:firstLine="0" w:firstLineChars="0"/>
                    <w:jc w:val="center"/>
                    <w:rPr>
                      <w:sz w:val="21"/>
                      <w:szCs w:val="21"/>
                    </w:rPr>
                  </w:pPr>
                </w:p>
              </w:tc>
              <w:tc>
                <w:tcPr>
                  <w:tcW w:w="325" w:type="pct"/>
                  <w:vMerge w:val="continue"/>
                  <w:vAlign w:val="center"/>
                </w:tcPr>
                <w:p>
                  <w:pPr>
                    <w:widowControl/>
                    <w:spacing w:line="240" w:lineRule="auto"/>
                    <w:ind w:firstLine="0" w:firstLineChars="0"/>
                    <w:jc w:val="center"/>
                    <w:rPr>
                      <w:sz w:val="21"/>
                      <w:szCs w:val="21"/>
                      <w:u w:color="000000"/>
                    </w:rPr>
                  </w:pPr>
                </w:p>
              </w:tc>
              <w:tc>
                <w:tcPr>
                  <w:tcW w:w="380" w:type="pct"/>
                  <w:vMerge w:val="continue"/>
                  <w:vAlign w:val="center"/>
                </w:tcPr>
                <w:p>
                  <w:pPr>
                    <w:pStyle w:val="37"/>
                    <w:rPr>
                      <w:szCs w:val="21"/>
                    </w:rPr>
                  </w:pPr>
                </w:p>
              </w:tc>
              <w:tc>
                <w:tcPr>
                  <w:tcW w:w="380" w:type="pct"/>
                  <w:vMerge w:val="continue"/>
                  <w:vAlign w:val="center"/>
                </w:tcPr>
                <w:p>
                  <w:pPr>
                    <w:adjustRightInd w:val="0"/>
                    <w:snapToGrid w:val="0"/>
                    <w:spacing w:line="240" w:lineRule="auto"/>
                    <w:ind w:firstLine="0" w:firstLineChars="0"/>
                    <w:jc w:val="center"/>
                    <w:rPr>
                      <w:sz w:val="21"/>
                      <w:szCs w:val="21"/>
                    </w:rPr>
                  </w:pPr>
                </w:p>
              </w:tc>
              <w:tc>
                <w:tcPr>
                  <w:tcW w:w="271" w:type="pct"/>
                  <w:vMerge w:val="continue"/>
                  <w:vAlign w:val="center"/>
                </w:tcPr>
                <w:p>
                  <w:pPr>
                    <w:spacing w:line="240" w:lineRule="auto"/>
                    <w:ind w:firstLine="0" w:firstLineChars="0"/>
                    <w:jc w:val="center"/>
                    <w:rPr>
                      <w:rFonts w:eastAsia="等线"/>
                      <w:sz w:val="21"/>
                      <w:szCs w:val="21"/>
                    </w:rPr>
                  </w:pPr>
                </w:p>
              </w:tc>
              <w:tc>
                <w:tcPr>
                  <w:tcW w:w="326" w:type="pct"/>
                  <w:vMerge w:val="continue"/>
                  <w:vAlign w:val="center"/>
                </w:tcPr>
                <w:p>
                  <w:pPr>
                    <w:spacing w:line="240" w:lineRule="auto"/>
                    <w:ind w:firstLine="0" w:firstLineChars="0"/>
                    <w:jc w:val="center"/>
                    <w:rPr>
                      <w:rFonts w:eastAsia="等线"/>
                      <w:sz w:val="21"/>
                      <w:szCs w:val="21"/>
                    </w:rPr>
                  </w:pPr>
                </w:p>
              </w:tc>
              <w:tc>
                <w:tcPr>
                  <w:tcW w:w="326" w:type="pct"/>
                  <w:vMerge w:val="continue"/>
                  <w:vAlign w:val="center"/>
                </w:tcPr>
                <w:p>
                  <w:pPr>
                    <w:spacing w:line="240" w:lineRule="auto"/>
                    <w:ind w:firstLine="0" w:firstLineChars="0"/>
                    <w:jc w:val="center"/>
                    <w:rPr>
                      <w:rFonts w:eastAsia="等线"/>
                      <w:sz w:val="21"/>
                      <w:szCs w:val="21"/>
                    </w:rPr>
                  </w:pPr>
                </w:p>
              </w:tc>
              <w:tc>
                <w:tcPr>
                  <w:tcW w:w="380"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22.02</w:t>
                  </w:r>
                </w:p>
              </w:tc>
              <w:tc>
                <w:tcPr>
                  <w:tcW w:w="433"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52.78</w:t>
                  </w:r>
                </w:p>
              </w:tc>
              <w:tc>
                <w:tcPr>
                  <w:tcW w:w="326" w:type="pct"/>
                  <w:vMerge w:val="continue"/>
                  <w:vAlign w:val="center"/>
                </w:tcPr>
                <w:p>
                  <w:pPr>
                    <w:adjustRightInd w:val="0"/>
                    <w:snapToGrid w:val="0"/>
                    <w:spacing w:line="240" w:lineRule="auto"/>
                    <w:ind w:firstLine="0" w:firstLineChars="0"/>
                    <w:jc w:val="center"/>
                    <w:rPr>
                      <w:rFonts w:eastAsia="等线"/>
                      <w:sz w:val="21"/>
                      <w:szCs w:val="21"/>
                    </w:rPr>
                  </w:pPr>
                </w:p>
              </w:tc>
              <w:tc>
                <w:tcPr>
                  <w:tcW w:w="487" w:type="pct"/>
                  <w:vMerge w:val="continue"/>
                  <w:vAlign w:val="center"/>
                </w:tcPr>
                <w:p>
                  <w:pPr>
                    <w:adjustRightInd w:val="0"/>
                    <w:snapToGrid w:val="0"/>
                    <w:spacing w:line="240" w:lineRule="auto"/>
                    <w:ind w:firstLine="0" w:firstLineChars="0"/>
                    <w:jc w:val="center"/>
                    <w:rPr>
                      <w:rFonts w:eastAsia="等线"/>
                      <w:sz w:val="21"/>
                      <w:szCs w:val="21"/>
                    </w:rPr>
                  </w:pPr>
                </w:p>
              </w:tc>
              <w:tc>
                <w:tcPr>
                  <w:tcW w:w="488"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26.78</w:t>
                  </w:r>
                </w:p>
              </w:tc>
              <w:tc>
                <w:tcPr>
                  <w:tcW w:w="431" w:type="pct"/>
                  <w:vAlign w:val="center"/>
                </w:tcPr>
                <w:p>
                  <w:pPr>
                    <w:spacing w:line="240" w:lineRule="auto"/>
                    <w:ind w:firstLine="0" w:firstLineChars="0"/>
                    <w:jc w:val="center"/>
                    <w:rPr>
                      <w:rFonts w:eastAsia="等线"/>
                      <w:sz w:val="21"/>
                      <w:szCs w:val="21"/>
                    </w:rPr>
                  </w:pPr>
                  <w:r>
                    <w:rPr>
                      <w:rFonts w:hint="eastAsia" w:eastAsia="等线"/>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175" w:type="pct"/>
                  <w:vMerge w:val="continue"/>
                  <w:vAlign w:val="center"/>
                </w:tcPr>
                <w:p>
                  <w:pPr>
                    <w:widowControl/>
                    <w:spacing w:line="240" w:lineRule="auto"/>
                    <w:ind w:firstLine="0" w:firstLineChars="0"/>
                    <w:jc w:val="center"/>
                    <w:rPr>
                      <w:sz w:val="21"/>
                      <w:szCs w:val="21"/>
                    </w:rPr>
                  </w:pPr>
                </w:p>
              </w:tc>
              <w:tc>
                <w:tcPr>
                  <w:tcW w:w="271" w:type="pct"/>
                  <w:vMerge w:val="continue"/>
                  <w:vAlign w:val="center"/>
                </w:tcPr>
                <w:p>
                  <w:pPr>
                    <w:widowControl/>
                    <w:spacing w:line="240" w:lineRule="auto"/>
                    <w:ind w:firstLine="0" w:firstLineChars="0"/>
                    <w:jc w:val="center"/>
                    <w:rPr>
                      <w:sz w:val="21"/>
                      <w:szCs w:val="21"/>
                    </w:rPr>
                  </w:pPr>
                </w:p>
              </w:tc>
              <w:tc>
                <w:tcPr>
                  <w:tcW w:w="325" w:type="pct"/>
                  <w:vMerge w:val="continue"/>
                  <w:vAlign w:val="center"/>
                </w:tcPr>
                <w:p>
                  <w:pPr>
                    <w:widowControl/>
                    <w:spacing w:line="240" w:lineRule="auto"/>
                    <w:ind w:firstLine="0" w:firstLineChars="0"/>
                    <w:jc w:val="center"/>
                    <w:rPr>
                      <w:sz w:val="21"/>
                      <w:szCs w:val="21"/>
                      <w:u w:color="000000"/>
                    </w:rPr>
                  </w:pPr>
                </w:p>
              </w:tc>
              <w:tc>
                <w:tcPr>
                  <w:tcW w:w="380" w:type="pct"/>
                  <w:vMerge w:val="continue"/>
                  <w:vAlign w:val="center"/>
                </w:tcPr>
                <w:p>
                  <w:pPr>
                    <w:pStyle w:val="37"/>
                    <w:rPr>
                      <w:szCs w:val="21"/>
                    </w:rPr>
                  </w:pPr>
                </w:p>
              </w:tc>
              <w:tc>
                <w:tcPr>
                  <w:tcW w:w="380" w:type="pct"/>
                  <w:vMerge w:val="continue"/>
                  <w:vAlign w:val="center"/>
                </w:tcPr>
                <w:p>
                  <w:pPr>
                    <w:adjustRightInd w:val="0"/>
                    <w:snapToGrid w:val="0"/>
                    <w:spacing w:line="240" w:lineRule="auto"/>
                    <w:ind w:firstLine="0" w:firstLineChars="0"/>
                    <w:jc w:val="center"/>
                    <w:rPr>
                      <w:sz w:val="21"/>
                      <w:szCs w:val="21"/>
                    </w:rPr>
                  </w:pPr>
                </w:p>
              </w:tc>
              <w:tc>
                <w:tcPr>
                  <w:tcW w:w="271" w:type="pct"/>
                  <w:vMerge w:val="continue"/>
                  <w:vAlign w:val="center"/>
                </w:tcPr>
                <w:p>
                  <w:pPr>
                    <w:spacing w:line="240" w:lineRule="auto"/>
                    <w:ind w:firstLine="0" w:firstLineChars="0"/>
                    <w:jc w:val="center"/>
                    <w:rPr>
                      <w:rFonts w:eastAsia="等线"/>
                      <w:sz w:val="21"/>
                      <w:szCs w:val="21"/>
                    </w:rPr>
                  </w:pPr>
                </w:p>
              </w:tc>
              <w:tc>
                <w:tcPr>
                  <w:tcW w:w="326" w:type="pct"/>
                  <w:vMerge w:val="continue"/>
                  <w:vAlign w:val="center"/>
                </w:tcPr>
                <w:p>
                  <w:pPr>
                    <w:spacing w:line="240" w:lineRule="auto"/>
                    <w:ind w:firstLine="0" w:firstLineChars="0"/>
                    <w:jc w:val="center"/>
                    <w:rPr>
                      <w:rFonts w:eastAsia="等线"/>
                      <w:sz w:val="21"/>
                      <w:szCs w:val="21"/>
                    </w:rPr>
                  </w:pPr>
                </w:p>
              </w:tc>
              <w:tc>
                <w:tcPr>
                  <w:tcW w:w="326" w:type="pct"/>
                  <w:vMerge w:val="continue"/>
                  <w:vAlign w:val="center"/>
                </w:tcPr>
                <w:p>
                  <w:pPr>
                    <w:spacing w:line="240" w:lineRule="auto"/>
                    <w:ind w:firstLine="0" w:firstLineChars="0"/>
                    <w:jc w:val="center"/>
                    <w:rPr>
                      <w:rFonts w:eastAsia="等线"/>
                      <w:sz w:val="21"/>
                      <w:szCs w:val="21"/>
                    </w:rPr>
                  </w:pPr>
                </w:p>
              </w:tc>
              <w:tc>
                <w:tcPr>
                  <w:tcW w:w="380"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33.95</w:t>
                  </w:r>
                </w:p>
              </w:tc>
              <w:tc>
                <w:tcPr>
                  <w:tcW w:w="433"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52.77</w:t>
                  </w:r>
                </w:p>
              </w:tc>
              <w:tc>
                <w:tcPr>
                  <w:tcW w:w="326" w:type="pct"/>
                  <w:vMerge w:val="continue"/>
                  <w:vAlign w:val="center"/>
                </w:tcPr>
                <w:p>
                  <w:pPr>
                    <w:adjustRightInd w:val="0"/>
                    <w:snapToGrid w:val="0"/>
                    <w:spacing w:line="240" w:lineRule="auto"/>
                    <w:ind w:firstLine="0" w:firstLineChars="0"/>
                    <w:jc w:val="center"/>
                    <w:rPr>
                      <w:rFonts w:eastAsia="等线"/>
                      <w:sz w:val="21"/>
                      <w:szCs w:val="21"/>
                    </w:rPr>
                  </w:pPr>
                </w:p>
              </w:tc>
              <w:tc>
                <w:tcPr>
                  <w:tcW w:w="487" w:type="pct"/>
                  <w:vMerge w:val="continue"/>
                  <w:vAlign w:val="center"/>
                </w:tcPr>
                <w:p>
                  <w:pPr>
                    <w:adjustRightInd w:val="0"/>
                    <w:snapToGrid w:val="0"/>
                    <w:spacing w:line="240" w:lineRule="auto"/>
                    <w:ind w:firstLine="0" w:firstLineChars="0"/>
                    <w:jc w:val="center"/>
                    <w:rPr>
                      <w:rFonts w:eastAsia="等线"/>
                      <w:sz w:val="21"/>
                      <w:szCs w:val="21"/>
                    </w:rPr>
                  </w:pPr>
                </w:p>
              </w:tc>
              <w:tc>
                <w:tcPr>
                  <w:tcW w:w="488"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26.77</w:t>
                  </w:r>
                </w:p>
              </w:tc>
              <w:tc>
                <w:tcPr>
                  <w:tcW w:w="431" w:type="pct"/>
                  <w:vAlign w:val="center"/>
                </w:tcPr>
                <w:p>
                  <w:pPr>
                    <w:spacing w:line="240" w:lineRule="auto"/>
                    <w:ind w:firstLine="0" w:firstLineChars="0"/>
                    <w:jc w:val="center"/>
                    <w:rPr>
                      <w:rFonts w:eastAsia="等线"/>
                      <w:sz w:val="21"/>
                      <w:szCs w:val="21"/>
                    </w:rPr>
                  </w:pPr>
                  <w:r>
                    <w:rPr>
                      <w:rFonts w:eastAsia="等线"/>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175" w:type="pct"/>
                  <w:vMerge w:val="continue"/>
                  <w:vAlign w:val="center"/>
                </w:tcPr>
                <w:p>
                  <w:pPr>
                    <w:widowControl/>
                    <w:spacing w:line="240" w:lineRule="auto"/>
                    <w:ind w:firstLine="0" w:firstLineChars="0"/>
                    <w:jc w:val="center"/>
                    <w:rPr>
                      <w:sz w:val="21"/>
                      <w:szCs w:val="21"/>
                    </w:rPr>
                  </w:pPr>
                </w:p>
              </w:tc>
              <w:tc>
                <w:tcPr>
                  <w:tcW w:w="271" w:type="pct"/>
                  <w:vMerge w:val="continue"/>
                  <w:vAlign w:val="center"/>
                </w:tcPr>
                <w:p>
                  <w:pPr>
                    <w:widowControl/>
                    <w:spacing w:line="240" w:lineRule="auto"/>
                    <w:ind w:firstLine="0" w:firstLineChars="0"/>
                    <w:jc w:val="center"/>
                    <w:rPr>
                      <w:sz w:val="21"/>
                      <w:szCs w:val="21"/>
                    </w:rPr>
                  </w:pPr>
                </w:p>
              </w:tc>
              <w:tc>
                <w:tcPr>
                  <w:tcW w:w="325" w:type="pct"/>
                  <w:vMerge w:val="continue"/>
                  <w:vAlign w:val="center"/>
                </w:tcPr>
                <w:p>
                  <w:pPr>
                    <w:widowControl/>
                    <w:spacing w:line="240" w:lineRule="auto"/>
                    <w:ind w:firstLine="0" w:firstLineChars="0"/>
                    <w:jc w:val="center"/>
                    <w:rPr>
                      <w:sz w:val="21"/>
                      <w:szCs w:val="21"/>
                      <w:u w:color="000000"/>
                    </w:rPr>
                  </w:pPr>
                </w:p>
              </w:tc>
              <w:tc>
                <w:tcPr>
                  <w:tcW w:w="380" w:type="pct"/>
                  <w:vMerge w:val="continue"/>
                  <w:vAlign w:val="center"/>
                </w:tcPr>
                <w:p>
                  <w:pPr>
                    <w:pStyle w:val="37"/>
                    <w:rPr>
                      <w:szCs w:val="21"/>
                    </w:rPr>
                  </w:pPr>
                </w:p>
              </w:tc>
              <w:tc>
                <w:tcPr>
                  <w:tcW w:w="380" w:type="pct"/>
                  <w:vMerge w:val="continue"/>
                  <w:vAlign w:val="center"/>
                </w:tcPr>
                <w:p>
                  <w:pPr>
                    <w:adjustRightInd w:val="0"/>
                    <w:snapToGrid w:val="0"/>
                    <w:spacing w:line="240" w:lineRule="auto"/>
                    <w:ind w:firstLine="0" w:firstLineChars="0"/>
                    <w:jc w:val="center"/>
                    <w:rPr>
                      <w:sz w:val="21"/>
                      <w:szCs w:val="21"/>
                    </w:rPr>
                  </w:pPr>
                </w:p>
              </w:tc>
              <w:tc>
                <w:tcPr>
                  <w:tcW w:w="271" w:type="pct"/>
                  <w:vMerge w:val="continue"/>
                  <w:vAlign w:val="center"/>
                </w:tcPr>
                <w:p>
                  <w:pPr>
                    <w:spacing w:line="240" w:lineRule="auto"/>
                    <w:ind w:firstLine="0" w:firstLineChars="0"/>
                    <w:jc w:val="center"/>
                    <w:rPr>
                      <w:rFonts w:eastAsia="等线"/>
                      <w:sz w:val="21"/>
                      <w:szCs w:val="21"/>
                    </w:rPr>
                  </w:pPr>
                </w:p>
              </w:tc>
              <w:tc>
                <w:tcPr>
                  <w:tcW w:w="326" w:type="pct"/>
                  <w:vMerge w:val="continue"/>
                  <w:vAlign w:val="center"/>
                </w:tcPr>
                <w:p>
                  <w:pPr>
                    <w:spacing w:line="240" w:lineRule="auto"/>
                    <w:ind w:firstLine="0" w:firstLineChars="0"/>
                    <w:jc w:val="center"/>
                    <w:rPr>
                      <w:rFonts w:eastAsia="等线"/>
                      <w:sz w:val="21"/>
                      <w:szCs w:val="21"/>
                    </w:rPr>
                  </w:pPr>
                </w:p>
              </w:tc>
              <w:tc>
                <w:tcPr>
                  <w:tcW w:w="326" w:type="pct"/>
                  <w:vMerge w:val="continue"/>
                  <w:vAlign w:val="center"/>
                </w:tcPr>
                <w:p>
                  <w:pPr>
                    <w:spacing w:line="240" w:lineRule="auto"/>
                    <w:ind w:firstLine="0" w:firstLineChars="0"/>
                    <w:jc w:val="center"/>
                    <w:rPr>
                      <w:rFonts w:eastAsia="等线"/>
                      <w:sz w:val="21"/>
                      <w:szCs w:val="21"/>
                    </w:rPr>
                  </w:pPr>
                </w:p>
              </w:tc>
              <w:tc>
                <w:tcPr>
                  <w:tcW w:w="380"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38.16</w:t>
                  </w:r>
                </w:p>
              </w:tc>
              <w:tc>
                <w:tcPr>
                  <w:tcW w:w="433"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52.77</w:t>
                  </w:r>
                </w:p>
              </w:tc>
              <w:tc>
                <w:tcPr>
                  <w:tcW w:w="326" w:type="pct"/>
                  <w:vMerge w:val="continue"/>
                  <w:vAlign w:val="center"/>
                </w:tcPr>
                <w:p>
                  <w:pPr>
                    <w:adjustRightInd w:val="0"/>
                    <w:snapToGrid w:val="0"/>
                    <w:spacing w:line="240" w:lineRule="auto"/>
                    <w:ind w:firstLine="0" w:firstLineChars="0"/>
                    <w:jc w:val="center"/>
                    <w:rPr>
                      <w:rFonts w:eastAsia="等线"/>
                      <w:sz w:val="21"/>
                      <w:szCs w:val="21"/>
                    </w:rPr>
                  </w:pPr>
                </w:p>
              </w:tc>
              <w:tc>
                <w:tcPr>
                  <w:tcW w:w="487" w:type="pct"/>
                  <w:vMerge w:val="continue"/>
                  <w:vAlign w:val="center"/>
                </w:tcPr>
                <w:p>
                  <w:pPr>
                    <w:adjustRightInd w:val="0"/>
                    <w:snapToGrid w:val="0"/>
                    <w:spacing w:line="240" w:lineRule="auto"/>
                    <w:ind w:firstLine="0" w:firstLineChars="0"/>
                    <w:jc w:val="center"/>
                    <w:rPr>
                      <w:rFonts w:eastAsia="等线"/>
                      <w:sz w:val="21"/>
                      <w:szCs w:val="21"/>
                    </w:rPr>
                  </w:pPr>
                </w:p>
              </w:tc>
              <w:tc>
                <w:tcPr>
                  <w:tcW w:w="488"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26.77</w:t>
                  </w:r>
                </w:p>
              </w:tc>
              <w:tc>
                <w:tcPr>
                  <w:tcW w:w="431" w:type="pct"/>
                  <w:vAlign w:val="center"/>
                </w:tcPr>
                <w:p>
                  <w:pPr>
                    <w:spacing w:line="240" w:lineRule="auto"/>
                    <w:ind w:firstLine="0" w:firstLineChars="0"/>
                    <w:jc w:val="center"/>
                    <w:rPr>
                      <w:rFonts w:eastAsia="等线"/>
                      <w:sz w:val="21"/>
                      <w:szCs w:val="21"/>
                    </w:rPr>
                  </w:pPr>
                  <w:r>
                    <w:rPr>
                      <w:rFonts w:eastAsia="等线"/>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175" w:type="pct"/>
                  <w:vMerge w:val="restart"/>
                  <w:vAlign w:val="center"/>
                </w:tcPr>
                <w:p>
                  <w:pPr>
                    <w:widowControl/>
                    <w:spacing w:line="240" w:lineRule="auto"/>
                    <w:ind w:firstLine="0" w:firstLineChars="0"/>
                    <w:jc w:val="center"/>
                    <w:rPr>
                      <w:sz w:val="21"/>
                      <w:szCs w:val="21"/>
                    </w:rPr>
                  </w:pPr>
                  <w:r>
                    <w:rPr>
                      <w:sz w:val="21"/>
                      <w:szCs w:val="21"/>
                    </w:rPr>
                    <w:t>4</w:t>
                  </w:r>
                </w:p>
              </w:tc>
              <w:tc>
                <w:tcPr>
                  <w:tcW w:w="271" w:type="pct"/>
                  <w:vMerge w:val="continue"/>
                  <w:vAlign w:val="center"/>
                </w:tcPr>
                <w:p>
                  <w:pPr>
                    <w:widowControl/>
                    <w:spacing w:line="240" w:lineRule="auto"/>
                    <w:ind w:firstLine="0" w:firstLineChars="0"/>
                    <w:jc w:val="center"/>
                    <w:rPr>
                      <w:sz w:val="21"/>
                      <w:szCs w:val="21"/>
                    </w:rPr>
                  </w:pPr>
                </w:p>
              </w:tc>
              <w:tc>
                <w:tcPr>
                  <w:tcW w:w="325" w:type="pct"/>
                  <w:vMerge w:val="restart"/>
                  <w:vAlign w:val="center"/>
                </w:tcPr>
                <w:p>
                  <w:pPr>
                    <w:widowControl/>
                    <w:spacing w:line="240" w:lineRule="auto"/>
                    <w:ind w:firstLine="0" w:firstLineChars="0"/>
                    <w:jc w:val="center"/>
                    <w:rPr>
                      <w:sz w:val="21"/>
                      <w:szCs w:val="21"/>
                      <w:u w:color="000000"/>
                    </w:rPr>
                  </w:pPr>
                  <w:r>
                    <w:rPr>
                      <w:rFonts w:hint="eastAsia"/>
                      <w:sz w:val="21"/>
                      <w:szCs w:val="21"/>
                      <w:u w:color="000000"/>
                    </w:rPr>
                    <w:t>污水处理间提升泵</w:t>
                  </w:r>
                </w:p>
              </w:tc>
              <w:tc>
                <w:tcPr>
                  <w:tcW w:w="380" w:type="pct"/>
                  <w:vMerge w:val="restart"/>
                  <w:vAlign w:val="center"/>
                </w:tcPr>
                <w:p>
                  <w:pPr>
                    <w:pStyle w:val="37"/>
                    <w:rPr>
                      <w:szCs w:val="21"/>
                    </w:rPr>
                  </w:pPr>
                  <w:r>
                    <w:rPr>
                      <w:rFonts w:hint="eastAsia"/>
                      <w:szCs w:val="21"/>
                    </w:rPr>
                    <w:t>60</w:t>
                  </w:r>
                </w:p>
              </w:tc>
              <w:tc>
                <w:tcPr>
                  <w:tcW w:w="380" w:type="pct"/>
                  <w:vMerge w:val="continue"/>
                  <w:vAlign w:val="center"/>
                </w:tcPr>
                <w:p>
                  <w:pPr>
                    <w:adjustRightInd w:val="0"/>
                    <w:snapToGrid w:val="0"/>
                    <w:spacing w:line="240" w:lineRule="auto"/>
                    <w:ind w:firstLine="0" w:firstLineChars="0"/>
                    <w:jc w:val="center"/>
                    <w:rPr>
                      <w:sz w:val="21"/>
                      <w:szCs w:val="21"/>
                    </w:rPr>
                  </w:pPr>
                </w:p>
              </w:tc>
              <w:tc>
                <w:tcPr>
                  <w:tcW w:w="271" w:type="pct"/>
                  <w:vMerge w:val="restar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750.31</w:t>
                  </w:r>
                </w:p>
              </w:tc>
              <w:tc>
                <w:tcPr>
                  <w:tcW w:w="326" w:type="pct"/>
                  <w:vMerge w:val="restar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680.48</w:t>
                  </w:r>
                </w:p>
              </w:tc>
              <w:tc>
                <w:tcPr>
                  <w:tcW w:w="326" w:type="pct"/>
                  <w:vMerge w:val="restar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1</w:t>
                  </w:r>
                </w:p>
              </w:tc>
              <w:tc>
                <w:tcPr>
                  <w:tcW w:w="380"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19.06</w:t>
                  </w:r>
                </w:p>
              </w:tc>
              <w:tc>
                <w:tcPr>
                  <w:tcW w:w="433"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52.73</w:t>
                  </w:r>
                </w:p>
              </w:tc>
              <w:tc>
                <w:tcPr>
                  <w:tcW w:w="326" w:type="pct"/>
                  <w:vMerge w:val="restart"/>
                  <w:vAlign w:val="center"/>
                </w:tcPr>
                <w:p>
                  <w:pPr>
                    <w:adjustRightInd w:val="0"/>
                    <w:snapToGrid w:val="0"/>
                    <w:spacing w:line="240" w:lineRule="auto"/>
                    <w:ind w:firstLine="0" w:firstLineChars="0"/>
                    <w:jc w:val="center"/>
                    <w:rPr>
                      <w:sz w:val="21"/>
                      <w:szCs w:val="21"/>
                    </w:rPr>
                  </w:pPr>
                  <w:r>
                    <w:rPr>
                      <w:rFonts w:hint="eastAsia"/>
                      <w:sz w:val="21"/>
                      <w:szCs w:val="21"/>
                      <w:lang w:val="zh-CN"/>
                    </w:rPr>
                    <w:t>昼夜</w:t>
                  </w:r>
                </w:p>
              </w:tc>
              <w:tc>
                <w:tcPr>
                  <w:tcW w:w="487" w:type="pct"/>
                  <w:vMerge w:val="continue"/>
                  <w:vAlign w:val="center"/>
                </w:tcPr>
                <w:p>
                  <w:pPr>
                    <w:adjustRightInd w:val="0"/>
                    <w:snapToGrid w:val="0"/>
                    <w:spacing w:line="240" w:lineRule="auto"/>
                    <w:ind w:firstLine="0" w:firstLineChars="0"/>
                    <w:jc w:val="center"/>
                    <w:rPr>
                      <w:sz w:val="21"/>
                      <w:szCs w:val="21"/>
                    </w:rPr>
                  </w:pPr>
                </w:p>
              </w:tc>
              <w:tc>
                <w:tcPr>
                  <w:tcW w:w="488"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26.73</w:t>
                  </w:r>
                </w:p>
              </w:tc>
              <w:tc>
                <w:tcPr>
                  <w:tcW w:w="431" w:type="pct"/>
                  <w:vAlign w:val="center"/>
                </w:tcPr>
                <w:p>
                  <w:pPr>
                    <w:spacing w:line="240" w:lineRule="auto"/>
                    <w:ind w:firstLine="0" w:firstLineChars="0"/>
                    <w:jc w:val="center"/>
                    <w:rPr>
                      <w:rFonts w:eastAsia="等线"/>
                      <w:sz w:val="21"/>
                      <w:szCs w:val="21"/>
                    </w:rPr>
                  </w:pPr>
                  <w:r>
                    <w:rPr>
                      <w:rFonts w:eastAsia="等线"/>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175" w:type="pct"/>
                  <w:vMerge w:val="continue"/>
                  <w:vAlign w:val="center"/>
                </w:tcPr>
                <w:p>
                  <w:pPr>
                    <w:widowControl/>
                    <w:spacing w:line="240" w:lineRule="auto"/>
                    <w:ind w:firstLine="0" w:firstLineChars="0"/>
                    <w:jc w:val="center"/>
                    <w:rPr>
                      <w:sz w:val="21"/>
                      <w:szCs w:val="21"/>
                    </w:rPr>
                  </w:pPr>
                </w:p>
              </w:tc>
              <w:tc>
                <w:tcPr>
                  <w:tcW w:w="271" w:type="pct"/>
                  <w:vMerge w:val="continue"/>
                  <w:vAlign w:val="center"/>
                </w:tcPr>
                <w:p>
                  <w:pPr>
                    <w:widowControl/>
                    <w:spacing w:line="240" w:lineRule="auto"/>
                    <w:ind w:firstLine="0" w:firstLineChars="0"/>
                    <w:jc w:val="center"/>
                    <w:rPr>
                      <w:sz w:val="21"/>
                      <w:szCs w:val="21"/>
                    </w:rPr>
                  </w:pPr>
                </w:p>
              </w:tc>
              <w:tc>
                <w:tcPr>
                  <w:tcW w:w="325" w:type="pct"/>
                  <w:vMerge w:val="continue"/>
                  <w:vAlign w:val="center"/>
                </w:tcPr>
                <w:p>
                  <w:pPr>
                    <w:widowControl/>
                    <w:spacing w:line="240" w:lineRule="auto"/>
                    <w:ind w:firstLine="0" w:firstLineChars="0"/>
                    <w:jc w:val="center"/>
                    <w:rPr>
                      <w:sz w:val="21"/>
                      <w:szCs w:val="21"/>
                      <w:u w:color="000000"/>
                    </w:rPr>
                  </w:pPr>
                </w:p>
              </w:tc>
              <w:tc>
                <w:tcPr>
                  <w:tcW w:w="380" w:type="pct"/>
                  <w:vMerge w:val="continue"/>
                  <w:vAlign w:val="center"/>
                </w:tcPr>
                <w:p>
                  <w:pPr>
                    <w:pStyle w:val="37"/>
                    <w:rPr>
                      <w:szCs w:val="21"/>
                    </w:rPr>
                  </w:pPr>
                </w:p>
              </w:tc>
              <w:tc>
                <w:tcPr>
                  <w:tcW w:w="380" w:type="pct"/>
                  <w:vMerge w:val="continue"/>
                  <w:vAlign w:val="center"/>
                </w:tcPr>
                <w:p>
                  <w:pPr>
                    <w:adjustRightInd w:val="0"/>
                    <w:snapToGrid w:val="0"/>
                    <w:spacing w:line="240" w:lineRule="auto"/>
                    <w:ind w:firstLine="0" w:firstLineChars="0"/>
                    <w:jc w:val="center"/>
                    <w:rPr>
                      <w:sz w:val="21"/>
                      <w:szCs w:val="21"/>
                    </w:rPr>
                  </w:pPr>
                </w:p>
              </w:tc>
              <w:tc>
                <w:tcPr>
                  <w:tcW w:w="271" w:type="pct"/>
                  <w:vMerge w:val="continue"/>
                  <w:vAlign w:val="center"/>
                </w:tcPr>
                <w:p>
                  <w:pPr>
                    <w:spacing w:line="240" w:lineRule="auto"/>
                    <w:ind w:firstLine="0" w:firstLineChars="0"/>
                    <w:jc w:val="center"/>
                    <w:rPr>
                      <w:sz w:val="21"/>
                      <w:szCs w:val="21"/>
                    </w:rPr>
                  </w:pPr>
                </w:p>
              </w:tc>
              <w:tc>
                <w:tcPr>
                  <w:tcW w:w="326" w:type="pct"/>
                  <w:vMerge w:val="continue"/>
                  <w:vAlign w:val="center"/>
                </w:tcPr>
                <w:p>
                  <w:pPr>
                    <w:spacing w:line="240" w:lineRule="auto"/>
                    <w:ind w:firstLine="0" w:firstLineChars="0"/>
                    <w:jc w:val="center"/>
                    <w:rPr>
                      <w:sz w:val="21"/>
                      <w:szCs w:val="21"/>
                    </w:rPr>
                  </w:pPr>
                </w:p>
              </w:tc>
              <w:tc>
                <w:tcPr>
                  <w:tcW w:w="326" w:type="pct"/>
                  <w:vMerge w:val="continue"/>
                  <w:vAlign w:val="center"/>
                </w:tcPr>
                <w:p>
                  <w:pPr>
                    <w:spacing w:line="240" w:lineRule="auto"/>
                    <w:ind w:firstLine="0" w:firstLineChars="0"/>
                    <w:jc w:val="center"/>
                    <w:rPr>
                      <w:sz w:val="21"/>
                      <w:szCs w:val="21"/>
                    </w:rPr>
                  </w:pPr>
                </w:p>
              </w:tc>
              <w:tc>
                <w:tcPr>
                  <w:tcW w:w="380"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6.07</w:t>
                  </w:r>
                </w:p>
              </w:tc>
              <w:tc>
                <w:tcPr>
                  <w:tcW w:w="433"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52.77</w:t>
                  </w:r>
                </w:p>
              </w:tc>
              <w:tc>
                <w:tcPr>
                  <w:tcW w:w="326" w:type="pct"/>
                  <w:vMerge w:val="continue"/>
                  <w:vAlign w:val="center"/>
                </w:tcPr>
                <w:p>
                  <w:pPr>
                    <w:adjustRightInd w:val="0"/>
                    <w:snapToGrid w:val="0"/>
                    <w:spacing w:line="240" w:lineRule="auto"/>
                    <w:ind w:firstLine="0" w:firstLineChars="0"/>
                    <w:jc w:val="center"/>
                    <w:rPr>
                      <w:sz w:val="21"/>
                      <w:szCs w:val="21"/>
                    </w:rPr>
                  </w:pPr>
                </w:p>
              </w:tc>
              <w:tc>
                <w:tcPr>
                  <w:tcW w:w="487" w:type="pct"/>
                  <w:vMerge w:val="continue"/>
                  <w:vAlign w:val="center"/>
                </w:tcPr>
                <w:p>
                  <w:pPr>
                    <w:adjustRightInd w:val="0"/>
                    <w:snapToGrid w:val="0"/>
                    <w:spacing w:line="240" w:lineRule="auto"/>
                    <w:ind w:firstLine="0" w:firstLineChars="0"/>
                    <w:jc w:val="center"/>
                    <w:rPr>
                      <w:sz w:val="21"/>
                      <w:szCs w:val="21"/>
                    </w:rPr>
                  </w:pPr>
                </w:p>
              </w:tc>
              <w:tc>
                <w:tcPr>
                  <w:tcW w:w="488"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26.77</w:t>
                  </w:r>
                </w:p>
              </w:tc>
              <w:tc>
                <w:tcPr>
                  <w:tcW w:w="431" w:type="pct"/>
                  <w:vAlign w:val="center"/>
                </w:tcPr>
                <w:p>
                  <w:pPr>
                    <w:spacing w:line="240" w:lineRule="auto"/>
                    <w:ind w:firstLine="0" w:firstLineChars="0"/>
                    <w:jc w:val="center"/>
                    <w:rPr>
                      <w:rFonts w:eastAsia="等线"/>
                      <w:sz w:val="21"/>
                      <w:szCs w:val="21"/>
                    </w:rPr>
                  </w:pPr>
                  <w:r>
                    <w:rPr>
                      <w:rFonts w:eastAsia="等线"/>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175" w:type="pct"/>
                  <w:vMerge w:val="continue"/>
                  <w:vAlign w:val="center"/>
                </w:tcPr>
                <w:p>
                  <w:pPr>
                    <w:widowControl/>
                    <w:spacing w:line="240" w:lineRule="auto"/>
                    <w:ind w:firstLine="0" w:firstLineChars="0"/>
                    <w:jc w:val="center"/>
                    <w:rPr>
                      <w:sz w:val="21"/>
                      <w:szCs w:val="21"/>
                    </w:rPr>
                  </w:pPr>
                </w:p>
              </w:tc>
              <w:tc>
                <w:tcPr>
                  <w:tcW w:w="271" w:type="pct"/>
                  <w:vMerge w:val="continue"/>
                  <w:vAlign w:val="center"/>
                </w:tcPr>
                <w:p>
                  <w:pPr>
                    <w:widowControl/>
                    <w:spacing w:line="240" w:lineRule="auto"/>
                    <w:ind w:firstLine="0" w:firstLineChars="0"/>
                    <w:jc w:val="center"/>
                    <w:rPr>
                      <w:sz w:val="21"/>
                      <w:szCs w:val="21"/>
                    </w:rPr>
                  </w:pPr>
                </w:p>
              </w:tc>
              <w:tc>
                <w:tcPr>
                  <w:tcW w:w="325" w:type="pct"/>
                  <w:vMerge w:val="continue"/>
                  <w:vAlign w:val="center"/>
                </w:tcPr>
                <w:p>
                  <w:pPr>
                    <w:widowControl/>
                    <w:spacing w:line="240" w:lineRule="auto"/>
                    <w:ind w:firstLine="0" w:firstLineChars="0"/>
                    <w:jc w:val="center"/>
                    <w:rPr>
                      <w:sz w:val="21"/>
                      <w:szCs w:val="21"/>
                      <w:u w:color="000000"/>
                    </w:rPr>
                  </w:pPr>
                </w:p>
              </w:tc>
              <w:tc>
                <w:tcPr>
                  <w:tcW w:w="380" w:type="pct"/>
                  <w:vMerge w:val="continue"/>
                  <w:vAlign w:val="center"/>
                </w:tcPr>
                <w:p>
                  <w:pPr>
                    <w:pStyle w:val="37"/>
                    <w:rPr>
                      <w:szCs w:val="21"/>
                    </w:rPr>
                  </w:pPr>
                </w:p>
              </w:tc>
              <w:tc>
                <w:tcPr>
                  <w:tcW w:w="380" w:type="pct"/>
                  <w:vMerge w:val="continue"/>
                  <w:vAlign w:val="center"/>
                </w:tcPr>
                <w:p>
                  <w:pPr>
                    <w:adjustRightInd w:val="0"/>
                    <w:snapToGrid w:val="0"/>
                    <w:spacing w:line="240" w:lineRule="auto"/>
                    <w:ind w:firstLine="0" w:firstLineChars="0"/>
                    <w:jc w:val="center"/>
                    <w:rPr>
                      <w:sz w:val="21"/>
                      <w:szCs w:val="21"/>
                    </w:rPr>
                  </w:pPr>
                </w:p>
              </w:tc>
              <w:tc>
                <w:tcPr>
                  <w:tcW w:w="271" w:type="pct"/>
                  <w:vMerge w:val="continue"/>
                  <w:vAlign w:val="center"/>
                </w:tcPr>
                <w:p>
                  <w:pPr>
                    <w:spacing w:line="240" w:lineRule="auto"/>
                    <w:ind w:firstLine="0" w:firstLineChars="0"/>
                    <w:jc w:val="center"/>
                    <w:rPr>
                      <w:sz w:val="21"/>
                      <w:szCs w:val="21"/>
                    </w:rPr>
                  </w:pPr>
                </w:p>
              </w:tc>
              <w:tc>
                <w:tcPr>
                  <w:tcW w:w="326" w:type="pct"/>
                  <w:vMerge w:val="continue"/>
                  <w:vAlign w:val="center"/>
                </w:tcPr>
                <w:p>
                  <w:pPr>
                    <w:spacing w:line="240" w:lineRule="auto"/>
                    <w:ind w:firstLine="0" w:firstLineChars="0"/>
                    <w:jc w:val="center"/>
                    <w:rPr>
                      <w:sz w:val="21"/>
                      <w:szCs w:val="21"/>
                    </w:rPr>
                  </w:pPr>
                </w:p>
              </w:tc>
              <w:tc>
                <w:tcPr>
                  <w:tcW w:w="326" w:type="pct"/>
                  <w:vMerge w:val="continue"/>
                  <w:vAlign w:val="center"/>
                </w:tcPr>
                <w:p>
                  <w:pPr>
                    <w:spacing w:line="240" w:lineRule="auto"/>
                    <w:ind w:firstLine="0" w:firstLineChars="0"/>
                    <w:jc w:val="center"/>
                    <w:rPr>
                      <w:sz w:val="21"/>
                      <w:szCs w:val="21"/>
                    </w:rPr>
                  </w:pPr>
                </w:p>
              </w:tc>
              <w:tc>
                <w:tcPr>
                  <w:tcW w:w="380"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9.56</w:t>
                  </w:r>
                </w:p>
              </w:tc>
              <w:tc>
                <w:tcPr>
                  <w:tcW w:w="433"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52.74</w:t>
                  </w:r>
                </w:p>
              </w:tc>
              <w:tc>
                <w:tcPr>
                  <w:tcW w:w="326" w:type="pct"/>
                  <w:vMerge w:val="continue"/>
                  <w:vAlign w:val="center"/>
                </w:tcPr>
                <w:p>
                  <w:pPr>
                    <w:adjustRightInd w:val="0"/>
                    <w:snapToGrid w:val="0"/>
                    <w:spacing w:line="240" w:lineRule="auto"/>
                    <w:ind w:firstLine="0" w:firstLineChars="0"/>
                    <w:jc w:val="center"/>
                    <w:rPr>
                      <w:sz w:val="21"/>
                      <w:szCs w:val="21"/>
                    </w:rPr>
                  </w:pPr>
                </w:p>
              </w:tc>
              <w:tc>
                <w:tcPr>
                  <w:tcW w:w="487" w:type="pct"/>
                  <w:vMerge w:val="continue"/>
                  <w:vAlign w:val="center"/>
                </w:tcPr>
                <w:p>
                  <w:pPr>
                    <w:adjustRightInd w:val="0"/>
                    <w:snapToGrid w:val="0"/>
                    <w:spacing w:line="240" w:lineRule="auto"/>
                    <w:ind w:firstLine="0" w:firstLineChars="0"/>
                    <w:jc w:val="center"/>
                    <w:rPr>
                      <w:sz w:val="21"/>
                      <w:szCs w:val="21"/>
                    </w:rPr>
                  </w:pPr>
                </w:p>
              </w:tc>
              <w:tc>
                <w:tcPr>
                  <w:tcW w:w="488"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26.74</w:t>
                  </w:r>
                </w:p>
              </w:tc>
              <w:tc>
                <w:tcPr>
                  <w:tcW w:w="431" w:type="pct"/>
                  <w:vAlign w:val="center"/>
                </w:tcPr>
                <w:p>
                  <w:pPr>
                    <w:spacing w:line="240" w:lineRule="auto"/>
                    <w:ind w:firstLine="0" w:firstLineChars="0"/>
                    <w:jc w:val="center"/>
                    <w:rPr>
                      <w:rFonts w:eastAsia="等线"/>
                      <w:sz w:val="21"/>
                      <w:szCs w:val="21"/>
                    </w:rPr>
                  </w:pPr>
                  <w:r>
                    <w:rPr>
                      <w:rFonts w:hint="eastAsia" w:eastAsia="等线"/>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175" w:type="pct"/>
                  <w:vMerge w:val="continue"/>
                  <w:vAlign w:val="center"/>
                </w:tcPr>
                <w:p>
                  <w:pPr>
                    <w:widowControl/>
                    <w:spacing w:line="240" w:lineRule="auto"/>
                    <w:ind w:firstLine="0" w:firstLineChars="0"/>
                    <w:jc w:val="center"/>
                    <w:rPr>
                      <w:sz w:val="21"/>
                      <w:szCs w:val="21"/>
                    </w:rPr>
                  </w:pPr>
                </w:p>
              </w:tc>
              <w:tc>
                <w:tcPr>
                  <w:tcW w:w="271" w:type="pct"/>
                  <w:vMerge w:val="continue"/>
                  <w:vAlign w:val="center"/>
                </w:tcPr>
                <w:p>
                  <w:pPr>
                    <w:widowControl/>
                    <w:spacing w:line="240" w:lineRule="auto"/>
                    <w:ind w:firstLine="0" w:firstLineChars="0"/>
                    <w:jc w:val="center"/>
                    <w:rPr>
                      <w:sz w:val="21"/>
                      <w:szCs w:val="21"/>
                    </w:rPr>
                  </w:pPr>
                </w:p>
              </w:tc>
              <w:tc>
                <w:tcPr>
                  <w:tcW w:w="325" w:type="pct"/>
                  <w:vMerge w:val="continue"/>
                  <w:vAlign w:val="center"/>
                </w:tcPr>
                <w:p>
                  <w:pPr>
                    <w:widowControl/>
                    <w:spacing w:line="240" w:lineRule="auto"/>
                    <w:ind w:firstLine="0" w:firstLineChars="0"/>
                    <w:jc w:val="center"/>
                    <w:rPr>
                      <w:sz w:val="21"/>
                      <w:szCs w:val="21"/>
                      <w:u w:color="000000"/>
                    </w:rPr>
                  </w:pPr>
                </w:p>
              </w:tc>
              <w:tc>
                <w:tcPr>
                  <w:tcW w:w="380" w:type="pct"/>
                  <w:vMerge w:val="continue"/>
                  <w:vAlign w:val="center"/>
                </w:tcPr>
                <w:p>
                  <w:pPr>
                    <w:pStyle w:val="37"/>
                    <w:rPr>
                      <w:szCs w:val="21"/>
                    </w:rPr>
                  </w:pPr>
                </w:p>
              </w:tc>
              <w:tc>
                <w:tcPr>
                  <w:tcW w:w="380" w:type="pct"/>
                  <w:vMerge w:val="continue"/>
                  <w:vAlign w:val="center"/>
                </w:tcPr>
                <w:p>
                  <w:pPr>
                    <w:adjustRightInd w:val="0"/>
                    <w:snapToGrid w:val="0"/>
                    <w:spacing w:line="240" w:lineRule="auto"/>
                    <w:ind w:firstLine="0" w:firstLineChars="0"/>
                    <w:jc w:val="center"/>
                    <w:rPr>
                      <w:sz w:val="21"/>
                      <w:szCs w:val="21"/>
                    </w:rPr>
                  </w:pPr>
                </w:p>
              </w:tc>
              <w:tc>
                <w:tcPr>
                  <w:tcW w:w="271" w:type="pct"/>
                  <w:vMerge w:val="continue"/>
                  <w:vAlign w:val="center"/>
                </w:tcPr>
                <w:p>
                  <w:pPr>
                    <w:spacing w:line="240" w:lineRule="auto"/>
                    <w:ind w:firstLine="0" w:firstLineChars="0"/>
                    <w:jc w:val="center"/>
                    <w:rPr>
                      <w:sz w:val="21"/>
                      <w:szCs w:val="21"/>
                    </w:rPr>
                  </w:pPr>
                </w:p>
              </w:tc>
              <w:tc>
                <w:tcPr>
                  <w:tcW w:w="326" w:type="pct"/>
                  <w:vMerge w:val="continue"/>
                  <w:vAlign w:val="center"/>
                </w:tcPr>
                <w:p>
                  <w:pPr>
                    <w:spacing w:line="240" w:lineRule="auto"/>
                    <w:ind w:firstLine="0" w:firstLineChars="0"/>
                    <w:jc w:val="center"/>
                    <w:rPr>
                      <w:sz w:val="21"/>
                      <w:szCs w:val="21"/>
                    </w:rPr>
                  </w:pPr>
                </w:p>
              </w:tc>
              <w:tc>
                <w:tcPr>
                  <w:tcW w:w="326" w:type="pct"/>
                  <w:vMerge w:val="continue"/>
                  <w:vAlign w:val="center"/>
                </w:tcPr>
                <w:p>
                  <w:pPr>
                    <w:spacing w:line="240" w:lineRule="auto"/>
                    <w:ind w:firstLine="0" w:firstLineChars="0"/>
                    <w:jc w:val="center"/>
                    <w:rPr>
                      <w:sz w:val="21"/>
                      <w:szCs w:val="21"/>
                    </w:rPr>
                  </w:pPr>
                </w:p>
              </w:tc>
              <w:tc>
                <w:tcPr>
                  <w:tcW w:w="380"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26.09</w:t>
                  </w:r>
                </w:p>
              </w:tc>
              <w:tc>
                <w:tcPr>
                  <w:tcW w:w="433"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52.73</w:t>
                  </w:r>
                </w:p>
              </w:tc>
              <w:tc>
                <w:tcPr>
                  <w:tcW w:w="326" w:type="pct"/>
                  <w:vMerge w:val="continue"/>
                  <w:vAlign w:val="center"/>
                </w:tcPr>
                <w:p>
                  <w:pPr>
                    <w:adjustRightInd w:val="0"/>
                    <w:snapToGrid w:val="0"/>
                    <w:spacing w:line="240" w:lineRule="auto"/>
                    <w:ind w:firstLine="0" w:firstLineChars="0"/>
                    <w:jc w:val="center"/>
                    <w:rPr>
                      <w:sz w:val="21"/>
                      <w:szCs w:val="21"/>
                    </w:rPr>
                  </w:pPr>
                </w:p>
              </w:tc>
              <w:tc>
                <w:tcPr>
                  <w:tcW w:w="487" w:type="pct"/>
                  <w:vMerge w:val="continue"/>
                  <w:vAlign w:val="center"/>
                </w:tcPr>
                <w:p>
                  <w:pPr>
                    <w:adjustRightInd w:val="0"/>
                    <w:snapToGrid w:val="0"/>
                    <w:spacing w:line="240" w:lineRule="auto"/>
                    <w:ind w:firstLine="0" w:firstLineChars="0"/>
                    <w:jc w:val="center"/>
                    <w:rPr>
                      <w:sz w:val="21"/>
                      <w:szCs w:val="21"/>
                    </w:rPr>
                  </w:pPr>
                </w:p>
              </w:tc>
              <w:tc>
                <w:tcPr>
                  <w:tcW w:w="488"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26.73</w:t>
                  </w:r>
                </w:p>
              </w:tc>
              <w:tc>
                <w:tcPr>
                  <w:tcW w:w="431" w:type="pct"/>
                  <w:vAlign w:val="center"/>
                </w:tcPr>
                <w:p>
                  <w:pPr>
                    <w:spacing w:line="240" w:lineRule="auto"/>
                    <w:ind w:firstLine="0" w:firstLineChars="0"/>
                    <w:jc w:val="center"/>
                    <w:rPr>
                      <w:rFonts w:eastAsia="等线"/>
                      <w:sz w:val="21"/>
                      <w:szCs w:val="21"/>
                    </w:rPr>
                  </w:pPr>
                  <w:r>
                    <w:rPr>
                      <w:rFonts w:eastAsia="等线"/>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175" w:type="pct"/>
                  <w:vMerge w:val="continue"/>
                  <w:vAlign w:val="center"/>
                </w:tcPr>
                <w:p>
                  <w:pPr>
                    <w:widowControl/>
                    <w:spacing w:line="240" w:lineRule="auto"/>
                    <w:ind w:firstLine="0" w:firstLineChars="0"/>
                    <w:jc w:val="center"/>
                    <w:rPr>
                      <w:sz w:val="21"/>
                      <w:szCs w:val="21"/>
                    </w:rPr>
                  </w:pPr>
                </w:p>
              </w:tc>
              <w:tc>
                <w:tcPr>
                  <w:tcW w:w="271" w:type="pct"/>
                  <w:vMerge w:val="continue"/>
                  <w:vAlign w:val="center"/>
                </w:tcPr>
                <w:p>
                  <w:pPr>
                    <w:widowControl/>
                    <w:spacing w:line="240" w:lineRule="auto"/>
                    <w:ind w:firstLine="0" w:firstLineChars="0"/>
                    <w:jc w:val="center"/>
                    <w:rPr>
                      <w:sz w:val="21"/>
                      <w:szCs w:val="21"/>
                    </w:rPr>
                  </w:pPr>
                </w:p>
              </w:tc>
              <w:tc>
                <w:tcPr>
                  <w:tcW w:w="325" w:type="pct"/>
                  <w:vMerge w:val="continue"/>
                  <w:vAlign w:val="center"/>
                </w:tcPr>
                <w:p>
                  <w:pPr>
                    <w:widowControl/>
                    <w:spacing w:line="240" w:lineRule="auto"/>
                    <w:ind w:firstLine="0" w:firstLineChars="0"/>
                    <w:jc w:val="center"/>
                    <w:rPr>
                      <w:sz w:val="21"/>
                      <w:szCs w:val="21"/>
                      <w:u w:color="000000"/>
                    </w:rPr>
                  </w:pPr>
                </w:p>
              </w:tc>
              <w:tc>
                <w:tcPr>
                  <w:tcW w:w="380" w:type="pct"/>
                  <w:vMerge w:val="continue"/>
                  <w:vAlign w:val="center"/>
                </w:tcPr>
                <w:p>
                  <w:pPr>
                    <w:pStyle w:val="37"/>
                    <w:rPr>
                      <w:szCs w:val="21"/>
                    </w:rPr>
                  </w:pPr>
                </w:p>
              </w:tc>
              <w:tc>
                <w:tcPr>
                  <w:tcW w:w="380" w:type="pct"/>
                  <w:vMerge w:val="continue"/>
                  <w:vAlign w:val="center"/>
                </w:tcPr>
                <w:p>
                  <w:pPr>
                    <w:adjustRightInd w:val="0"/>
                    <w:snapToGrid w:val="0"/>
                    <w:spacing w:line="240" w:lineRule="auto"/>
                    <w:ind w:firstLine="0" w:firstLineChars="0"/>
                    <w:jc w:val="center"/>
                    <w:rPr>
                      <w:sz w:val="21"/>
                      <w:szCs w:val="21"/>
                    </w:rPr>
                  </w:pPr>
                </w:p>
              </w:tc>
              <w:tc>
                <w:tcPr>
                  <w:tcW w:w="271" w:type="pct"/>
                  <w:vMerge w:val="continue"/>
                  <w:vAlign w:val="center"/>
                </w:tcPr>
                <w:p>
                  <w:pPr>
                    <w:spacing w:line="240" w:lineRule="auto"/>
                    <w:ind w:firstLine="0" w:firstLineChars="0"/>
                    <w:jc w:val="center"/>
                    <w:rPr>
                      <w:sz w:val="21"/>
                      <w:szCs w:val="21"/>
                    </w:rPr>
                  </w:pPr>
                </w:p>
              </w:tc>
              <w:tc>
                <w:tcPr>
                  <w:tcW w:w="326" w:type="pct"/>
                  <w:vMerge w:val="continue"/>
                  <w:vAlign w:val="center"/>
                </w:tcPr>
                <w:p>
                  <w:pPr>
                    <w:spacing w:line="240" w:lineRule="auto"/>
                    <w:ind w:firstLine="0" w:firstLineChars="0"/>
                    <w:jc w:val="center"/>
                    <w:rPr>
                      <w:sz w:val="21"/>
                      <w:szCs w:val="21"/>
                    </w:rPr>
                  </w:pPr>
                </w:p>
              </w:tc>
              <w:tc>
                <w:tcPr>
                  <w:tcW w:w="326" w:type="pct"/>
                  <w:vMerge w:val="continue"/>
                  <w:vAlign w:val="center"/>
                </w:tcPr>
                <w:p>
                  <w:pPr>
                    <w:spacing w:line="240" w:lineRule="auto"/>
                    <w:ind w:firstLine="0" w:firstLineChars="0"/>
                    <w:jc w:val="center"/>
                    <w:rPr>
                      <w:sz w:val="21"/>
                      <w:szCs w:val="21"/>
                    </w:rPr>
                  </w:pPr>
                </w:p>
              </w:tc>
              <w:tc>
                <w:tcPr>
                  <w:tcW w:w="380"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18.18</w:t>
                  </w:r>
                </w:p>
              </w:tc>
              <w:tc>
                <w:tcPr>
                  <w:tcW w:w="433"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52.73</w:t>
                  </w:r>
                </w:p>
              </w:tc>
              <w:tc>
                <w:tcPr>
                  <w:tcW w:w="326" w:type="pct"/>
                  <w:vMerge w:val="continue"/>
                  <w:vAlign w:val="center"/>
                </w:tcPr>
                <w:p>
                  <w:pPr>
                    <w:adjustRightInd w:val="0"/>
                    <w:snapToGrid w:val="0"/>
                    <w:spacing w:line="240" w:lineRule="auto"/>
                    <w:ind w:firstLine="0" w:firstLineChars="0"/>
                    <w:jc w:val="center"/>
                    <w:rPr>
                      <w:sz w:val="21"/>
                      <w:szCs w:val="21"/>
                    </w:rPr>
                  </w:pPr>
                </w:p>
              </w:tc>
              <w:tc>
                <w:tcPr>
                  <w:tcW w:w="487" w:type="pct"/>
                  <w:vMerge w:val="continue"/>
                  <w:vAlign w:val="center"/>
                </w:tcPr>
                <w:p>
                  <w:pPr>
                    <w:adjustRightInd w:val="0"/>
                    <w:snapToGrid w:val="0"/>
                    <w:spacing w:line="240" w:lineRule="auto"/>
                    <w:ind w:firstLine="0" w:firstLineChars="0"/>
                    <w:jc w:val="center"/>
                    <w:rPr>
                      <w:sz w:val="21"/>
                      <w:szCs w:val="21"/>
                    </w:rPr>
                  </w:pPr>
                </w:p>
              </w:tc>
              <w:tc>
                <w:tcPr>
                  <w:tcW w:w="488"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26.73</w:t>
                  </w:r>
                </w:p>
              </w:tc>
              <w:tc>
                <w:tcPr>
                  <w:tcW w:w="431" w:type="pct"/>
                  <w:vAlign w:val="center"/>
                </w:tcPr>
                <w:p>
                  <w:pPr>
                    <w:spacing w:line="240" w:lineRule="auto"/>
                    <w:ind w:firstLine="0" w:firstLineChars="0"/>
                    <w:jc w:val="center"/>
                    <w:rPr>
                      <w:rFonts w:eastAsia="等线"/>
                      <w:sz w:val="21"/>
                      <w:szCs w:val="21"/>
                    </w:rPr>
                  </w:pPr>
                  <w:r>
                    <w:rPr>
                      <w:rFonts w:eastAsia="等线"/>
                      <w:sz w:val="21"/>
                      <w:szCs w:val="21"/>
                    </w:rPr>
                    <w:t>1</w:t>
                  </w:r>
                </w:p>
              </w:tc>
            </w:tr>
          </w:tbl>
          <w:p>
            <w:pPr>
              <w:pStyle w:val="14"/>
            </w:pPr>
          </w:p>
          <w:p>
            <w:pPr>
              <w:pStyle w:val="14"/>
              <w:rPr>
                <w:sz w:val="21"/>
              </w:rPr>
            </w:pPr>
            <w:r>
              <w:rPr>
                <w:rFonts w:hint="eastAsia"/>
              </w:rPr>
              <w:t xml:space="preserve">续表31    室内噪声源强及治理措施一览表   </w:t>
            </w:r>
            <w:r>
              <w:rPr>
                <w:rFonts w:hint="eastAsia"/>
                <w:sz w:val="21"/>
              </w:rPr>
              <w:t>单位：dB（A）</w:t>
            </w:r>
          </w:p>
          <w:tbl>
            <w:tblPr>
              <w:tblStyle w:val="16"/>
              <w:tblW w:w="492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457"/>
              <w:gridCol w:w="708"/>
              <w:gridCol w:w="850"/>
              <w:gridCol w:w="994"/>
              <w:gridCol w:w="994"/>
              <w:gridCol w:w="709"/>
              <w:gridCol w:w="853"/>
              <w:gridCol w:w="853"/>
              <w:gridCol w:w="994"/>
              <w:gridCol w:w="1133"/>
              <w:gridCol w:w="853"/>
              <w:gridCol w:w="1274"/>
              <w:gridCol w:w="1276"/>
              <w:gridCol w:w="11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0" w:hRule="atLeast"/>
                <w:jc w:val="center"/>
              </w:trPr>
              <w:tc>
                <w:tcPr>
                  <w:tcW w:w="175" w:type="pct"/>
                  <w:vMerge w:val="restart"/>
                  <w:vAlign w:val="center"/>
                </w:tcPr>
                <w:p>
                  <w:pPr>
                    <w:adjustRightInd w:val="0"/>
                    <w:snapToGrid w:val="0"/>
                    <w:spacing w:line="240" w:lineRule="auto"/>
                    <w:ind w:firstLine="0" w:firstLineChars="0"/>
                    <w:jc w:val="center"/>
                    <w:rPr>
                      <w:b/>
                      <w:bCs/>
                      <w:sz w:val="21"/>
                      <w:szCs w:val="21"/>
                    </w:rPr>
                  </w:pPr>
                  <w:r>
                    <w:rPr>
                      <w:b/>
                      <w:bCs/>
                      <w:sz w:val="21"/>
                      <w:szCs w:val="21"/>
                    </w:rPr>
                    <w:t>序号</w:t>
                  </w:r>
                </w:p>
              </w:tc>
              <w:tc>
                <w:tcPr>
                  <w:tcW w:w="271" w:type="pct"/>
                  <w:vMerge w:val="restart"/>
                  <w:vAlign w:val="center"/>
                </w:tcPr>
                <w:p>
                  <w:pPr>
                    <w:adjustRightInd w:val="0"/>
                    <w:snapToGrid w:val="0"/>
                    <w:spacing w:line="240" w:lineRule="auto"/>
                    <w:ind w:firstLine="0" w:firstLineChars="0"/>
                    <w:jc w:val="center"/>
                    <w:rPr>
                      <w:b/>
                      <w:bCs/>
                      <w:sz w:val="21"/>
                      <w:szCs w:val="21"/>
                    </w:rPr>
                  </w:pPr>
                  <w:r>
                    <w:rPr>
                      <w:b/>
                      <w:bCs/>
                      <w:sz w:val="21"/>
                      <w:szCs w:val="21"/>
                    </w:rPr>
                    <w:t>建筑物名称</w:t>
                  </w:r>
                </w:p>
              </w:tc>
              <w:tc>
                <w:tcPr>
                  <w:tcW w:w="325" w:type="pct"/>
                  <w:vMerge w:val="restart"/>
                  <w:vAlign w:val="center"/>
                </w:tcPr>
                <w:p>
                  <w:pPr>
                    <w:adjustRightInd w:val="0"/>
                    <w:snapToGrid w:val="0"/>
                    <w:spacing w:line="240" w:lineRule="auto"/>
                    <w:ind w:firstLine="0" w:firstLineChars="0"/>
                    <w:jc w:val="center"/>
                    <w:rPr>
                      <w:b/>
                      <w:bCs/>
                      <w:sz w:val="21"/>
                      <w:szCs w:val="21"/>
                    </w:rPr>
                  </w:pPr>
                  <w:r>
                    <w:rPr>
                      <w:b/>
                      <w:bCs/>
                      <w:sz w:val="21"/>
                      <w:szCs w:val="21"/>
                    </w:rPr>
                    <w:t>噪声源</w:t>
                  </w:r>
                </w:p>
              </w:tc>
              <w:tc>
                <w:tcPr>
                  <w:tcW w:w="380" w:type="pct"/>
                  <w:vMerge w:val="restart"/>
                  <w:vAlign w:val="center"/>
                </w:tcPr>
                <w:p>
                  <w:pPr>
                    <w:adjustRightInd w:val="0"/>
                    <w:snapToGrid w:val="0"/>
                    <w:spacing w:line="240" w:lineRule="auto"/>
                    <w:ind w:firstLine="0" w:firstLineChars="0"/>
                    <w:jc w:val="center"/>
                    <w:rPr>
                      <w:b/>
                      <w:bCs/>
                      <w:sz w:val="21"/>
                      <w:szCs w:val="21"/>
                    </w:rPr>
                  </w:pPr>
                  <w:r>
                    <w:rPr>
                      <w:b/>
                      <w:bCs/>
                      <w:sz w:val="21"/>
                      <w:szCs w:val="21"/>
                    </w:rPr>
                    <w:t>声功率级/dB(A)</w:t>
                  </w:r>
                </w:p>
              </w:tc>
              <w:tc>
                <w:tcPr>
                  <w:tcW w:w="380" w:type="pct"/>
                  <w:vMerge w:val="restart"/>
                  <w:vAlign w:val="center"/>
                </w:tcPr>
                <w:p>
                  <w:pPr>
                    <w:adjustRightInd w:val="0"/>
                    <w:snapToGrid w:val="0"/>
                    <w:spacing w:line="240" w:lineRule="auto"/>
                    <w:ind w:firstLine="0" w:firstLineChars="0"/>
                    <w:jc w:val="center"/>
                    <w:rPr>
                      <w:b/>
                      <w:bCs/>
                      <w:sz w:val="21"/>
                      <w:szCs w:val="21"/>
                    </w:rPr>
                  </w:pPr>
                  <w:r>
                    <w:rPr>
                      <w:b/>
                      <w:bCs/>
                      <w:sz w:val="21"/>
                      <w:szCs w:val="21"/>
                    </w:rPr>
                    <w:t>声源控制措施</w:t>
                  </w:r>
                </w:p>
              </w:tc>
              <w:tc>
                <w:tcPr>
                  <w:tcW w:w="923" w:type="pct"/>
                  <w:gridSpan w:val="3"/>
                  <w:vAlign w:val="center"/>
                </w:tcPr>
                <w:p>
                  <w:pPr>
                    <w:adjustRightInd w:val="0"/>
                    <w:snapToGrid w:val="0"/>
                    <w:spacing w:line="240" w:lineRule="auto"/>
                    <w:ind w:firstLine="0" w:firstLineChars="0"/>
                    <w:jc w:val="center"/>
                    <w:rPr>
                      <w:b/>
                      <w:bCs/>
                      <w:sz w:val="21"/>
                      <w:szCs w:val="21"/>
                    </w:rPr>
                  </w:pPr>
                  <w:r>
                    <w:rPr>
                      <w:b/>
                      <w:bCs/>
                      <w:sz w:val="21"/>
                      <w:szCs w:val="21"/>
                    </w:rPr>
                    <w:t>空间相对位置/m</w:t>
                  </w:r>
                </w:p>
              </w:tc>
              <w:tc>
                <w:tcPr>
                  <w:tcW w:w="380" w:type="pct"/>
                  <w:vMerge w:val="restart"/>
                  <w:vAlign w:val="center"/>
                </w:tcPr>
                <w:p>
                  <w:pPr>
                    <w:adjustRightInd w:val="0"/>
                    <w:snapToGrid w:val="0"/>
                    <w:spacing w:line="240" w:lineRule="auto"/>
                    <w:ind w:firstLine="0" w:firstLineChars="0"/>
                    <w:jc w:val="center"/>
                    <w:rPr>
                      <w:b/>
                      <w:bCs/>
                      <w:sz w:val="21"/>
                      <w:szCs w:val="21"/>
                    </w:rPr>
                  </w:pPr>
                  <w:r>
                    <w:rPr>
                      <w:b/>
                      <w:bCs/>
                      <w:sz w:val="21"/>
                      <w:szCs w:val="21"/>
                    </w:rPr>
                    <w:t>距室内边界距离/m</w:t>
                  </w:r>
                </w:p>
              </w:tc>
              <w:tc>
                <w:tcPr>
                  <w:tcW w:w="433" w:type="pct"/>
                  <w:vMerge w:val="restart"/>
                  <w:vAlign w:val="center"/>
                </w:tcPr>
                <w:p>
                  <w:pPr>
                    <w:adjustRightInd w:val="0"/>
                    <w:snapToGrid w:val="0"/>
                    <w:spacing w:line="240" w:lineRule="auto"/>
                    <w:ind w:firstLine="0" w:firstLineChars="0"/>
                    <w:jc w:val="center"/>
                    <w:rPr>
                      <w:b/>
                      <w:bCs/>
                      <w:sz w:val="21"/>
                      <w:szCs w:val="21"/>
                    </w:rPr>
                  </w:pPr>
                  <w:r>
                    <w:rPr>
                      <w:b/>
                      <w:bCs/>
                      <w:sz w:val="21"/>
                      <w:szCs w:val="21"/>
                    </w:rPr>
                    <w:t>室内边界声级/dB(A)</w:t>
                  </w:r>
                </w:p>
              </w:tc>
              <w:tc>
                <w:tcPr>
                  <w:tcW w:w="326" w:type="pct"/>
                  <w:vMerge w:val="restart"/>
                  <w:vAlign w:val="center"/>
                </w:tcPr>
                <w:p>
                  <w:pPr>
                    <w:adjustRightInd w:val="0"/>
                    <w:snapToGrid w:val="0"/>
                    <w:spacing w:line="240" w:lineRule="auto"/>
                    <w:ind w:firstLine="0" w:firstLineChars="0"/>
                    <w:jc w:val="center"/>
                    <w:rPr>
                      <w:b/>
                      <w:bCs/>
                      <w:sz w:val="21"/>
                      <w:szCs w:val="21"/>
                    </w:rPr>
                  </w:pPr>
                  <w:r>
                    <w:rPr>
                      <w:b/>
                      <w:bCs/>
                      <w:sz w:val="21"/>
                      <w:szCs w:val="21"/>
                    </w:rPr>
                    <w:t>运行时段</w:t>
                  </w:r>
                </w:p>
              </w:tc>
              <w:tc>
                <w:tcPr>
                  <w:tcW w:w="487" w:type="pct"/>
                  <w:vMerge w:val="restart"/>
                  <w:vAlign w:val="center"/>
                </w:tcPr>
                <w:p>
                  <w:pPr>
                    <w:adjustRightInd w:val="0"/>
                    <w:snapToGrid w:val="0"/>
                    <w:spacing w:line="240" w:lineRule="auto"/>
                    <w:ind w:firstLine="0" w:firstLineChars="0"/>
                    <w:jc w:val="center"/>
                    <w:rPr>
                      <w:b/>
                      <w:bCs/>
                      <w:sz w:val="21"/>
                      <w:szCs w:val="21"/>
                    </w:rPr>
                  </w:pPr>
                  <w:r>
                    <w:rPr>
                      <w:b/>
                      <w:bCs/>
                      <w:sz w:val="21"/>
                      <w:szCs w:val="21"/>
                    </w:rPr>
                    <w:t>建筑物插入损失/dB(A)</w:t>
                  </w:r>
                </w:p>
              </w:tc>
              <w:tc>
                <w:tcPr>
                  <w:tcW w:w="919" w:type="pct"/>
                  <w:gridSpan w:val="2"/>
                  <w:vAlign w:val="center"/>
                </w:tcPr>
                <w:p>
                  <w:pPr>
                    <w:adjustRightInd w:val="0"/>
                    <w:snapToGrid w:val="0"/>
                    <w:spacing w:line="240" w:lineRule="auto"/>
                    <w:ind w:firstLine="0" w:firstLineChars="0"/>
                    <w:jc w:val="center"/>
                    <w:rPr>
                      <w:b/>
                      <w:bCs/>
                      <w:sz w:val="21"/>
                      <w:szCs w:val="21"/>
                    </w:rPr>
                  </w:pPr>
                  <w:r>
                    <w:rPr>
                      <w:b/>
                      <w:bCs/>
                      <w:sz w:val="21"/>
                      <w:szCs w:val="21"/>
                    </w:rPr>
                    <w:t>建筑物外噪声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175" w:type="pct"/>
                  <w:vMerge w:val="continue"/>
                  <w:vAlign w:val="center"/>
                </w:tcPr>
                <w:p>
                  <w:pPr>
                    <w:adjustRightInd w:val="0"/>
                    <w:snapToGrid w:val="0"/>
                    <w:spacing w:line="240" w:lineRule="auto"/>
                    <w:ind w:firstLine="0" w:firstLineChars="0"/>
                    <w:jc w:val="center"/>
                    <w:rPr>
                      <w:b/>
                      <w:bCs/>
                      <w:sz w:val="21"/>
                      <w:szCs w:val="21"/>
                    </w:rPr>
                  </w:pPr>
                </w:p>
              </w:tc>
              <w:tc>
                <w:tcPr>
                  <w:tcW w:w="271" w:type="pct"/>
                  <w:vMerge w:val="continue"/>
                  <w:vAlign w:val="center"/>
                </w:tcPr>
                <w:p>
                  <w:pPr>
                    <w:spacing w:line="240" w:lineRule="auto"/>
                    <w:ind w:firstLine="0" w:firstLineChars="0"/>
                    <w:jc w:val="center"/>
                    <w:rPr>
                      <w:b/>
                      <w:bCs/>
                      <w:sz w:val="21"/>
                      <w:szCs w:val="21"/>
                    </w:rPr>
                  </w:pPr>
                </w:p>
              </w:tc>
              <w:tc>
                <w:tcPr>
                  <w:tcW w:w="325" w:type="pct"/>
                  <w:vMerge w:val="continue"/>
                  <w:vAlign w:val="center"/>
                </w:tcPr>
                <w:p>
                  <w:pPr>
                    <w:adjustRightInd w:val="0"/>
                    <w:snapToGrid w:val="0"/>
                    <w:spacing w:line="240" w:lineRule="auto"/>
                    <w:ind w:firstLine="0" w:firstLineChars="0"/>
                    <w:jc w:val="center"/>
                    <w:rPr>
                      <w:b/>
                      <w:bCs/>
                      <w:sz w:val="21"/>
                      <w:szCs w:val="21"/>
                    </w:rPr>
                  </w:pPr>
                </w:p>
              </w:tc>
              <w:tc>
                <w:tcPr>
                  <w:tcW w:w="380" w:type="pct"/>
                  <w:vMerge w:val="continue"/>
                  <w:vAlign w:val="center"/>
                </w:tcPr>
                <w:p>
                  <w:pPr>
                    <w:adjustRightInd w:val="0"/>
                    <w:snapToGrid w:val="0"/>
                    <w:spacing w:line="240" w:lineRule="auto"/>
                    <w:ind w:firstLine="0" w:firstLineChars="0"/>
                    <w:jc w:val="center"/>
                    <w:rPr>
                      <w:b/>
                      <w:bCs/>
                      <w:sz w:val="21"/>
                      <w:szCs w:val="21"/>
                    </w:rPr>
                  </w:pPr>
                </w:p>
              </w:tc>
              <w:tc>
                <w:tcPr>
                  <w:tcW w:w="380" w:type="pct"/>
                  <w:vMerge w:val="continue"/>
                  <w:vAlign w:val="center"/>
                </w:tcPr>
                <w:p>
                  <w:pPr>
                    <w:adjustRightInd w:val="0"/>
                    <w:snapToGrid w:val="0"/>
                    <w:spacing w:line="240" w:lineRule="auto"/>
                    <w:ind w:firstLine="0" w:firstLineChars="0"/>
                    <w:jc w:val="center"/>
                    <w:rPr>
                      <w:b/>
                      <w:bCs/>
                      <w:sz w:val="21"/>
                      <w:szCs w:val="21"/>
                    </w:rPr>
                  </w:pPr>
                </w:p>
              </w:tc>
              <w:tc>
                <w:tcPr>
                  <w:tcW w:w="271" w:type="pct"/>
                  <w:vAlign w:val="center"/>
                </w:tcPr>
                <w:p>
                  <w:pPr>
                    <w:adjustRightInd w:val="0"/>
                    <w:snapToGrid w:val="0"/>
                    <w:spacing w:line="240" w:lineRule="auto"/>
                    <w:ind w:firstLine="0" w:firstLineChars="0"/>
                    <w:jc w:val="center"/>
                    <w:rPr>
                      <w:b/>
                      <w:bCs/>
                      <w:sz w:val="21"/>
                      <w:szCs w:val="21"/>
                    </w:rPr>
                  </w:pPr>
                  <w:r>
                    <w:rPr>
                      <w:b/>
                      <w:bCs/>
                      <w:sz w:val="21"/>
                      <w:szCs w:val="21"/>
                    </w:rPr>
                    <w:t>X</w:t>
                  </w:r>
                </w:p>
              </w:tc>
              <w:tc>
                <w:tcPr>
                  <w:tcW w:w="326" w:type="pct"/>
                  <w:vAlign w:val="center"/>
                </w:tcPr>
                <w:p>
                  <w:pPr>
                    <w:adjustRightInd w:val="0"/>
                    <w:snapToGrid w:val="0"/>
                    <w:spacing w:line="240" w:lineRule="auto"/>
                    <w:ind w:firstLine="0" w:firstLineChars="0"/>
                    <w:jc w:val="center"/>
                    <w:rPr>
                      <w:b/>
                      <w:bCs/>
                      <w:sz w:val="21"/>
                      <w:szCs w:val="21"/>
                    </w:rPr>
                  </w:pPr>
                  <w:r>
                    <w:rPr>
                      <w:b/>
                      <w:bCs/>
                      <w:sz w:val="21"/>
                      <w:szCs w:val="21"/>
                    </w:rPr>
                    <w:t>Y</w:t>
                  </w:r>
                </w:p>
              </w:tc>
              <w:tc>
                <w:tcPr>
                  <w:tcW w:w="326" w:type="pct"/>
                  <w:vAlign w:val="center"/>
                </w:tcPr>
                <w:p>
                  <w:pPr>
                    <w:adjustRightInd w:val="0"/>
                    <w:snapToGrid w:val="0"/>
                    <w:spacing w:line="240" w:lineRule="auto"/>
                    <w:ind w:firstLine="0" w:firstLineChars="0"/>
                    <w:jc w:val="center"/>
                    <w:rPr>
                      <w:b/>
                      <w:bCs/>
                      <w:sz w:val="21"/>
                      <w:szCs w:val="21"/>
                    </w:rPr>
                  </w:pPr>
                  <w:r>
                    <w:rPr>
                      <w:b/>
                      <w:bCs/>
                      <w:sz w:val="21"/>
                      <w:szCs w:val="21"/>
                    </w:rPr>
                    <w:t>Z</w:t>
                  </w:r>
                </w:p>
              </w:tc>
              <w:tc>
                <w:tcPr>
                  <w:tcW w:w="380" w:type="pct"/>
                  <w:vMerge w:val="continue"/>
                  <w:vAlign w:val="center"/>
                </w:tcPr>
                <w:p>
                  <w:pPr>
                    <w:adjustRightInd w:val="0"/>
                    <w:snapToGrid w:val="0"/>
                    <w:spacing w:line="240" w:lineRule="auto"/>
                    <w:ind w:firstLine="0" w:firstLineChars="0"/>
                    <w:jc w:val="center"/>
                    <w:rPr>
                      <w:b/>
                      <w:bCs/>
                      <w:sz w:val="21"/>
                      <w:szCs w:val="21"/>
                    </w:rPr>
                  </w:pPr>
                </w:p>
              </w:tc>
              <w:tc>
                <w:tcPr>
                  <w:tcW w:w="433" w:type="pct"/>
                  <w:vMerge w:val="continue"/>
                  <w:vAlign w:val="center"/>
                </w:tcPr>
                <w:p>
                  <w:pPr>
                    <w:adjustRightInd w:val="0"/>
                    <w:snapToGrid w:val="0"/>
                    <w:spacing w:line="240" w:lineRule="auto"/>
                    <w:ind w:firstLine="0" w:firstLineChars="0"/>
                    <w:jc w:val="center"/>
                    <w:rPr>
                      <w:b/>
                      <w:bCs/>
                      <w:sz w:val="21"/>
                      <w:szCs w:val="21"/>
                    </w:rPr>
                  </w:pPr>
                </w:p>
              </w:tc>
              <w:tc>
                <w:tcPr>
                  <w:tcW w:w="326" w:type="pct"/>
                  <w:vMerge w:val="continue"/>
                  <w:vAlign w:val="center"/>
                </w:tcPr>
                <w:p>
                  <w:pPr>
                    <w:adjustRightInd w:val="0"/>
                    <w:snapToGrid w:val="0"/>
                    <w:spacing w:line="240" w:lineRule="auto"/>
                    <w:ind w:firstLine="0" w:firstLineChars="0"/>
                    <w:jc w:val="center"/>
                    <w:rPr>
                      <w:b/>
                      <w:bCs/>
                      <w:sz w:val="21"/>
                      <w:szCs w:val="21"/>
                    </w:rPr>
                  </w:pPr>
                </w:p>
              </w:tc>
              <w:tc>
                <w:tcPr>
                  <w:tcW w:w="487" w:type="pct"/>
                  <w:vMerge w:val="continue"/>
                  <w:vAlign w:val="center"/>
                </w:tcPr>
                <w:p>
                  <w:pPr>
                    <w:adjustRightInd w:val="0"/>
                    <w:snapToGrid w:val="0"/>
                    <w:spacing w:line="240" w:lineRule="auto"/>
                    <w:ind w:firstLine="0" w:firstLineChars="0"/>
                    <w:jc w:val="center"/>
                    <w:rPr>
                      <w:b/>
                      <w:bCs/>
                      <w:sz w:val="21"/>
                      <w:szCs w:val="21"/>
                    </w:rPr>
                  </w:pPr>
                </w:p>
              </w:tc>
              <w:tc>
                <w:tcPr>
                  <w:tcW w:w="488" w:type="pct"/>
                  <w:vAlign w:val="center"/>
                </w:tcPr>
                <w:p>
                  <w:pPr>
                    <w:adjustRightInd w:val="0"/>
                    <w:snapToGrid w:val="0"/>
                    <w:spacing w:line="240" w:lineRule="auto"/>
                    <w:ind w:firstLine="0" w:firstLineChars="0"/>
                    <w:jc w:val="center"/>
                    <w:rPr>
                      <w:b/>
                      <w:bCs/>
                      <w:sz w:val="21"/>
                      <w:szCs w:val="21"/>
                    </w:rPr>
                  </w:pPr>
                  <w:r>
                    <w:rPr>
                      <w:b/>
                      <w:bCs/>
                      <w:sz w:val="21"/>
                      <w:szCs w:val="21"/>
                    </w:rPr>
                    <w:t>声压级/dB(A)</w:t>
                  </w:r>
                </w:p>
              </w:tc>
              <w:tc>
                <w:tcPr>
                  <w:tcW w:w="431" w:type="pct"/>
                  <w:vAlign w:val="center"/>
                </w:tcPr>
                <w:p>
                  <w:pPr>
                    <w:adjustRightInd w:val="0"/>
                    <w:snapToGrid w:val="0"/>
                    <w:spacing w:line="240" w:lineRule="auto"/>
                    <w:ind w:firstLine="0" w:firstLineChars="0"/>
                    <w:jc w:val="center"/>
                    <w:rPr>
                      <w:b/>
                      <w:bCs/>
                      <w:sz w:val="21"/>
                      <w:szCs w:val="21"/>
                    </w:rPr>
                  </w:pPr>
                  <w:r>
                    <w:rPr>
                      <w:b/>
                      <w:bCs/>
                      <w:sz w:val="21"/>
                      <w:szCs w:val="21"/>
                    </w:rPr>
                    <w:t>建筑物外距离/m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175" w:type="pct"/>
                  <w:vMerge w:val="restart"/>
                  <w:vAlign w:val="center"/>
                </w:tcPr>
                <w:p>
                  <w:pPr>
                    <w:widowControl/>
                    <w:spacing w:line="240" w:lineRule="auto"/>
                    <w:ind w:firstLine="0" w:firstLineChars="0"/>
                    <w:jc w:val="center"/>
                    <w:rPr>
                      <w:sz w:val="21"/>
                      <w:szCs w:val="21"/>
                      <w:u w:color="000000"/>
                    </w:rPr>
                  </w:pPr>
                  <w:r>
                    <w:rPr>
                      <w:sz w:val="21"/>
                      <w:szCs w:val="21"/>
                      <w:u w:color="000000"/>
                    </w:rPr>
                    <w:t>5</w:t>
                  </w:r>
                </w:p>
              </w:tc>
              <w:tc>
                <w:tcPr>
                  <w:tcW w:w="271" w:type="pct"/>
                  <w:vMerge w:val="restart"/>
                  <w:vAlign w:val="center"/>
                </w:tcPr>
                <w:p>
                  <w:pPr>
                    <w:spacing w:line="240" w:lineRule="auto"/>
                    <w:ind w:firstLine="0" w:firstLineChars="0"/>
                    <w:jc w:val="center"/>
                    <w:rPr>
                      <w:sz w:val="21"/>
                      <w:szCs w:val="21"/>
                      <w:u w:color="000000"/>
                    </w:rPr>
                  </w:pPr>
                  <w:r>
                    <w:rPr>
                      <w:sz w:val="21"/>
                      <w:szCs w:val="21"/>
                      <w:u w:color="000000"/>
                    </w:rPr>
                    <w:t>医院</w:t>
                  </w:r>
                </w:p>
              </w:tc>
              <w:tc>
                <w:tcPr>
                  <w:tcW w:w="325" w:type="pct"/>
                  <w:vMerge w:val="restart"/>
                  <w:vAlign w:val="center"/>
                </w:tcPr>
                <w:p>
                  <w:pPr>
                    <w:widowControl/>
                    <w:spacing w:line="240" w:lineRule="auto"/>
                    <w:ind w:firstLine="0" w:firstLineChars="0"/>
                    <w:jc w:val="center"/>
                    <w:rPr>
                      <w:sz w:val="21"/>
                      <w:szCs w:val="21"/>
                      <w:u w:color="000000"/>
                    </w:rPr>
                  </w:pPr>
                  <w:r>
                    <w:rPr>
                      <w:sz w:val="21"/>
                      <w:szCs w:val="21"/>
                      <w:u w:color="000000"/>
                    </w:rPr>
                    <w:t>污水处理间</w:t>
                  </w:r>
                  <w:r>
                    <w:rPr>
                      <w:sz w:val="21"/>
                      <w:szCs w:val="21"/>
                    </w:rPr>
                    <w:t>硝化液回流泵</w:t>
                  </w:r>
                </w:p>
              </w:tc>
              <w:tc>
                <w:tcPr>
                  <w:tcW w:w="380" w:type="pct"/>
                  <w:vMerge w:val="restart"/>
                  <w:vAlign w:val="center"/>
                </w:tcPr>
                <w:p>
                  <w:pPr>
                    <w:pStyle w:val="37"/>
                    <w:rPr>
                      <w:szCs w:val="21"/>
                    </w:rPr>
                  </w:pPr>
                  <w:r>
                    <w:rPr>
                      <w:szCs w:val="21"/>
                    </w:rPr>
                    <w:t>60</w:t>
                  </w:r>
                </w:p>
              </w:tc>
              <w:tc>
                <w:tcPr>
                  <w:tcW w:w="380" w:type="pct"/>
                  <w:vMerge w:val="restart"/>
                  <w:vAlign w:val="center"/>
                </w:tcPr>
                <w:p>
                  <w:pPr>
                    <w:adjustRightInd w:val="0"/>
                    <w:snapToGrid w:val="0"/>
                    <w:spacing w:line="240" w:lineRule="auto"/>
                    <w:ind w:firstLine="0" w:firstLineChars="0"/>
                    <w:jc w:val="center"/>
                    <w:rPr>
                      <w:sz w:val="21"/>
                      <w:szCs w:val="21"/>
                    </w:rPr>
                  </w:pPr>
                  <w:r>
                    <w:rPr>
                      <w:sz w:val="21"/>
                      <w:szCs w:val="21"/>
                    </w:rPr>
                    <w:t>基础减振</w:t>
                  </w:r>
                </w:p>
                <w:p>
                  <w:pPr>
                    <w:adjustRightInd w:val="0"/>
                    <w:snapToGrid w:val="0"/>
                    <w:spacing w:line="240" w:lineRule="auto"/>
                    <w:ind w:firstLine="0" w:firstLineChars="0"/>
                    <w:jc w:val="center"/>
                    <w:rPr>
                      <w:sz w:val="21"/>
                      <w:szCs w:val="21"/>
                    </w:rPr>
                  </w:pPr>
                  <w:r>
                    <w:rPr>
                      <w:sz w:val="21"/>
                      <w:szCs w:val="21"/>
                    </w:rPr>
                    <w:t>厂房隔声</w:t>
                  </w:r>
                </w:p>
              </w:tc>
              <w:tc>
                <w:tcPr>
                  <w:tcW w:w="271" w:type="pct"/>
                  <w:vMerge w:val="restart"/>
                  <w:vAlign w:val="center"/>
                </w:tcPr>
                <w:p>
                  <w:pPr>
                    <w:spacing w:line="240" w:lineRule="auto"/>
                    <w:ind w:firstLine="0" w:firstLineChars="0"/>
                    <w:jc w:val="center"/>
                    <w:rPr>
                      <w:color w:val="000000"/>
                      <w:sz w:val="21"/>
                      <w:szCs w:val="21"/>
                    </w:rPr>
                  </w:pPr>
                  <w:r>
                    <w:rPr>
                      <w:color w:val="000000"/>
                      <w:sz w:val="21"/>
                      <w:szCs w:val="21"/>
                    </w:rPr>
                    <w:t>747.4</w:t>
                  </w:r>
                </w:p>
              </w:tc>
              <w:tc>
                <w:tcPr>
                  <w:tcW w:w="326" w:type="pct"/>
                  <w:vMerge w:val="restart"/>
                  <w:vAlign w:val="center"/>
                </w:tcPr>
                <w:p>
                  <w:pPr>
                    <w:spacing w:line="240" w:lineRule="auto"/>
                    <w:ind w:firstLine="0" w:firstLineChars="0"/>
                    <w:jc w:val="center"/>
                    <w:rPr>
                      <w:color w:val="000000"/>
                      <w:sz w:val="21"/>
                      <w:szCs w:val="21"/>
                    </w:rPr>
                  </w:pPr>
                  <w:r>
                    <w:rPr>
                      <w:color w:val="000000"/>
                      <w:sz w:val="21"/>
                      <w:szCs w:val="21"/>
                    </w:rPr>
                    <w:t>684.37</w:t>
                  </w:r>
                </w:p>
              </w:tc>
              <w:tc>
                <w:tcPr>
                  <w:tcW w:w="326" w:type="pct"/>
                  <w:vMerge w:val="restart"/>
                  <w:vAlign w:val="center"/>
                </w:tcPr>
                <w:p>
                  <w:pPr>
                    <w:spacing w:line="240" w:lineRule="auto"/>
                    <w:ind w:firstLine="0" w:firstLineChars="0"/>
                    <w:jc w:val="center"/>
                    <w:rPr>
                      <w:color w:val="000000"/>
                      <w:sz w:val="21"/>
                      <w:szCs w:val="21"/>
                    </w:rPr>
                  </w:pPr>
                  <w:r>
                    <w:rPr>
                      <w:color w:val="000000"/>
                      <w:sz w:val="21"/>
                      <w:szCs w:val="21"/>
                    </w:rPr>
                    <w:t>1</w:t>
                  </w:r>
                </w:p>
              </w:tc>
              <w:tc>
                <w:tcPr>
                  <w:tcW w:w="380" w:type="pct"/>
                  <w:vAlign w:val="center"/>
                </w:tcPr>
                <w:p>
                  <w:pPr>
                    <w:spacing w:line="240" w:lineRule="auto"/>
                    <w:ind w:firstLine="0" w:firstLineChars="0"/>
                    <w:jc w:val="center"/>
                    <w:rPr>
                      <w:color w:val="000000"/>
                      <w:sz w:val="21"/>
                      <w:szCs w:val="21"/>
                    </w:rPr>
                  </w:pPr>
                  <w:r>
                    <w:rPr>
                      <w:color w:val="000000"/>
                      <w:sz w:val="21"/>
                      <w:szCs w:val="21"/>
                    </w:rPr>
                    <w:t>31.08</w:t>
                  </w:r>
                </w:p>
              </w:tc>
              <w:tc>
                <w:tcPr>
                  <w:tcW w:w="433" w:type="pct"/>
                  <w:vAlign w:val="center"/>
                </w:tcPr>
                <w:p>
                  <w:pPr>
                    <w:spacing w:line="240" w:lineRule="auto"/>
                    <w:ind w:firstLine="0" w:firstLineChars="0"/>
                    <w:jc w:val="center"/>
                    <w:rPr>
                      <w:color w:val="000000"/>
                      <w:sz w:val="21"/>
                      <w:szCs w:val="21"/>
                    </w:rPr>
                  </w:pPr>
                  <w:r>
                    <w:rPr>
                      <w:color w:val="000000"/>
                      <w:sz w:val="21"/>
                      <w:szCs w:val="21"/>
                    </w:rPr>
                    <w:t>52.77</w:t>
                  </w:r>
                </w:p>
              </w:tc>
              <w:tc>
                <w:tcPr>
                  <w:tcW w:w="326" w:type="pct"/>
                  <w:vMerge w:val="restart"/>
                  <w:vAlign w:val="center"/>
                </w:tcPr>
                <w:p>
                  <w:pPr>
                    <w:adjustRightInd w:val="0"/>
                    <w:snapToGrid w:val="0"/>
                    <w:spacing w:line="240" w:lineRule="auto"/>
                    <w:ind w:firstLine="0" w:firstLineChars="0"/>
                    <w:jc w:val="center"/>
                    <w:rPr>
                      <w:sz w:val="21"/>
                      <w:szCs w:val="21"/>
                      <w:lang w:val="zh-CN"/>
                    </w:rPr>
                  </w:pPr>
                  <w:r>
                    <w:rPr>
                      <w:sz w:val="21"/>
                      <w:szCs w:val="21"/>
                      <w:lang w:val="zh-CN"/>
                    </w:rPr>
                    <w:t>昼夜</w:t>
                  </w:r>
                </w:p>
              </w:tc>
              <w:tc>
                <w:tcPr>
                  <w:tcW w:w="487" w:type="pct"/>
                  <w:vMerge w:val="restart"/>
                  <w:vAlign w:val="center"/>
                </w:tcPr>
                <w:p>
                  <w:pPr>
                    <w:adjustRightInd w:val="0"/>
                    <w:snapToGrid w:val="0"/>
                    <w:spacing w:line="240" w:lineRule="auto"/>
                    <w:ind w:firstLine="0" w:firstLineChars="0"/>
                    <w:jc w:val="center"/>
                    <w:rPr>
                      <w:rFonts w:eastAsia="等线"/>
                      <w:sz w:val="21"/>
                      <w:szCs w:val="21"/>
                    </w:rPr>
                  </w:pPr>
                  <w:r>
                    <w:rPr>
                      <w:rFonts w:eastAsia="等线"/>
                      <w:sz w:val="21"/>
                      <w:szCs w:val="21"/>
                    </w:rPr>
                    <w:t>26</w:t>
                  </w:r>
                </w:p>
              </w:tc>
              <w:tc>
                <w:tcPr>
                  <w:tcW w:w="488" w:type="pct"/>
                  <w:vAlign w:val="center"/>
                </w:tcPr>
                <w:p>
                  <w:pPr>
                    <w:spacing w:line="240" w:lineRule="auto"/>
                    <w:ind w:firstLine="0" w:firstLineChars="0"/>
                    <w:jc w:val="center"/>
                    <w:rPr>
                      <w:color w:val="000000"/>
                      <w:sz w:val="21"/>
                      <w:szCs w:val="21"/>
                    </w:rPr>
                  </w:pPr>
                  <w:r>
                    <w:rPr>
                      <w:color w:val="000000"/>
                      <w:sz w:val="21"/>
                      <w:szCs w:val="21"/>
                    </w:rPr>
                    <w:t>26.77</w:t>
                  </w:r>
                </w:p>
              </w:tc>
              <w:tc>
                <w:tcPr>
                  <w:tcW w:w="431" w:type="pct"/>
                  <w:vAlign w:val="center"/>
                </w:tcPr>
                <w:p>
                  <w:pPr>
                    <w:spacing w:line="240" w:lineRule="auto"/>
                    <w:ind w:firstLine="0" w:firstLineChars="0"/>
                    <w:jc w:val="center"/>
                    <w:rPr>
                      <w:rFonts w:eastAsia="等线"/>
                      <w:sz w:val="21"/>
                      <w:szCs w:val="21"/>
                    </w:rPr>
                  </w:pPr>
                  <w:r>
                    <w:rPr>
                      <w:rFonts w:eastAsia="等线"/>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175" w:type="pct"/>
                  <w:vMerge w:val="continue"/>
                  <w:vAlign w:val="center"/>
                </w:tcPr>
                <w:p>
                  <w:pPr>
                    <w:widowControl/>
                    <w:spacing w:line="240" w:lineRule="auto"/>
                    <w:ind w:firstLine="0" w:firstLineChars="0"/>
                    <w:jc w:val="center"/>
                    <w:rPr>
                      <w:sz w:val="21"/>
                      <w:szCs w:val="21"/>
                      <w:u w:color="000000"/>
                    </w:rPr>
                  </w:pPr>
                </w:p>
              </w:tc>
              <w:tc>
                <w:tcPr>
                  <w:tcW w:w="271" w:type="pct"/>
                  <w:vMerge w:val="continue"/>
                  <w:vAlign w:val="center"/>
                </w:tcPr>
                <w:p>
                  <w:pPr>
                    <w:spacing w:line="240" w:lineRule="auto"/>
                    <w:ind w:firstLine="0" w:firstLineChars="0"/>
                    <w:jc w:val="center"/>
                    <w:rPr>
                      <w:sz w:val="21"/>
                      <w:szCs w:val="21"/>
                      <w:u w:color="000000"/>
                    </w:rPr>
                  </w:pPr>
                </w:p>
              </w:tc>
              <w:tc>
                <w:tcPr>
                  <w:tcW w:w="325" w:type="pct"/>
                  <w:vMerge w:val="continue"/>
                  <w:vAlign w:val="center"/>
                </w:tcPr>
                <w:p>
                  <w:pPr>
                    <w:widowControl/>
                    <w:spacing w:line="240" w:lineRule="auto"/>
                    <w:ind w:firstLine="0" w:firstLineChars="0"/>
                    <w:jc w:val="center"/>
                    <w:rPr>
                      <w:sz w:val="21"/>
                      <w:szCs w:val="21"/>
                    </w:rPr>
                  </w:pPr>
                </w:p>
              </w:tc>
              <w:tc>
                <w:tcPr>
                  <w:tcW w:w="380" w:type="pct"/>
                  <w:vMerge w:val="continue"/>
                  <w:vAlign w:val="center"/>
                </w:tcPr>
                <w:p>
                  <w:pPr>
                    <w:pStyle w:val="37"/>
                    <w:rPr>
                      <w:szCs w:val="21"/>
                    </w:rPr>
                  </w:pPr>
                </w:p>
              </w:tc>
              <w:tc>
                <w:tcPr>
                  <w:tcW w:w="380" w:type="pct"/>
                  <w:vMerge w:val="continue"/>
                  <w:vAlign w:val="center"/>
                </w:tcPr>
                <w:p>
                  <w:pPr>
                    <w:adjustRightInd w:val="0"/>
                    <w:snapToGrid w:val="0"/>
                    <w:spacing w:line="240" w:lineRule="auto"/>
                    <w:ind w:firstLine="0" w:firstLineChars="0"/>
                    <w:jc w:val="center"/>
                    <w:rPr>
                      <w:sz w:val="21"/>
                      <w:szCs w:val="21"/>
                    </w:rPr>
                  </w:pPr>
                </w:p>
              </w:tc>
              <w:tc>
                <w:tcPr>
                  <w:tcW w:w="271" w:type="pct"/>
                  <w:vMerge w:val="continue"/>
                  <w:vAlign w:val="center"/>
                </w:tcPr>
                <w:p>
                  <w:pPr>
                    <w:spacing w:line="240" w:lineRule="auto"/>
                    <w:ind w:firstLine="0" w:firstLineChars="0"/>
                    <w:jc w:val="center"/>
                    <w:rPr>
                      <w:rFonts w:eastAsia="等线"/>
                      <w:sz w:val="21"/>
                      <w:szCs w:val="21"/>
                    </w:rPr>
                  </w:pPr>
                </w:p>
              </w:tc>
              <w:tc>
                <w:tcPr>
                  <w:tcW w:w="326" w:type="pct"/>
                  <w:vMerge w:val="continue"/>
                  <w:vAlign w:val="center"/>
                </w:tcPr>
                <w:p>
                  <w:pPr>
                    <w:spacing w:line="240" w:lineRule="auto"/>
                    <w:ind w:firstLine="0" w:firstLineChars="0"/>
                    <w:jc w:val="center"/>
                    <w:rPr>
                      <w:rFonts w:eastAsia="等线"/>
                      <w:sz w:val="21"/>
                      <w:szCs w:val="21"/>
                    </w:rPr>
                  </w:pPr>
                </w:p>
              </w:tc>
              <w:tc>
                <w:tcPr>
                  <w:tcW w:w="326" w:type="pct"/>
                  <w:vMerge w:val="continue"/>
                  <w:vAlign w:val="center"/>
                </w:tcPr>
                <w:p>
                  <w:pPr>
                    <w:spacing w:line="240" w:lineRule="auto"/>
                    <w:ind w:firstLine="0" w:firstLineChars="0"/>
                    <w:jc w:val="center"/>
                    <w:rPr>
                      <w:rFonts w:eastAsia="等线"/>
                      <w:sz w:val="21"/>
                      <w:szCs w:val="21"/>
                    </w:rPr>
                  </w:pPr>
                </w:p>
              </w:tc>
              <w:tc>
                <w:tcPr>
                  <w:tcW w:w="380" w:type="pct"/>
                  <w:vAlign w:val="center"/>
                </w:tcPr>
                <w:p>
                  <w:pPr>
                    <w:spacing w:line="240" w:lineRule="auto"/>
                    <w:ind w:firstLine="0" w:firstLineChars="0"/>
                    <w:jc w:val="center"/>
                    <w:rPr>
                      <w:color w:val="000000"/>
                      <w:sz w:val="21"/>
                      <w:szCs w:val="21"/>
                    </w:rPr>
                  </w:pPr>
                  <w:r>
                    <w:rPr>
                      <w:color w:val="000000"/>
                      <w:sz w:val="21"/>
                      <w:szCs w:val="21"/>
                    </w:rPr>
                    <w:t>10.75</w:t>
                  </w:r>
                </w:p>
              </w:tc>
              <w:tc>
                <w:tcPr>
                  <w:tcW w:w="433" w:type="pct"/>
                  <w:vAlign w:val="center"/>
                </w:tcPr>
                <w:p>
                  <w:pPr>
                    <w:spacing w:line="240" w:lineRule="auto"/>
                    <w:ind w:firstLine="0" w:firstLineChars="0"/>
                    <w:jc w:val="center"/>
                    <w:rPr>
                      <w:color w:val="000000"/>
                      <w:sz w:val="21"/>
                      <w:szCs w:val="21"/>
                    </w:rPr>
                  </w:pPr>
                  <w:r>
                    <w:rPr>
                      <w:color w:val="000000"/>
                      <w:sz w:val="21"/>
                      <w:szCs w:val="21"/>
                    </w:rPr>
                    <w:t>52.79</w:t>
                  </w:r>
                </w:p>
              </w:tc>
              <w:tc>
                <w:tcPr>
                  <w:tcW w:w="326" w:type="pct"/>
                  <w:vMerge w:val="continue"/>
                  <w:vAlign w:val="center"/>
                </w:tcPr>
                <w:p>
                  <w:pPr>
                    <w:adjustRightInd w:val="0"/>
                    <w:snapToGrid w:val="0"/>
                    <w:spacing w:line="240" w:lineRule="auto"/>
                    <w:ind w:firstLine="0" w:firstLineChars="0"/>
                    <w:jc w:val="center"/>
                    <w:rPr>
                      <w:sz w:val="21"/>
                      <w:szCs w:val="21"/>
                      <w:lang w:val="zh-CN"/>
                    </w:rPr>
                  </w:pPr>
                </w:p>
              </w:tc>
              <w:tc>
                <w:tcPr>
                  <w:tcW w:w="487" w:type="pct"/>
                  <w:vMerge w:val="continue"/>
                  <w:vAlign w:val="center"/>
                </w:tcPr>
                <w:p>
                  <w:pPr>
                    <w:adjustRightInd w:val="0"/>
                    <w:snapToGrid w:val="0"/>
                    <w:spacing w:line="240" w:lineRule="auto"/>
                    <w:ind w:firstLine="0" w:firstLineChars="0"/>
                    <w:jc w:val="center"/>
                    <w:rPr>
                      <w:rFonts w:eastAsia="等线"/>
                      <w:sz w:val="21"/>
                      <w:szCs w:val="21"/>
                    </w:rPr>
                  </w:pPr>
                </w:p>
              </w:tc>
              <w:tc>
                <w:tcPr>
                  <w:tcW w:w="488" w:type="pct"/>
                  <w:vAlign w:val="center"/>
                </w:tcPr>
                <w:p>
                  <w:pPr>
                    <w:spacing w:line="240" w:lineRule="auto"/>
                    <w:ind w:firstLine="0" w:firstLineChars="0"/>
                    <w:jc w:val="center"/>
                    <w:rPr>
                      <w:color w:val="000000"/>
                      <w:sz w:val="21"/>
                      <w:szCs w:val="21"/>
                    </w:rPr>
                  </w:pPr>
                  <w:r>
                    <w:rPr>
                      <w:color w:val="000000"/>
                      <w:sz w:val="21"/>
                      <w:szCs w:val="21"/>
                    </w:rPr>
                    <w:t>26.79</w:t>
                  </w:r>
                </w:p>
              </w:tc>
              <w:tc>
                <w:tcPr>
                  <w:tcW w:w="431" w:type="pct"/>
                  <w:vAlign w:val="center"/>
                </w:tcPr>
                <w:p>
                  <w:pPr>
                    <w:spacing w:line="240" w:lineRule="auto"/>
                    <w:ind w:firstLine="0" w:firstLineChars="0"/>
                    <w:jc w:val="center"/>
                    <w:rPr>
                      <w:rFonts w:eastAsia="等线"/>
                      <w:sz w:val="21"/>
                      <w:szCs w:val="21"/>
                    </w:rPr>
                  </w:pPr>
                  <w:r>
                    <w:rPr>
                      <w:rFonts w:eastAsia="等线"/>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0" w:hRule="atLeast"/>
                <w:jc w:val="center"/>
              </w:trPr>
              <w:tc>
                <w:tcPr>
                  <w:tcW w:w="175" w:type="pct"/>
                  <w:vMerge w:val="continue"/>
                  <w:vAlign w:val="center"/>
                </w:tcPr>
                <w:p>
                  <w:pPr>
                    <w:widowControl/>
                    <w:spacing w:line="240" w:lineRule="auto"/>
                    <w:ind w:firstLine="0" w:firstLineChars="0"/>
                    <w:jc w:val="center"/>
                    <w:rPr>
                      <w:sz w:val="21"/>
                      <w:szCs w:val="21"/>
                      <w:u w:color="000000"/>
                    </w:rPr>
                  </w:pPr>
                </w:p>
              </w:tc>
              <w:tc>
                <w:tcPr>
                  <w:tcW w:w="271" w:type="pct"/>
                  <w:vMerge w:val="continue"/>
                  <w:vAlign w:val="center"/>
                </w:tcPr>
                <w:p>
                  <w:pPr>
                    <w:spacing w:line="240" w:lineRule="auto"/>
                    <w:ind w:firstLine="0" w:firstLineChars="0"/>
                    <w:jc w:val="center"/>
                    <w:rPr>
                      <w:sz w:val="21"/>
                      <w:szCs w:val="21"/>
                      <w:u w:color="000000"/>
                    </w:rPr>
                  </w:pPr>
                </w:p>
              </w:tc>
              <w:tc>
                <w:tcPr>
                  <w:tcW w:w="325" w:type="pct"/>
                  <w:vMerge w:val="continue"/>
                  <w:vAlign w:val="center"/>
                </w:tcPr>
                <w:p>
                  <w:pPr>
                    <w:widowControl/>
                    <w:spacing w:line="240" w:lineRule="auto"/>
                    <w:ind w:firstLine="0" w:firstLineChars="0"/>
                    <w:jc w:val="center"/>
                    <w:rPr>
                      <w:sz w:val="21"/>
                      <w:szCs w:val="21"/>
                    </w:rPr>
                  </w:pPr>
                </w:p>
              </w:tc>
              <w:tc>
                <w:tcPr>
                  <w:tcW w:w="380" w:type="pct"/>
                  <w:vMerge w:val="continue"/>
                  <w:vAlign w:val="center"/>
                </w:tcPr>
                <w:p>
                  <w:pPr>
                    <w:pStyle w:val="37"/>
                    <w:rPr>
                      <w:szCs w:val="21"/>
                    </w:rPr>
                  </w:pPr>
                </w:p>
              </w:tc>
              <w:tc>
                <w:tcPr>
                  <w:tcW w:w="380" w:type="pct"/>
                  <w:vMerge w:val="continue"/>
                  <w:vAlign w:val="center"/>
                </w:tcPr>
                <w:p>
                  <w:pPr>
                    <w:adjustRightInd w:val="0"/>
                    <w:snapToGrid w:val="0"/>
                    <w:spacing w:line="240" w:lineRule="auto"/>
                    <w:ind w:firstLine="0" w:firstLineChars="0"/>
                    <w:jc w:val="center"/>
                    <w:rPr>
                      <w:sz w:val="21"/>
                      <w:szCs w:val="21"/>
                    </w:rPr>
                  </w:pPr>
                </w:p>
              </w:tc>
              <w:tc>
                <w:tcPr>
                  <w:tcW w:w="271" w:type="pct"/>
                  <w:vMerge w:val="continue"/>
                  <w:vAlign w:val="center"/>
                </w:tcPr>
                <w:p>
                  <w:pPr>
                    <w:spacing w:line="240" w:lineRule="auto"/>
                    <w:ind w:firstLine="0" w:firstLineChars="0"/>
                    <w:jc w:val="center"/>
                    <w:rPr>
                      <w:rFonts w:eastAsia="等线"/>
                      <w:sz w:val="21"/>
                      <w:szCs w:val="21"/>
                    </w:rPr>
                  </w:pPr>
                </w:p>
              </w:tc>
              <w:tc>
                <w:tcPr>
                  <w:tcW w:w="326" w:type="pct"/>
                  <w:vMerge w:val="continue"/>
                  <w:vAlign w:val="center"/>
                </w:tcPr>
                <w:p>
                  <w:pPr>
                    <w:spacing w:line="240" w:lineRule="auto"/>
                    <w:ind w:firstLine="0" w:firstLineChars="0"/>
                    <w:jc w:val="center"/>
                    <w:rPr>
                      <w:rFonts w:eastAsia="等线"/>
                      <w:sz w:val="21"/>
                      <w:szCs w:val="21"/>
                    </w:rPr>
                  </w:pPr>
                </w:p>
              </w:tc>
              <w:tc>
                <w:tcPr>
                  <w:tcW w:w="326" w:type="pct"/>
                  <w:vMerge w:val="continue"/>
                  <w:vAlign w:val="center"/>
                </w:tcPr>
                <w:p>
                  <w:pPr>
                    <w:spacing w:line="240" w:lineRule="auto"/>
                    <w:ind w:firstLine="0" w:firstLineChars="0"/>
                    <w:jc w:val="center"/>
                    <w:rPr>
                      <w:rFonts w:eastAsia="等线"/>
                      <w:sz w:val="21"/>
                      <w:szCs w:val="21"/>
                    </w:rPr>
                  </w:pPr>
                </w:p>
              </w:tc>
              <w:tc>
                <w:tcPr>
                  <w:tcW w:w="380" w:type="pct"/>
                  <w:vAlign w:val="center"/>
                </w:tcPr>
                <w:p>
                  <w:pPr>
                    <w:spacing w:line="240" w:lineRule="auto"/>
                    <w:ind w:firstLine="0" w:firstLineChars="0"/>
                    <w:jc w:val="center"/>
                    <w:rPr>
                      <w:color w:val="000000"/>
                      <w:sz w:val="21"/>
                      <w:szCs w:val="21"/>
                    </w:rPr>
                  </w:pPr>
                  <w:r>
                    <w:rPr>
                      <w:color w:val="000000"/>
                      <w:sz w:val="21"/>
                      <w:szCs w:val="21"/>
                    </w:rPr>
                    <w:t>22.59</w:t>
                  </w:r>
                </w:p>
              </w:tc>
              <w:tc>
                <w:tcPr>
                  <w:tcW w:w="433" w:type="pct"/>
                  <w:vAlign w:val="center"/>
                </w:tcPr>
                <w:p>
                  <w:pPr>
                    <w:spacing w:line="240" w:lineRule="auto"/>
                    <w:ind w:firstLine="0" w:firstLineChars="0"/>
                    <w:jc w:val="center"/>
                    <w:rPr>
                      <w:color w:val="000000"/>
                      <w:sz w:val="21"/>
                      <w:szCs w:val="21"/>
                    </w:rPr>
                  </w:pPr>
                  <w:r>
                    <w:rPr>
                      <w:color w:val="000000"/>
                      <w:sz w:val="21"/>
                      <w:szCs w:val="21"/>
                    </w:rPr>
                    <w:t>52.78</w:t>
                  </w:r>
                </w:p>
              </w:tc>
              <w:tc>
                <w:tcPr>
                  <w:tcW w:w="326" w:type="pct"/>
                  <w:vMerge w:val="continue"/>
                  <w:vAlign w:val="center"/>
                </w:tcPr>
                <w:p>
                  <w:pPr>
                    <w:adjustRightInd w:val="0"/>
                    <w:snapToGrid w:val="0"/>
                    <w:spacing w:line="240" w:lineRule="auto"/>
                    <w:ind w:firstLine="0" w:firstLineChars="0"/>
                    <w:jc w:val="center"/>
                    <w:rPr>
                      <w:sz w:val="21"/>
                      <w:szCs w:val="21"/>
                      <w:lang w:val="zh-CN"/>
                    </w:rPr>
                  </w:pPr>
                </w:p>
              </w:tc>
              <w:tc>
                <w:tcPr>
                  <w:tcW w:w="487" w:type="pct"/>
                  <w:vMerge w:val="continue"/>
                  <w:vAlign w:val="center"/>
                </w:tcPr>
                <w:p>
                  <w:pPr>
                    <w:adjustRightInd w:val="0"/>
                    <w:snapToGrid w:val="0"/>
                    <w:spacing w:line="240" w:lineRule="auto"/>
                    <w:ind w:firstLine="0" w:firstLineChars="0"/>
                    <w:jc w:val="center"/>
                    <w:rPr>
                      <w:rFonts w:eastAsia="等线"/>
                      <w:sz w:val="21"/>
                      <w:szCs w:val="21"/>
                    </w:rPr>
                  </w:pPr>
                </w:p>
              </w:tc>
              <w:tc>
                <w:tcPr>
                  <w:tcW w:w="488" w:type="pct"/>
                  <w:vAlign w:val="center"/>
                </w:tcPr>
                <w:p>
                  <w:pPr>
                    <w:spacing w:line="240" w:lineRule="auto"/>
                    <w:ind w:firstLine="0" w:firstLineChars="0"/>
                    <w:jc w:val="center"/>
                    <w:rPr>
                      <w:color w:val="000000"/>
                      <w:sz w:val="21"/>
                      <w:szCs w:val="21"/>
                    </w:rPr>
                  </w:pPr>
                  <w:r>
                    <w:rPr>
                      <w:color w:val="000000"/>
                      <w:sz w:val="21"/>
                      <w:szCs w:val="21"/>
                    </w:rPr>
                    <w:t>26.78</w:t>
                  </w:r>
                </w:p>
              </w:tc>
              <w:tc>
                <w:tcPr>
                  <w:tcW w:w="431" w:type="pct"/>
                  <w:vAlign w:val="center"/>
                </w:tcPr>
                <w:p>
                  <w:pPr>
                    <w:spacing w:line="240" w:lineRule="auto"/>
                    <w:ind w:firstLine="0" w:firstLineChars="0"/>
                    <w:jc w:val="center"/>
                    <w:rPr>
                      <w:rFonts w:eastAsia="等线"/>
                      <w:sz w:val="21"/>
                      <w:szCs w:val="21"/>
                    </w:rPr>
                  </w:pPr>
                  <w:r>
                    <w:rPr>
                      <w:rFonts w:eastAsia="等线"/>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175" w:type="pct"/>
                  <w:vMerge w:val="continue"/>
                  <w:vAlign w:val="center"/>
                </w:tcPr>
                <w:p>
                  <w:pPr>
                    <w:widowControl/>
                    <w:spacing w:line="240" w:lineRule="auto"/>
                    <w:ind w:firstLine="0" w:firstLineChars="0"/>
                    <w:jc w:val="center"/>
                    <w:rPr>
                      <w:sz w:val="21"/>
                      <w:szCs w:val="21"/>
                      <w:u w:color="000000"/>
                    </w:rPr>
                  </w:pPr>
                </w:p>
              </w:tc>
              <w:tc>
                <w:tcPr>
                  <w:tcW w:w="271" w:type="pct"/>
                  <w:vMerge w:val="continue"/>
                  <w:vAlign w:val="center"/>
                </w:tcPr>
                <w:p>
                  <w:pPr>
                    <w:spacing w:line="240" w:lineRule="auto"/>
                    <w:ind w:firstLine="0" w:firstLineChars="0"/>
                    <w:jc w:val="center"/>
                    <w:rPr>
                      <w:sz w:val="21"/>
                      <w:szCs w:val="21"/>
                      <w:u w:color="000000"/>
                    </w:rPr>
                  </w:pPr>
                </w:p>
              </w:tc>
              <w:tc>
                <w:tcPr>
                  <w:tcW w:w="325" w:type="pct"/>
                  <w:vMerge w:val="continue"/>
                  <w:vAlign w:val="center"/>
                </w:tcPr>
                <w:p>
                  <w:pPr>
                    <w:widowControl/>
                    <w:spacing w:line="240" w:lineRule="auto"/>
                    <w:ind w:firstLine="0" w:firstLineChars="0"/>
                    <w:jc w:val="center"/>
                    <w:rPr>
                      <w:sz w:val="21"/>
                      <w:szCs w:val="21"/>
                    </w:rPr>
                  </w:pPr>
                </w:p>
              </w:tc>
              <w:tc>
                <w:tcPr>
                  <w:tcW w:w="380" w:type="pct"/>
                  <w:vMerge w:val="continue"/>
                  <w:vAlign w:val="center"/>
                </w:tcPr>
                <w:p>
                  <w:pPr>
                    <w:pStyle w:val="37"/>
                    <w:rPr>
                      <w:szCs w:val="21"/>
                    </w:rPr>
                  </w:pPr>
                </w:p>
              </w:tc>
              <w:tc>
                <w:tcPr>
                  <w:tcW w:w="380" w:type="pct"/>
                  <w:vMerge w:val="continue"/>
                  <w:vAlign w:val="center"/>
                </w:tcPr>
                <w:p>
                  <w:pPr>
                    <w:adjustRightInd w:val="0"/>
                    <w:snapToGrid w:val="0"/>
                    <w:spacing w:line="240" w:lineRule="auto"/>
                    <w:ind w:firstLine="0" w:firstLineChars="0"/>
                    <w:jc w:val="center"/>
                    <w:rPr>
                      <w:sz w:val="21"/>
                      <w:szCs w:val="21"/>
                    </w:rPr>
                  </w:pPr>
                </w:p>
              </w:tc>
              <w:tc>
                <w:tcPr>
                  <w:tcW w:w="271" w:type="pct"/>
                  <w:vMerge w:val="continue"/>
                  <w:vAlign w:val="center"/>
                </w:tcPr>
                <w:p>
                  <w:pPr>
                    <w:spacing w:line="240" w:lineRule="auto"/>
                    <w:ind w:firstLine="0" w:firstLineChars="0"/>
                    <w:jc w:val="center"/>
                    <w:rPr>
                      <w:rFonts w:eastAsia="等线"/>
                      <w:sz w:val="21"/>
                      <w:szCs w:val="21"/>
                    </w:rPr>
                  </w:pPr>
                </w:p>
              </w:tc>
              <w:tc>
                <w:tcPr>
                  <w:tcW w:w="326" w:type="pct"/>
                  <w:vMerge w:val="continue"/>
                  <w:vAlign w:val="center"/>
                </w:tcPr>
                <w:p>
                  <w:pPr>
                    <w:spacing w:line="240" w:lineRule="auto"/>
                    <w:ind w:firstLine="0" w:firstLineChars="0"/>
                    <w:jc w:val="center"/>
                    <w:rPr>
                      <w:rFonts w:eastAsia="等线"/>
                      <w:sz w:val="21"/>
                      <w:szCs w:val="21"/>
                    </w:rPr>
                  </w:pPr>
                </w:p>
              </w:tc>
              <w:tc>
                <w:tcPr>
                  <w:tcW w:w="326" w:type="pct"/>
                  <w:vMerge w:val="continue"/>
                  <w:vAlign w:val="center"/>
                </w:tcPr>
                <w:p>
                  <w:pPr>
                    <w:spacing w:line="240" w:lineRule="auto"/>
                    <w:ind w:firstLine="0" w:firstLineChars="0"/>
                    <w:jc w:val="center"/>
                    <w:rPr>
                      <w:rFonts w:eastAsia="等线"/>
                      <w:sz w:val="21"/>
                      <w:szCs w:val="21"/>
                    </w:rPr>
                  </w:pPr>
                </w:p>
              </w:tc>
              <w:tc>
                <w:tcPr>
                  <w:tcW w:w="380" w:type="pct"/>
                  <w:vAlign w:val="center"/>
                </w:tcPr>
                <w:p>
                  <w:pPr>
                    <w:spacing w:line="240" w:lineRule="auto"/>
                    <w:ind w:firstLine="0" w:firstLineChars="0"/>
                    <w:jc w:val="center"/>
                    <w:rPr>
                      <w:color w:val="000000"/>
                      <w:sz w:val="21"/>
                      <w:szCs w:val="21"/>
                    </w:rPr>
                  </w:pPr>
                  <w:r>
                    <w:rPr>
                      <w:color w:val="000000"/>
                      <w:sz w:val="21"/>
                      <w:szCs w:val="21"/>
                    </w:rPr>
                    <w:t>30.54</w:t>
                  </w:r>
                </w:p>
              </w:tc>
              <w:tc>
                <w:tcPr>
                  <w:tcW w:w="433" w:type="pct"/>
                  <w:vAlign w:val="center"/>
                </w:tcPr>
                <w:p>
                  <w:pPr>
                    <w:spacing w:line="240" w:lineRule="auto"/>
                    <w:ind w:firstLine="0" w:firstLineChars="0"/>
                    <w:jc w:val="center"/>
                    <w:rPr>
                      <w:color w:val="000000"/>
                      <w:sz w:val="21"/>
                      <w:szCs w:val="21"/>
                    </w:rPr>
                  </w:pPr>
                  <w:r>
                    <w:rPr>
                      <w:color w:val="000000"/>
                      <w:sz w:val="21"/>
                      <w:szCs w:val="21"/>
                    </w:rPr>
                    <w:t>52.77</w:t>
                  </w:r>
                </w:p>
              </w:tc>
              <w:tc>
                <w:tcPr>
                  <w:tcW w:w="326" w:type="pct"/>
                  <w:vMerge w:val="continue"/>
                  <w:vAlign w:val="center"/>
                </w:tcPr>
                <w:p>
                  <w:pPr>
                    <w:adjustRightInd w:val="0"/>
                    <w:snapToGrid w:val="0"/>
                    <w:spacing w:line="240" w:lineRule="auto"/>
                    <w:ind w:firstLine="0" w:firstLineChars="0"/>
                    <w:jc w:val="center"/>
                    <w:rPr>
                      <w:sz w:val="21"/>
                      <w:szCs w:val="21"/>
                      <w:lang w:val="zh-CN"/>
                    </w:rPr>
                  </w:pPr>
                </w:p>
              </w:tc>
              <w:tc>
                <w:tcPr>
                  <w:tcW w:w="487" w:type="pct"/>
                  <w:vMerge w:val="continue"/>
                  <w:vAlign w:val="center"/>
                </w:tcPr>
                <w:p>
                  <w:pPr>
                    <w:adjustRightInd w:val="0"/>
                    <w:snapToGrid w:val="0"/>
                    <w:spacing w:line="240" w:lineRule="auto"/>
                    <w:ind w:firstLine="0" w:firstLineChars="0"/>
                    <w:jc w:val="center"/>
                    <w:rPr>
                      <w:rFonts w:eastAsia="等线"/>
                      <w:sz w:val="21"/>
                      <w:szCs w:val="21"/>
                    </w:rPr>
                  </w:pPr>
                </w:p>
              </w:tc>
              <w:tc>
                <w:tcPr>
                  <w:tcW w:w="488" w:type="pct"/>
                  <w:vAlign w:val="center"/>
                </w:tcPr>
                <w:p>
                  <w:pPr>
                    <w:spacing w:line="240" w:lineRule="auto"/>
                    <w:ind w:firstLine="0" w:firstLineChars="0"/>
                    <w:jc w:val="center"/>
                    <w:rPr>
                      <w:color w:val="000000"/>
                      <w:sz w:val="21"/>
                      <w:szCs w:val="21"/>
                    </w:rPr>
                  </w:pPr>
                  <w:r>
                    <w:rPr>
                      <w:color w:val="000000"/>
                      <w:sz w:val="21"/>
                      <w:szCs w:val="21"/>
                    </w:rPr>
                    <w:t>26.77</w:t>
                  </w:r>
                </w:p>
              </w:tc>
              <w:tc>
                <w:tcPr>
                  <w:tcW w:w="431" w:type="pct"/>
                  <w:vAlign w:val="center"/>
                </w:tcPr>
                <w:p>
                  <w:pPr>
                    <w:spacing w:line="240" w:lineRule="auto"/>
                    <w:ind w:firstLine="0" w:firstLineChars="0"/>
                    <w:jc w:val="center"/>
                    <w:rPr>
                      <w:rFonts w:eastAsia="等线"/>
                      <w:sz w:val="21"/>
                      <w:szCs w:val="21"/>
                    </w:rPr>
                  </w:pPr>
                  <w:r>
                    <w:rPr>
                      <w:rFonts w:eastAsia="等线"/>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175" w:type="pct"/>
                  <w:vMerge w:val="continue"/>
                  <w:vAlign w:val="center"/>
                </w:tcPr>
                <w:p>
                  <w:pPr>
                    <w:widowControl/>
                    <w:spacing w:line="240" w:lineRule="auto"/>
                    <w:ind w:firstLine="0" w:firstLineChars="0"/>
                    <w:jc w:val="center"/>
                    <w:rPr>
                      <w:sz w:val="21"/>
                      <w:szCs w:val="21"/>
                      <w:u w:color="000000"/>
                    </w:rPr>
                  </w:pPr>
                </w:p>
              </w:tc>
              <w:tc>
                <w:tcPr>
                  <w:tcW w:w="271" w:type="pct"/>
                  <w:vMerge w:val="continue"/>
                  <w:vAlign w:val="center"/>
                </w:tcPr>
                <w:p>
                  <w:pPr>
                    <w:spacing w:line="240" w:lineRule="auto"/>
                    <w:ind w:firstLine="0" w:firstLineChars="0"/>
                    <w:jc w:val="center"/>
                    <w:rPr>
                      <w:sz w:val="21"/>
                      <w:szCs w:val="21"/>
                      <w:u w:color="000000"/>
                    </w:rPr>
                  </w:pPr>
                </w:p>
              </w:tc>
              <w:tc>
                <w:tcPr>
                  <w:tcW w:w="325" w:type="pct"/>
                  <w:vMerge w:val="continue"/>
                  <w:vAlign w:val="center"/>
                </w:tcPr>
                <w:p>
                  <w:pPr>
                    <w:widowControl/>
                    <w:spacing w:line="240" w:lineRule="auto"/>
                    <w:ind w:firstLine="0" w:firstLineChars="0"/>
                    <w:jc w:val="center"/>
                    <w:rPr>
                      <w:sz w:val="21"/>
                      <w:szCs w:val="21"/>
                    </w:rPr>
                  </w:pPr>
                </w:p>
              </w:tc>
              <w:tc>
                <w:tcPr>
                  <w:tcW w:w="380" w:type="pct"/>
                  <w:vMerge w:val="continue"/>
                  <w:vAlign w:val="center"/>
                </w:tcPr>
                <w:p>
                  <w:pPr>
                    <w:pStyle w:val="37"/>
                    <w:rPr>
                      <w:szCs w:val="21"/>
                    </w:rPr>
                  </w:pPr>
                </w:p>
              </w:tc>
              <w:tc>
                <w:tcPr>
                  <w:tcW w:w="380" w:type="pct"/>
                  <w:vMerge w:val="continue"/>
                  <w:vAlign w:val="center"/>
                </w:tcPr>
                <w:p>
                  <w:pPr>
                    <w:adjustRightInd w:val="0"/>
                    <w:snapToGrid w:val="0"/>
                    <w:spacing w:line="240" w:lineRule="auto"/>
                    <w:ind w:firstLine="0" w:firstLineChars="0"/>
                    <w:jc w:val="center"/>
                    <w:rPr>
                      <w:sz w:val="21"/>
                      <w:szCs w:val="21"/>
                    </w:rPr>
                  </w:pPr>
                </w:p>
              </w:tc>
              <w:tc>
                <w:tcPr>
                  <w:tcW w:w="271" w:type="pct"/>
                  <w:vMerge w:val="continue"/>
                  <w:vAlign w:val="center"/>
                </w:tcPr>
                <w:p>
                  <w:pPr>
                    <w:spacing w:line="240" w:lineRule="auto"/>
                    <w:ind w:firstLine="0" w:firstLineChars="0"/>
                    <w:jc w:val="center"/>
                    <w:rPr>
                      <w:rFonts w:eastAsia="等线"/>
                      <w:sz w:val="21"/>
                      <w:szCs w:val="21"/>
                    </w:rPr>
                  </w:pPr>
                </w:p>
              </w:tc>
              <w:tc>
                <w:tcPr>
                  <w:tcW w:w="326" w:type="pct"/>
                  <w:vMerge w:val="continue"/>
                  <w:vAlign w:val="center"/>
                </w:tcPr>
                <w:p>
                  <w:pPr>
                    <w:spacing w:line="240" w:lineRule="auto"/>
                    <w:ind w:firstLine="0" w:firstLineChars="0"/>
                    <w:jc w:val="center"/>
                    <w:rPr>
                      <w:rFonts w:eastAsia="等线"/>
                      <w:sz w:val="21"/>
                      <w:szCs w:val="21"/>
                    </w:rPr>
                  </w:pPr>
                </w:p>
              </w:tc>
              <w:tc>
                <w:tcPr>
                  <w:tcW w:w="326" w:type="pct"/>
                  <w:vMerge w:val="continue"/>
                  <w:vAlign w:val="center"/>
                </w:tcPr>
                <w:p>
                  <w:pPr>
                    <w:spacing w:line="240" w:lineRule="auto"/>
                    <w:ind w:firstLine="0" w:firstLineChars="0"/>
                    <w:jc w:val="center"/>
                    <w:rPr>
                      <w:rFonts w:eastAsia="等线"/>
                      <w:sz w:val="21"/>
                      <w:szCs w:val="21"/>
                    </w:rPr>
                  </w:pPr>
                </w:p>
              </w:tc>
              <w:tc>
                <w:tcPr>
                  <w:tcW w:w="380" w:type="pct"/>
                  <w:vAlign w:val="center"/>
                </w:tcPr>
                <w:p>
                  <w:pPr>
                    <w:spacing w:line="240" w:lineRule="auto"/>
                    <w:ind w:firstLine="0" w:firstLineChars="0"/>
                    <w:jc w:val="center"/>
                    <w:rPr>
                      <w:color w:val="000000"/>
                      <w:sz w:val="21"/>
                      <w:szCs w:val="21"/>
                    </w:rPr>
                  </w:pPr>
                  <w:r>
                    <w:rPr>
                      <w:color w:val="000000"/>
                      <w:sz w:val="21"/>
                      <w:szCs w:val="21"/>
                    </w:rPr>
                    <w:t>35.32</w:t>
                  </w:r>
                </w:p>
              </w:tc>
              <w:tc>
                <w:tcPr>
                  <w:tcW w:w="433" w:type="pct"/>
                  <w:vAlign w:val="center"/>
                </w:tcPr>
                <w:p>
                  <w:pPr>
                    <w:spacing w:line="240" w:lineRule="auto"/>
                    <w:ind w:firstLine="0" w:firstLineChars="0"/>
                    <w:jc w:val="center"/>
                    <w:rPr>
                      <w:color w:val="000000"/>
                      <w:sz w:val="21"/>
                      <w:szCs w:val="21"/>
                    </w:rPr>
                  </w:pPr>
                  <w:r>
                    <w:rPr>
                      <w:color w:val="000000"/>
                      <w:sz w:val="21"/>
                      <w:szCs w:val="21"/>
                    </w:rPr>
                    <w:t>52.77</w:t>
                  </w:r>
                </w:p>
              </w:tc>
              <w:tc>
                <w:tcPr>
                  <w:tcW w:w="326" w:type="pct"/>
                  <w:vMerge w:val="continue"/>
                  <w:vAlign w:val="center"/>
                </w:tcPr>
                <w:p>
                  <w:pPr>
                    <w:adjustRightInd w:val="0"/>
                    <w:snapToGrid w:val="0"/>
                    <w:spacing w:line="240" w:lineRule="auto"/>
                    <w:ind w:firstLine="0" w:firstLineChars="0"/>
                    <w:jc w:val="center"/>
                    <w:rPr>
                      <w:sz w:val="21"/>
                      <w:szCs w:val="21"/>
                      <w:lang w:val="zh-CN"/>
                    </w:rPr>
                  </w:pPr>
                </w:p>
              </w:tc>
              <w:tc>
                <w:tcPr>
                  <w:tcW w:w="487" w:type="pct"/>
                  <w:vMerge w:val="continue"/>
                  <w:vAlign w:val="center"/>
                </w:tcPr>
                <w:p>
                  <w:pPr>
                    <w:adjustRightInd w:val="0"/>
                    <w:snapToGrid w:val="0"/>
                    <w:spacing w:line="240" w:lineRule="auto"/>
                    <w:ind w:firstLine="0" w:firstLineChars="0"/>
                    <w:jc w:val="center"/>
                    <w:rPr>
                      <w:rFonts w:eastAsia="等线"/>
                      <w:sz w:val="21"/>
                      <w:szCs w:val="21"/>
                    </w:rPr>
                  </w:pPr>
                </w:p>
              </w:tc>
              <w:tc>
                <w:tcPr>
                  <w:tcW w:w="488" w:type="pct"/>
                  <w:vAlign w:val="center"/>
                </w:tcPr>
                <w:p>
                  <w:pPr>
                    <w:spacing w:line="240" w:lineRule="auto"/>
                    <w:ind w:firstLine="0" w:firstLineChars="0"/>
                    <w:jc w:val="center"/>
                    <w:rPr>
                      <w:color w:val="000000"/>
                      <w:sz w:val="21"/>
                      <w:szCs w:val="21"/>
                    </w:rPr>
                  </w:pPr>
                  <w:r>
                    <w:rPr>
                      <w:color w:val="000000"/>
                      <w:sz w:val="21"/>
                      <w:szCs w:val="21"/>
                    </w:rPr>
                    <w:t>26.77</w:t>
                  </w:r>
                </w:p>
              </w:tc>
              <w:tc>
                <w:tcPr>
                  <w:tcW w:w="431" w:type="pct"/>
                  <w:vAlign w:val="center"/>
                </w:tcPr>
                <w:p>
                  <w:pPr>
                    <w:spacing w:line="240" w:lineRule="auto"/>
                    <w:ind w:firstLine="0" w:firstLineChars="0"/>
                    <w:jc w:val="center"/>
                    <w:rPr>
                      <w:rFonts w:eastAsia="等线"/>
                      <w:sz w:val="21"/>
                      <w:szCs w:val="21"/>
                    </w:rPr>
                  </w:pPr>
                  <w:r>
                    <w:rPr>
                      <w:rFonts w:eastAsia="等线"/>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175" w:type="pct"/>
                  <w:vMerge w:val="restart"/>
                  <w:vAlign w:val="center"/>
                </w:tcPr>
                <w:p>
                  <w:pPr>
                    <w:widowControl/>
                    <w:spacing w:line="240" w:lineRule="auto"/>
                    <w:ind w:firstLine="0" w:firstLineChars="0"/>
                    <w:jc w:val="center"/>
                    <w:rPr>
                      <w:sz w:val="21"/>
                      <w:szCs w:val="21"/>
                      <w:u w:color="000000"/>
                    </w:rPr>
                  </w:pPr>
                  <w:r>
                    <w:rPr>
                      <w:sz w:val="21"/>
                      <w:szCs w:val="21"/>
                      <w:u w:color="000000"/>
                    </w:rPr>
                    <w:t>6</w:t>
                  </w:r>
                </w:p>
              </w:tc>
              <w:tc>
                <w:tcPr>
                  <w:tcW w:w="271" w:type="pct"/>
                  <w:vMerge w:val="continue"/>
                  <w:vAlign w:val="center"/>
                </w:tcPr>
                <w:p>
                  <w:pPr>
                    <w:spacing w:line="240" w:lineRule="auto"/>
                    <w:ind w:firstLine="0" w:firstLineChars="0"/>
                    <w:jc w:val="center"/>
                    <w:rPr>
                      <w:sz w:val="21"/>
                      <w:szCs w:val="21"/>
                      <w:u w:color="000000"/>
                    </w:rPr>
                  </w:pPr>
                </w:p>
              </w:tc>
              <w:tc>
                <w:tcPr>
                  <w:tcW w:w="325" w:type="pct"/>
                  <w:vMerge w:val="restart"/>
                  <w:vAlign w:val="center"/>
                </w:tcPr>
                <w:p>
                  <w:pPr>
                    <w:widowControl/>
                    <w:spacing w:line="240" w:lineRule="auto"/>
                    <w:ind w:firstLine="0" w:firstLineChars="0"/>
                    <w:jc w:val="center"/>
                    <w:rPr>
                      <w:sz w:val="21"/>
                      <w:szCs w:val="21"/>
                      <w:u w:color="000000"/>
                    </w:rPr>
                  </w:pPr>
                  <w:r>
                    <w:rPr>
                      <w:sz w:val="21"/>
                      <w:szCs w:val="21"/>
                    </w:rPr>
                    <w:t>接触氧化池曝气装置</w:t>
                  </w:r>
                </w:p>
              </w:tc>
              <w:tc>
                <w:tcPr>
                  <w:tcW w:w="380" w:type="pct"/>
                  <w:vMerge w:val="restart"/>
                  <w:vAlign w:val="center"/>
                </w:tcPr>
                <w:p>
                  <w:pPr>
                    <w:pStyle w:val="37"/>
                    <w:rPr>
                      <w:szCs w:val="21"/>
                    </w:rPr>
                  </w:pPr>
                  <w:r>
                    <w:rPr>
                      <w:szCs w:val="21"/>
                    </w:rPr>
                    <w:t>60</w:t>
                  </w:r>
                </w:p>
              </w:tc>
              <w:tc>
                <w:tcPr>
                  <w:tcW w:w="380" w:type="pct"/>
                  <w:vMerge w:val="continue"/>
                  <w:vAlign w:val="center"/>
                </w:tcPr>
                <w:p>
                  <w:pPr>
                    <w:adjustRightInd w:val="0"/>
                    <w:snapToGrid w:val="0"/>
                    <w:spacing w:line="240" w:lineRule="auto"/>
                    <w:ind w:firstLine="0" w:firstLineChars="0"/>
                    <w:jc w:val="center"/>
                    <w:rPr>
                      <w:sz w:val="21"/>
                      <w:szCs w:val="21"/>
                    </w:rPr>
                  </w:pPr>
                </w:p>
              </w:tc>
              <w:tc>
                <w:tcPr>
                  <w:tcW w:w="271" w:type="pct"/>
                  <w:vMerge w:val="restart"/>
                  <w:vAlign w:val="center"/>
                </w:tcPr>
                <w:p>
                  <w:pPr>
                    <w:spacing w:line="240" w:lineRule="auto"/>
                    <w:ind w:firstLine="0" w:firstLineChars="0"/>
                    <w:jc w:val="center"/>
                    <w:rPr>
                      <w:color w:val="000000"/>
                      <w:sz w:val="21"/>
                      <w:szCs w:val="21"/>
                    </w:rPr>
                  </w:pPr>
                  <w:r>
                    <w:rPr>
                      <w:color w:val="000000"/>
                      <w:sz w:val="21"/>
                      <w:szCs w:val="21"/>
                    </w:rPr>
                    <w:t>746.91</w:t>
                  </w:r>
                </w:p>
              </w:tc>
              <w:tc>
                <w:tcPr>
                  <w:tcW w:w="326" w:type="pct"/>
                  <w:vMerge w:val="restart"/>
                  <w:vAlign w:val="center"/>
                </w:tcPr>
                <w:p>
                  <w:pPr>
                    <w:spacing w:line="240" w:lineRule="auto"/>
                    <w:ind w:firstLine="0" w:firstLineChars="0"/>
                    <w:jc w:val="center"/>
                    <w:rPr>
                      <w:color w:val="000000"/>
                      <w:sz w:val="21"/>
                      <w:szCs w:val="21"/>
                    </w:rPr>
                  </w:pPr>
                  <w:r>
                    <w:rPr>
                      <w:color w:val="000000"/>
                      <w:sz w:val="21"/>
                      <w:szCs w:val="21"/>
                    </w:rPr>
                    <w:t>679.51</w:t>
                  </w:r>
                </w:p>
              </w:tc>
              <w:tc>
                <w:tcPr>
                  <w:tcW w:w="326" w:type="pct"/>
                  <w:vMerge w:val="restart"/>
                  <w:vAlign w:val="center"/>
                </w:tcPr>
                <w:p>
                  <w:pPr>
                    <w:spacing w:line="240" w:lineRule="auto"/>
                    <w:ind w:firstLine="0" w:firstLineChars="0"/>
                    <w:jc w:val="center"/>
                    <w:rPr>
                      <w:color w:val="000000"/>
                      <w:sz w:val="21"/>
                      <w:szCs w:val="21"/>
                    </w:rPr>
                  </w:pPr>
                  <w:r>
                    <w:rPr>
                      <w:color w:val="000000"/>
                      <w:sz w:val="21"/>
                      <w:szCs w:val="21"/>
                    </w:rPr>
                    <w:t>1</w:t>
                  </w:r>
                </w:p>
              </w:tc>
              <w:tc>
                <w:tcPr>
                  <w:tcW w:w="380" w:type="pct"/>
                  <w:vAlign w:val="center"/>
                </w:tcPr>
                <w:p>
                  <w:pPr>
                    <w:spacing w:line="240" w:lineRule="auto"/>
                    <w:ind w:firstLine="0" w:firstLineChars="0"/>
                    <w:jc w:val="center"/>
                    <w:rPr>
                      <w:color w:val="000000"/>
                      <w:sz w:val="21"/>
                      <w:szCs w:val="21"/>
                    </w:rPr>
                  </w:pPr>
                  <w:r>
                    <w:rPr>
                      <w:color w:val="000000"/>
                      <w:sz w:val="21"/>
                      <w:szCs w:val="21"/>
                    </w:rPr>
                    <w:t>35.94</w:t>
                  </w:r>
                </w:p>
              </w:tc>
              <w:tc>
                <w:tcPr>
                  <w:tcW w:w="433" w:type="pct"/>
                  <w:vAlign w:val="center"/>
                </w:tcPr>
                <w:p>
                  <w:pPr>
                    <w:spacing w:line="240" w:lineRule="auto"/>
                    <w:ind w:firstLine="0" w:firstLineChars="0"/>
                    <w:jc w:val="center"/>
                    <w:rPr>
                      <w:color w:val="000000"/>
                      <w:sz w:val="21"/>
                      <w:szCs w:val="21"/>
                    </w:rPr>
                  </w:pPr>
                  <w:r>
                    <w:rPr>
                      <w:color w:val="000000"/>
                      <w:sz w:val="21"/>
                      <w:szCs w:val="21"/>
                    </w:rPr>
                    <w:t>52.77</w:t>
                  </w:r>
                </w:p>
              </w:tc>
              <w:tc>
                <w:tcPr>
                  <w:tcW w:w="326" w:type="pct"/>
                  <w:vMerge w:val="restart"/>
                  <w:vAlign w:val="center"/>
                </w:tcPr>
                <w:p>
                  <w:pPr>
                    <w:adjustRightInd w:val="0"/>
                    <w:snapToGrid w:val="0"/>
                    <w:spacing w:line="240" w:lineRule="auto"/>
                    <w:ind w:firstLine="0" w:firstLineChars="0"/>
                    <w:jc w:val="center"/>
                    <w:rPr>
                      <w:sz w:val="21"/>
                      <w:szCs w:val="21"/>
                    </w:rPr>
                  </w:pPr>
                  <w:r>
                    <w:rPr>
                      <w:sz w:val="21"/>
                      <w:szCs w:val="21"/>
                      <w:lang w:val="zh-CN"/>
                    </w:rPr>
                    <w:t>昼夜</w:t>
                  </w:r>
                </w:p>
              </w:tc>
              <w:tc>
                <w:tcPr>
                  <w:tcW w:w="487" w:type="pct"/>
                  <w:vMerge w:val="continue"/>
                  <w:vAlign w:val="center"/>
                </w:tcPr>
                <w:p>
                  <w:pPr>
                    <w:adjustRightInd w:val="0"/>
                    <w:snapToGrid w:val="0"/>
                    <w:spacing w:line="240" w:lineRule="auto"/>
                    <w:ind w:firstLine="0" w:firstLineChars="0"/>
                    <w:jc w:val="center"/>
                    <w:rPr>
                      <w:rFonts w:eastAsia="等线"/>
                      <w:sz w:val="21"/>
                      <w:szCs w:val="21"/>
                    </w:rPr>
                  </w:pPr>
                </w:p>
              </w:tc>
              <w:tc>
                <w:tcPr>
                  <w:tcW w:w="488" w:type="pct"/>
                  <w:vAlign w:val="center"/>
                </w:tcPr>
                <w:p>
                  <w:pPr>
                    <w:spacing w:line="240" w:lineRule="auto"/>
                    <w:ind w:firstLine="0" w:firstLineChars="0"/>
                    <w:jc w:val="center"/>
                    <w:rPr>
                      <w:color w:val="000000"/>
                      <w:sz w:val="21"/>
                      <w:szCs w:val="21"/>
                    </w:rPr>
                  </w:pPr>
                  <w:r>
                    <w:rPr>
                      <w:color w:val="000000"/>
                      <w:sz w:val="21"/>
                      <w:szCs w:val="21"/>
                    </w:rPr>
                    <w:t>26.77</w:t>
                  </w:r>
                </w:p>
              </w:tc>
              <w:tc>
                <w:tcPr>
                  <w:tcW w:w="431" w:type="pct"/>
                  <w:vAlign w:val="center"/>
                </w:tcPr>
                <w:p>
                  <w:pPr>
                    <w:spacing w:line="240" w:lineRule="auto"/>
                    <w:ind w:firstLine="0" w:firstLineChars="0"/>
                    <w:jc w:val="center"/>
                    <w:rPr>
                      <w:rFonts w:eastAsia="等线"/>
                      <w:sz w:val="21"/>
                      <w:szCs w:val="21"/>
                    </w:rPr>
                  </w:pPr>
                  <w:r>
                    <w:rPr>
                      <w:rFonts w:eastAsia="等线"/>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0" w:hRule="atLeast"/>
                <w:jc w:val="center"/>
              </w:trPr>
              <w:tc>
                <w:tcPr>
                  <w:tcW w:w="175" w:type="pct"/>
                  <w:vMerge w:val="continue"/>
                  <w:vAlign w:val="center"/>
                </w:tcPr>
                <w:p>
                  <w:pPr>
                    <w:widowControl/>
                    <w:spacing w:line="240" w:lineRule="auto"/>
                    <w:ind w:firstLine="0" w:firstLineChars="0"/>
                    <w:jc w:val="center"/>
                    <w:rPr>
                      <w:sz w:val="21"/>
                      <w:szCs w:val="21"/>
                      <w:u w:color="000000"/>
                    </w:rPr>
                  </w:pPr>
                </w:p>
              </w:tc>
              <w:tc>
                <w:tcPr>
                  <w:tcW w:w="271" w:type="pct"/>
                  <w:vMerge w:val="continue"/>
                  <w:vAlign w:val="center"/>
                </w:tcPr>
                <w:p>
                  <w:pPr>
                    <w:widowControl/>
                    <w:spacing w:line="240" w:lineRule="auto"/>
                    <w:ind w:firstLine="0" w:firstLineChars="0"/>
                    <w:jc w:val="center"/>
                    <w:rPr>
                      <w:sz w:val="21"/>
                      <w:szCs w:val="21"/>
                      <w:u w:color="000000"/>
                    </w:rPr>
                  </w:pPr>
                </w:p>
              </w:tc>
              <w:tc>
                <w:tcPr>
                  <w:tcW w:w="325" w:type="pct"/>
                  <w:vMerge w:val="continue"/>
                  <w:vAlign w:val="center"/>
                </w:tcPr>
                <w:p>
                  <w:pPr>
                    <w:widowControl/>
                    <w:spacing w:line="240" w:lineRule="auto"/>
                    <w:ind w:firstLine="0" w:firstLineChars="0"/>
                    <w:jc w:val="center"/>
                    <w:rPr>
                      <w:sz w:val="21"/>
                      <w:szCs w:val="21"/>
                      <w:u w:color="000000"/>
                    </w:rPr>
                  </w:pPr>
                </w:p>
              </w:tc>
              <w:tc>
                <w:tcPr>
                  <w:tcW w:w="380" w:type="pct"/>
                  <w:vMerge w:val="continue"/>
                  <w:vAlign w:val="center"/>
                </w:tcPr>
                <w:p>
                  <w:pPr>
                    <w:pStyle w:val="37"/>
                    <w:rPr>
                      <w:szCs w:val="21"/>
                    </w:rPr>
                  </w:pPr>
                </w:p>
              </w:tc>
              <w:tc>
                <w:tcPr>
                  <w:tcW w:w="380" w:type="pct"/>
                  <w:vMerge w:val="continue"/>
                  <w:vAlign w:val="center"/>
                </w:tcPr>
                <w:p>
                  <w:pPr>
                    <w:adjustRightInd w:val="0"/>
                    <w:snapToGrid w:val="0"/>
                    <w:spacing w:line="240" w:lineRule="auto"/>
                    <w:ind w:firstLine="0" w:firstLineChars="0"/>
                    <w:jc w:val="center"/>
                    <w:rPr>
                      <w:sz w:val="21"/>
                      <w:szCs w:val="21"/>
                    </w:rPr>
                  </w:pPr>
                </w:p>
              </w:tc>
              <w:tc>
                <w:tcPr>
                  <w:tcW w:w="271" w:type="pct"/>
                  <w:vMerge w:val="continue"/>
                  <w:vAlign w:val="center"/>
                </w:tcPr>
                <w:p>
                  <w:pPr>
                    <w:spacing w:line="240" w:lineRule="auto"/>
                    <w:ind w:firstLine="0" w:firstLineChars="0"/>
                    <w:jc w:val="center"/>
                    <w:rPr>
                      <w:rFonts w:eastAsia="等线"/>
                      <w:sz w:val="21"/>
                      <w:szCs w:val="21"/>
                    </w:rPr>
                  </w:pPr>
                </w:p>
              </w:tc>
              <w:tc>
                <w:tcPr>
                  <w:tcW w:w="326" w:type="pct"/>
                  <w:vMerge w:val="continue"/>
                  <w:vAlign w:val="center"/>
                </w:tcPr>
                <w:p>
                  <w:pPr>
                    <w:spacing w:line="240" w:lineRule="auto"/>
                    <w:ind w:firstLine="0" w:firstLineChars="0"/>
                    <w:jc w:val="center"/>
                    <w:rPr>
                      <w:rFonts w:eastAsia="等线"/>
                      <w:sz w:val="21"/>
                      <w:szCs w:val="21"/>
                    </w:rPr>
                  </w:pPr>
                </w:p>
              </w:tc>
              <w:tc>
                <w:tcPr>
                  <w:tcW w:w="326" w:type="pct"/>
                  <w:vMerge w:val="continue"/>
                  <w:vAlign w:val="center"/>
                </w:tcPr>
                <w:p>
                  <w:pPr>
                    <w:spacing w:line="240" w:lineRule="auto"/>
                    <w:ind w:firstLine="0" w:firstLineChars="0"/>
                    <w:jc w:val="center"/>
                    <w:rPr>
                      <w:rFonts w:eastAsia="等线"/>
                      <w:sz w:val="21"/>
                      <w:szCs w:val="21"/>
                    </w:rPr>
                  </w:pPr>
                </w:p>
              </w:tc>
              <w:tc>
                <w:tcPr>
                  <w:tcW w:w="380" w:type="pct"/>
                  <w:vAlign w:val="center"/>
                </w:tcPr>
                <w:p>
                  <w:pPr>
                    <w:spacing w:line="240" w:lineRule="auto"/>
                    <w:ind w:firstLine="0" w:firstLineChars="0"/>
                    <w:jc w:val="center"/>
                    <w:rPr>
                      <w:color w:val="000000"/>
                      <w:sz w:val="21"/>
                      <w:szCs w:val="21"/>
                    </w:rPr>
                  </w:pPr>
                  <w:r>
                    <w:rPr>
                      <w:color w:val="000000"/>
                      <w:sz w:val="21"/>
                      <w:szCs w:val="21"/>
                    </w:rPr>
                    <w:t>11.33</w:t>
                  </w:r>
                </w:p>
              </w:tc>
              <w:tc>
                <w:tcPr>
                  <w:tcW w:w="433" w:type="pct"/>
                  <w:vAlign w:val="center"/>
                </w:tcPr>
                <w:p>
                  <w:pPr>
                    <w:spacing w:line="240" w:lineRule="auto"/>
                    <w:ind w:firstLine="0" w:firstLineChars="0"/>
                    <w:jc w:val="center"/>
                    <w:rPr>
                      <w:color w:val="000000"/>
                      <w:sz w:val="21"/>
                      <w:szCs w:val="21"/>
                    </w:rPr>
                  </w:pPr>
                  <w:r>
                    <w:rPr>
                      <w:color w:val="000000"/>
                      <w:sz w:val="21"/>
                      <w:szCs w:val="21"/>
                    </w:rPr>
                    <w:t>52.79</w:t>
                  </w:r>
                </w:p>
              </w:tc>
              <w:tc>
                <w:tcPr>
                  <w:tcW w:w="326" w:type="pct"/>
                  <w:vMerge w:val="continue"/>
                  <w:vAlign w:val="center"/>
                </w:tcPr>
                <w:p>
                  <w:pPr>
                    <w:adjustRightInd w:val="0"/>
                    <w:snapToGrid w:val="0"/>
                    <w:spacing w:line="240" w:lineRule="auto"/>
                    <w:ind w:firstLine="0" w:firstLineChars="0"/>
                    <w:jc w:val="center"/>
                    <w:rPr>
                      <w:sz w:val="21"/>
                      <w:szCs w:val="21"/>
                    </w:rPr>
                  </w:pPr>
                </w:p>
              </w:tc>
              <w:tc>
                <w:tcPr>
                  <w:tcW w:w="487" w:type="pct"/>
                  <w:vMerge w:val="continue"/>
                  <w:vAlign w:val="center"/>
                </w:tcPr>
                <w:p>
                  <w:pPr>
                    <w:spacing w:line="240" w:lineRule="auto"/>
                    <w:ind w:firstLine="0" w:firstLineChars="0"/>
                    <w:jc w:val="center"/>
                    <w:rPr>
                      <w:rFonts w:eastAsia="等线"/>
                      <w:sz w:val="21"/>
                      <w:szCs w:val="21"/>
                    </w:rPr>
                  </w:pPr>
                </w:p>
              </w:tc>
              <w:tc>
                <w:tcPr>
                  <w:tcW w:w="488" w:type="pct"/>
                  <w:vAlign w:val="center"/>
                </w:tcPr>
                <w:p>
                  <w:pPr>
                    <w:spacing w:line="240" w:lineRule="auto"/>
                    <w:ind w:firstLine="0" w:firstLineChars="0"/>
                    <w:jc w:val="center"/>
                    <w:rPr>
                      <w:color w:val="000000"/>
                      <w:sz w:val="21"/>
                      <w:szCs w:val="21"/>
                    </w:rPr>
                  </w:pPr>
                  <w:r>
                    <w:rPr>
                      <w:color w:val="000000"/>
                      <w:sz w:val="21"/>
                      <w:szCs w:val="21"/>
                    </w:rPr>
                    <w:t>26.79</w:t>
                  </w:r>
                </w:p>
              </w:tc>
              <w:tc>
                <w:tcPr>
                  <w:tcW w:w="431" w:type="pct"/>
                  <w:vAlign w:val="center"/>
                </w:tcPr>
                <w:p>
                  <w:pPr>
                    <w:spacing w:line="240" w:lineRule="auto"/>
                    <w:ind w:firstLine="0" w:firstLineChars="0"/>
                    <w:jc w:val="center"/>
                    <w:rPr>
                      <w:rFonts w:eastAsia="等线"/>
                      <w:sz w:val="21"/>
                      <w:szCs w:val="21"/>
                    </w:rPr>
                  </w:pPr>
                  <w:r>
                    <w:rPr>
                      <w:rFonts w:eastAsia="等线"/>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0" w:hRule="atLeast"/>
                <w:jc w:val="center"/>
              </w:trPr>
              <w:tc>
                <w:tcPr>
                  <w:tcW w:w="175" w:type="pct"/>
                  <w:vMerge w:val="continue"/>
                  <w:vAlign w:val="center"/>
                </w:tcPr>
                <w:p>
                  <w:pPr>
                    <w:widowControl/>
                    <w:spacing w:line="240" w:lineRule="auto"/>
                    <w:ind w:firstLine="0" w:firstLineChars="0"/>
                    <w:jc w:val="center"/>
                    <w:rPr>
                      <w:sz w:val="21"/>
                      <w:szCs w:val="21"/>
                      <w:u w:color="000000"/>
                    </w:rPr>
                  </w:pPr>
                </w:p>
              </w:tc>
              <w:tc>
                <w:tcPr>
                  <w:tcW w:w="271" w:type="pct"/>
                  <w:vMerge w:val="continue"/>
                  <w:vAlign w:val="center"/>
                </w:tcPr>
                <w:p>
                  <w:pPr>
                    <w:widowControl/>
                    <w:spacing w:line="240" w:lineRule="auto"/>
                    <w:ind w:firstLine="0" w:firstLineChars="0"/>
                    <w:jc w:val="center"/>
                    <w:rPr>
                      <w:sz w:val="21"/>
                      <w:szCs w:val="21"/>
                      <w:u w:color="000000"/>
                    </w:rPr>
                  </w:pPr>
                </w:p>
              </w:tc>
              <w:tc>
                <w:tcPr>
                  <w:tcW w:w="325" w:type="pct"/>
                  <w:vMerge w:val="continue"/>
                  <w:vAlign w:val="center"/>
                </w:tcPr>
                <w:p>
                  <w:pPr>
                    <w:widowControl/>
                    <w:spacing w:line="240" w:lineRule="auto"/>
                    <w:ind w:firstLine="0" w:firstLineChars="0"/>
                    <w:jc w:val="center"/>
                    <w:rPr>
                      <w:sz w:val="21"/>
                      <w:szCs w:val="21"/>
                      <w:u w:color="000000"/>
                    </w:rPr>
                  </w:pPr>
                </w:p>
              </w:tc>
              <w:tc>
                <w:tcPr>
                  <w:tcW w:w="380" w:type="pct"/>
                  <w:vMerge w:val="continue"/>
                  <w:vAlign w:val="center"/>
                </w:tcPr>
                <w:p>
                  <w:pPr>
                    <w:pStyle w:val="37"/>
                    <w:rPr>
                      <w:szCs w:val="21"/>
                    </w:rPr>
                  </w:pPr>
                </w:p>
              </w:tc>
              <w:tc>
                <w:tcPr>
                  <w:tcW w:w="380" w:type="pct"/>
                  <w:vMerge w:val="continue"/>
                  <w:vAlign w:val="center"/>
                </w:tcPr>
                <w:p>
                  <w:pPr>
                    <w:adjustRightInd w:val="0"/>
                    <w:snapToGrid w:val="0"/>
                    <w:spacing w:line="240" w:lineRule="auto"/>
                    <w:ind w:firstLine="0" w:firstLineChars="0"/>
                    <w:jc w:val="center"/>
                    <w:rPr>
                      <w:sz w:val="21"/>
                      <w:szCs w:val="21"/>
                    </w:rPr>
                  </w:pPr>
                </w:p>
              </w:tc>
              <w:tc>
                <w:tcPr>
                  <w:tcW w:w="271" w:type="pct"/>
                  <w:vMerge w:val="continue"/>
                  <w:vAlign w:val="center"/>
                </w:tcPr>
                <w:p>
                  <w:pPr>
                    <w:spacing w:line="240" w:lineRule="auto"/>
                    <w:ind w:firstLine="0" w:firstLineChars="0"/>
                    <w:jc w:val="center"/>
                    <w:rPr>
                      <w:rFonts w:eastAsia="等线"/>
                      <w:sz w:val="21"/>
                      <w:szCs w:val="21"/>
                    </w:rPr>
                  </w:pPr>
                </w:p>
              </w:tc>
              <w:tc>
                <w:tcPr>
                  <w:tcW w:w="326" w:type="pct"/>
                  <w:vMerge w:val="continue"/>
                  <w:vAlign w:val="center"/>
                </w:tcPr>
                <w:p>
                  <w:pPr>
                    <w:spacing w:line="240" w:lineRule="auto"/>
                    <w:ind w:firstLine="0" w:firstLineChars="0"/>
                    <w:jc w:val="center"/>
                    <w:rPr>
                      <w:rFonts w:eastAsia="等线"/>
                      <w:sz w:val="21"/>
                      <w:szCs w:val="21"/>
                    </w:rPr>
                  </w:pPr>
                </w:p>
              </w:tc>
              <w:tc>
                <w:tcPr>
                  <w:tcW w:w="326" w:type="pct"/>
                  <w:vMerge w:val="continue"/>
                  <w:vAlign w:val="center"/>
                </w:tcPr>
                <w:p>
                  <w:pPr>
                    <w:spacing w:line="240" w:lineRule="auto"/>
                    <w:ind w:firstLine="0" w:firstLineChars="0"/>
                    <w:jc w:val="center"/>
                    <w:rPr>
                      <w:rFonts w:eastAsia="等线"/>
                      <w:sz w:val="21"/>
                      <w:szCs w:val="21"/>
                    </w:rPr>
                  </w:pPr>
                </w:p>
              </w:tc>
              <w:tc>
                <w:tcPr>
                  <w:tcW w:w="380" w:type="pct"/>
                  <w:vAlign w:val="center"/>
                </w:tcPr>
                <w:p>
                  <w:pPr>
                    <w:spacing w:line="240" w:lineRule="auto"/>
                    <w:ind w:firstLine="0" w:firstLineChars="0"/>
                    <w:jc w:val="center"/>
                    <w:rPr>
                      <w:color w:val="000000"/>
                      <w:sz w:val="21"/>
                      <w:szCs w:val="21"/>
                    </w:rPr>
                  </w:pPr>
                  <w:r>
                    <w:rPr>
                      <w:color w:val="000000"/>
                      <w:sz w:val="21"/>
                      <w:szCs w:val="21"/>
                    </w:rPr>
                    <w:t>17.74</w:t>
                  </w:r>
                </w:p>
              </w:tc>
              <w:tc>
                <w:tcPr>
                  <w:tcW w:w="433" w:type="pct"/>
                  <w:vAlign w:val="center"/>
                </w:tcPr>
                <w:p>
                  <w:pPr>
                    <w:spacing w:line="240" w:lineRule="auto"/>
                    <w:ind w:firstLine="0" w:firstLineChars="0"/>
                    <w:jc w:val="center"/>
                    <w:rPr>
                      <w:color w:val="000000"/>
                      <w:sz w:val="21"/>
                      <w:szCs w:val="21"/>
                    </w:rPr>
                  </w:pPr>
                  <w:r>
                    <w:rPr>
                      <w:color w:val="000000"/>
                      <w:sz w:val="21"/>
                      <w:szCs w:val="21"/>
                    </w:rPr>
                    <w:t>52.78</w:t>
                  </w:r>
                </w:p>
              </w:tc>
              <w:tc>
                <w:tcPr>
                  <w:tcW w:w="326" w:type="pct"/>
                  <w:vMerge w:val="continue"/>
                  <w:vAlign w:val="center"/>
                </w:tcPr>
                <w:p>
                  <w:pPr>
                    <w:adjustRightInd w:val="0"/>
                    <w:snapToGrid w:val="0"/>
                    <w:spacing w:line="240" w:lineRule="auto"/>
                    <w:ind w:firstLine="0" w:firstLineChars="0"/>
                    <w:jc w:val="center"/>
                    <w:rPr>
                      <w:sz w:val="21"/>
                      <w:szCs w:val="21"/>
                    </w:rPr>
                  </w:pPr>
                </w:p>
              </w:tc>
              <w:tc>
                <w:tcPr>
                  <w:tcW w:w="487" w:type="pct"/>
                  <w:vMerge w:val="continue"/>
                  <w:vAlign w:val="center"/>
                </w:tcPr>
                <w:p>
                  <w:pPr>
                    <w:spacing w:line="240" w:lineRule="auto"/>
                    <w:ind w:firstLine="0" w:firstLineChars="0"/>
                    <w:jc w:val="center"/>
                    <w:rPr>
                      <w:rFonts w:eastAsia="等线"/>
                      <w:sz w:val="21"/>
                      <w:szCs w:val="21"/>
                    </w:rPr>
                  </w:pPr>
                </w:p>
              </w:tc>
              <w:tc>
                <w:tcPr>
                  <w:tcW w:w="488" w:type="pct"/>
                  <w:vAlign w:val="center"/>
                </w:tcPr>
                <w:p>
                  <w:pPr>
                    <w:spacing w:line="240" w:lineRule="auto"/>
                    <w:ind w:firstLine="0" w:firstLineChars="0"/>
                    <w:jc w:val="center"/>
                    <w:rPr>
                      <w:color w:val="000000"/>
                      <w:sz w:val="21"/>
                      <w:szCs w:val="21"/>
                    </w:rPr>
                  </w:pPr>
                  <w:r>
                    <w:rPr>
                      <w:color w:val="000000"/>
                      <w:sz w:val="21"/>
                      <w:szCs w:val="21"/>
                    </w:rPr>
                    <w:t>26.78</w:t>
                  </w:r>
                </w:p>
              </w:tc>
              <w:tc>
                <w:tcPr>
                  <w:tcW w:w="431" w:type="pct"/>
                  <w:vAlign w:val="center"/>
                </w:tcPr>
                <w:p>
                  <w:pPr>
                    <w:spacing w:line="240" w:lineRule="auto"/>
                    <w:ind w:firstLine="0" w:firstLineChars="0"/>
                    <w:jc w:val="center"/>
                    <w:rPr>
                      <w:rFonts w:eastAsia="等线"/>
                      <w:sz w:val="21"/>
                      <w:szCs w:val="21"/>
                    </w:rPr>
                  </w:pPr>
                  <w:r>
                    <w:rPr>
                      <w:rFonts w:eastAsia="等线"/>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175" w:type="pct"/>
                  <w:vMerge w:val="continue"/>
                  <w:vAlign w:val="center"/>
                </w:tcPr>
                <w:p>
                  <w:pPr>
                    <w:widowControl/>
                    <w:spacing w:line="240" w:lineRule="auto"/>
                    <w:ind w:firstLine="0" w:firstLineChars="0"/>
                    <w:jc w:val="center"/>
                    <w:rPr>
                      <w:sz w:val="21"/>
                      <w:szCs w:val="21"/>
                      <w:u w:color="000000"/>
                    </w:rPr>
                  </w:pPr>
                </w:p>
              </w:tc>
              <w:tc>
                <w:tcPr>
                  <w:tcW w:w="271" w:type="pct"/>
                  <w:vMerge w:val="continue"/>
                  <w:vAlign w:val="center"/>
                </w:tcPr>
                <w:p>
                  <w:pPr>
                    <w:widowControl/>
                    <w:spacing w:line="240" w:lineRule="auto"/>
                    <w:ind w:firstLine="0" w:firstLineChars="0"/>
                    <w:jc w:val="center"/>
                    <w:rPr>
                      <w:sz w:val="21"/>
                      <w:szCs w:val="21"/>
                      <w:u w:color="000000"/>
                    </w:rPr>
                  </w:pPr>
                </w:p>
              </w:tc>
              <w:tc>
                <w:tcPr>
                  <w:tcW w:w="325" w:type="pct"/>
                  <w:vMerge w:val="continue"/>
                  <w:vAlign w:val="center"/>
                </w:tcPr>
                <w:p>
                  <w:pPr>
                    <w:widowControl/>
                    <w:spacing w:line="240" w:lineRule="auto"/>
                    <w:ind w:firstLine="0" w:firstLineChars="0"/>
                    <w:jc w:val="center"/>
                    <w:rPr>
                      <w:sz w:val="21"/>
                      <w:szCs w:val="21"/>
                      <w:u w:color="000000"/>
                    </w:rPr>
                  </w:pPr>
                </w:p>
              </w:tc>
              <w:tc>
                <w:tcPr>
                  <w:tcW w:w="380" w:type="pct"/>
                  <w:vMerge w:val="continue"/>
                  <w:vAlign w:val="center"/>
                </w:tcPr>
                <w:p>
                  <w:pPr>
                    <w:pStyle w:val="37"/>
                    <w:rPr>
                      <w:szCs w:val="21"/>
                    </w:rPr>
                  </w:pPr>
                </w:p>
              </w:tc>
              <w:tc>
                <w:tcPr>
                  <w:tcW w:w="380" w:type="pct"/>
                  <w:vMerge w:val="continue"/>
                  <w:vAlign w:val="center"/>
                </w:tcPr>
                <w:p>
                  <w:pPr>
                    <w:adjustRightInd w:val="0"/>
                    <w:snapToGrid w:val="0"/>
                    <w:spacing w:line="240" w:lineRule="auto"/>
                    <w:ind w:firstLine="0" w:firstLineChars="0"/>
                    <w:jc w:val="center"/>
                    <w:rPr>
                      <w:sz w:val="21"/>
                      <w:szCs w:val="21"/>
                    </w:rPr>
                  </w:pPr>
                </w:p>
              </w:tc>
              <w:tc>
                <w:tcPr>
                  <w:tcW w:w="271" w:type="pct"/>
                  <w:vMerge w:val="continue"/>
                  <w:vAlign w:val="center"/>
                </w:tcPr>
                <w:p>
                  <w:pPr>
                    <w:spacing w:line="240" w:lineRule="auto"/>
                    <w:ind w:firstLine="0" w:firstLineChars="0"/>
                    <w:jc w:val="center"/>
                    <w:rPr>
                      <w:rFonts w:eastAsia="等线"/>
                      <w:sz w:val="21"/>
                      <w:szCs w:val="21"/>
                    </w:rPr>
                  </w:pPr>
                </w:p>
              </w:tc>
              <w:tc>
                <w:tcPr>
                  <w:tcW w:w="326" w:type="pct"/>
                  <w:vMerge w:val="continue"/>
                  <w:vAlign w:val="center"/>
                </w:tcPr>
                <w:p>
                  <w:pPr>
                    <w:spacing w:line="240" w:lineRule="auto"/>
                    <w:ind w:firstLine="0" w:firstLineChars="0"/>
                    <w:jc w:val="center"/>
                    <w:rPr>
                      <w:rFonts w:eastAsia="等线"/>
                      <w:sz w:val="21"/>
                      <w:szCs w:val="21"/>
                    </w:rPr>
                  </w:pPr>
                </w:p>
              </w:tc>
              <w:tc>
                <w:tcPr>
                  <w:tcW w:w="326" w:type="pct"/>
                  <w:vMerge w:val="continue"/>
                  <w:vAlign w:val="center"/>
                </w:tcPr>
                <w:p>
                  <w:pPr>
                    <w:spacing w:line="240" w:lineRule="auto"/>
                    <w:ind w:firstLine="0" w:firstLineChars="0"/>
                    <w:jc w:val="center"/>
                    <w:rPr>
                      <w:rFonts w:eastAsia="等线"/>
                      <w:sz w:val="21"/>
                      <w:szCs w:val="21"/>
                    </w:rPr>
                  </w:pPr>
                </w:p>
              </w:tc>
              <w:tc>
                <w:tcPr>
                  <w:tcW w:w="380" w:type="pct"/>
                  <w:vAlign w:val="center"/>
                </w:tcPr>
                <w:p>
                  <w:pPr>
                    <w:spacing w:line="240" w:lineRule="auto"/>
                    <w:ind w:firstLine="0" w:firstLineChars="0"/>
                    <w:jc w:val="center"/>
                    <w:rPr>
                      <w:color w:val="000000"/>
                      <w:sz w:val="21"/>
                      <w:szCs w:val="21"/>
                    </w:rPr>
                  </w:pPr>
                  <w:r>
                    <w:rPr>
                      <w:color w:val="000000"/>
                      <w:sz w:val="21"/>
                      <w:szCs w:val="21"/>
                    </w:rPr>
                    <w:t>30.16</w:t>
                  </w:r>
                </w:p>
              </w:tc>
              <w:tc>
                <w:tcPr>
                  <w:tcW w:w="433" w:type="pct"/>
                  <w:vAlign w:val="center"/>
                </w:tcPr>
                <w:p>
                  <w:pPr>
                    <w:spacing w:line="240" w:lineRule="auto"/>
                    <w:ind w:firstLine="0" w:firstLineChars="0"/>
                    <w:jc w:val="center"/>
                    <w:rPr>
                      <w:color w:val="000000"/>
                      <w:sz w:val="21"/>
                      <w:szCs w:val="21"/>
                    </w:rPr>
                  </w:pPr>
                  <w:r>
                    <w:rPr>
                      <w:color w:val="000000"/>
                      <w:sz w:val="21"/>
                      <w:szCs w:val="21"/>
                    </w:rPr>
                    <w:t>52.77</w:t>
                  </w:r>
                </w:p>
              </w:tc>
              <w:tc>
                <w:tcPr>
                  <w:tcW w:w="326" w:type="pct"/>
                  <w:vMerge w:val="continue"/>
                  <w:vAlign w:val="center"/>
                </w:tcPr>
                <w:p>
                  <w:pPr>
                    <w:adjustRightInd w:val="0"/>
                    <w:snapToGrid w:val="0"/>
                    <w:spacing w:line="240" w:lineRule="auto"/>
                    <w:ind w:firstLine="0" w:firstLineChars="0"/>
                    <w:jc w:val="center"/>
                    <w:rPr>
                      <w:sz w:val="21"/>
                      <w:szCs w:val="21"/>
                    </w:rPr>
                  </w:pPr>
                </w:p>
              </w:tc>
              <w:tc>
                <w:tcPr>
                  <w:tcW w:w="487" w:type="pct"/>
                  <w:vMerge w:val="continue"/>
                  <w:vAlign w:val="center"/>
                </w:tcPr>
                <w:p>
                  <w:pPr>
                    <w:spacing w:line="240" w:lineRule="auto"/>
                    <w:ind w:firstLine="0" w:firstLineChars="0"/>
                    <w:jc w:val="center"/>
                    <w:rPr>
                      <w:rFonts w:eastAsia="等线"/>
                      <w:sz w:val="21"/>
                      <w:szCs w:val="21"/>
                    </w:rPr>
                  </w:pPr>
                </w:p>
              </w:tc>
              <w:tc>
                <w:tcPr>
                  <w:tcW w:w="488" w:type="pct"/>
                  <w:vAlign w:val="center"/>
                </w:tcPr>
                <w:p>
                  <w:pPr>
                    <w:spacing w:line="240" w:lineRule="auto"/>
                    <w:ind w:firstLine="0" w:firstLineChars="0"/>
                    <w:jc w:val="center"/>
                    <w:rPr>
                      <w:color w:val="000000"/>
                      <w:sz w:val="21"/>
                      <w:szCs w:val="21"/>
                    </w:rPr>
                  </w:pPr>
                  <w:r>
                    <w:rPr>
                      <w:color w:val="000000"/>
                      <w:sz w:val="21"/>
                      <w:szCs w:val="21"/>
                    </w:rPr>
                    <w:t>26.77</w:t>
                  </w:r>
                </w:p>
              </w:tc>
              <w:tc>
                <w:tcPr>
                  <w:tcW w:w="431" w:type="pct"/>
                  <w:vAlign w:val="center"/>
                </w:tcPr>
                <w:p>
                  <w:pPr>
                    <w:spacing w:line="240" w:lineRule="auto"/>
                    <w:ind w:firstLine="0" w:firstLineChars="0"/>
                    <w:jc w:val="center"/>
                    <w:rPr>
                      <w:rFonts w:eastAsia="等线"/>
                      <w:sz w:val="21"/>
                      <w:szCs w:val="21"/>
                    </w:rPr>
                  </w:pPr>
                  <w:r>
                    <w:rPr>
                      <w:rFonts w:eastAsia="等线"/>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175" w:type="pct"/>
                  <w:vMerge w:val="continue"/>
                  <w:vAlign w:val="center"/>
                </w:tcPr>
                <w:p>
                  <w:pPr>
                    <w:widowControl/>
                    <w:spacing w:line="240" w:lineRule="auto"/>
                    <w:ind w:firstLine="0" w:firstLineChars="0"/>
                    <w:jc w:val="center"/>
                    <w:rPr>
                      <w:sz w:val="21"/>
                      <w:szCs w:val="21"/>
                      <w:u w:color="000000"/>
                    </w:rPr>
                  </w:pPr>
                </w:p>
              </w:tc>
              <w:tc>
                <w:tcPr>
                  <w:tcW w:w="271" w:type="pct"/>
                  <w:vMerge w:val="continue"/>
                  <w:vAlign w:val="center"/>
                </w:tcPr>
                <w:p>
                  <w:pPr>
                    <w:widowControl/>
                    <w:spacing w:line="240" w:lineRule="auto"/>
                    <w:ind w:firstLine="0" w:firstLineChars="0"/>
                    <w:jc w:val="center"/>
                    <w:rPr>
                      <w:sz w:val="21"/>
                      <w:szCs w:val="21"/>
                      <w:u w:color="000000"/>
                    </w:rPr>
                  </w:pPr>
                </w:p>
              </w:tc>
              <w:tc>
                <w:tcPr>
                  <w:tcW w:w="325" w:type="pct"/>
                  <w:vMerge w:val="continue"/>
                  <w:vAlign w:val="center"/>
                </w:tcPr>
                <w:p>
                  <w:pPr>
                    <w:widowControl/>
                    <w:spacing w:line="240" w:lineRule="auto"/>
                    <w:ind w:firstLine="0" w:firstLineChars="0"/>
                    <w:jc w:val="center"/>
                    <w:rPr>
                      <w:sz w:val="21"/>
                      <w:szCs w:val="21"/>
                      <w:u w:color="000000"/>
                    </w:rPr>
                  </w:pPr>
                </w:p>
              </w:tc>
              <w:tc>
                <w:tcPr>
                  <w:tcW w:w="380" w:type="pct"/>
                  <w:vMerge w:val="continue"/>
                  <w:vAlign w:val="center"/>
                </w:tcPr>
                <w:p>
                  <w:pPr>
                    <w:pStyle w:val="37"/>
                    <w:rPr>
                      <w:szCs w:val="21"/>
                    </w:rPr>
                  </w:pPr>
                </w:p>
              </w:tc>
              <w:tc>
                <w:tcPr>
                  <w:tcW w:w="380" w:type="pct"/>
                  <w:vMerge w:val="continue"/>
                  <w:vAlign w:val="center"/>
                </w:tcPr>
                <w:p>
                  <w:pPr>
                    <w:adjustRightInd w:val="0"/>
                    <w:snapToGrid w:val="0"/>
                    <w:spacing w:line="240" w:lineRule="auto"/>
                    <w:ind w:firstLine="0" w:firstLineChars="0"/>
                    <w:jc w:val="center"/>
                    <w:rPr>
                      <w:sz w:val="21"/>
                      <w:szCs w:val="21"/>
                    </w:rPr>
                  </w:pPr>
                </w:p>
              </w:tc>
              <w:tc>
                <w:tcPr>
                  <w:tcW w:w="271" w:type="pct"/>
                  <w:vMerge w:val="continue"/>
                  <w:vAlign w:val="center"/>
                </w:tcPr>
                <w:p>
                  <w:pPr>
                    <w:spacing w:line="240" w:lineRule="auto"/>
                    <w:ind w:firstLine="0" w:firstLineChars="0"/>
                    <w:jc w:val="center"/>
                    <w:rPr>
                      <w:rFonts w:eastAsia="等线"/>
                      <w:sz w:val="21"/>
                      <w:szCs w:val="21"/>
                    </w:rPr>
                  </w:pPr>
                </w:p>
              </w:tc>
              <w:tc>
                <w:tcPr>
                  <w:tcW w:w="326" w:type="pct"/>
                  <w:vMerge w:val="continue"/>
                  <w:vAlign w:val="center"/>
                </w:tcPr>
                <w:p>
                  <w:pPr>
                    <w:spacing w:line="240" w:lineRule="auto"/>
                    <w:ind w:firstLine="0" w:firstLineChars="0"/>
                    <w:jc w:val="center"/>
                    <w:rPr>
                      <w:rFonts w:eastAsia="等线"/>
                      <w:sz w:val="21"/>
                      <w:szCs w:val="21"/>
                    </w:rPr>
                  </w:pPr>
                </w:p>
              </w:tc>
              <w:tc>
                <w:tcPr>
                  <w:tcW w:w="326" w:type="pct"/>
                  <w:vMerge w:val="continue"/>
                  <w:vAlign w:val="center"/>
                </w:tcPr>
                <w:p>
                  <w:pPr>
                    <w:spacing w:line="240" w:lineRule="auto"/>
                    <w:ind w:firstLine="0" w:firstLineChars="0"/>
                    <w:jc w:val="center"/>
                    <w:rPr>
                      <w:rFonts w:eastAsia="等线"/>
                      <w:sz w:val="21"/>
                      <w:szCs w:val="21"/>
                    </w:rPr>
                  </w:pPr>
                </w:p>
              </w:tc>
              <w:tc>
                <w:tcPr>
                  <w:tcW w:w="380" w:type="pct"/>
                  <w:vAlign w:val="center"/>
                </w:tcPr>
                <w:p>
                  <w:pPr>
                    <w:spacing w:line="240" w:lineRule="auto"/>
                    <w:ind w:firstLine="0" w:firstLineChars="0"/>
                    <w:jc w:val="center"/>
                    <w:rPr>
                      <w:color w:val="000000"/>
                      <w:sz w:val="21"/>
                      <w:szCs w:val="21"/>
                    </w:rPr>
                  </w:pPr>
                  <w:r>
                    <w:rPr>
                      <w:color w:val="000000"/>
                      <w:sz w:val="21"/>
                      <w:szCs w:val="21"/>
                    </w:rPr>
                    <w:t>38.24</w:t>
                  </w:r>
                </w:p>
              </w:tc>
              <w:tc>
                <w:tcPr>
                  <w:tcW w:w="433" w:type="pct"/>
                  <w:vAlign w:val="center"/>
                </w:tcPr>
                <w:p>
                  <w:pPr>
                    <w:spacing w:line="240" w:lineRule="auto"/>
                    <w:ind w:firstLine="0" w:firstLineChars="0"/>
                    <w:jc w:val="center"/>
                    <w:rPr>
                      <w:color w:val="000000"/>
                      <w:sz w:val="21"/>
                      <w:szCs w:val="21"/>
                    </w:rPr>
                  </w:pPr>
                  <w:r>
                    <w:rPr>
                      <w:color w:val="000000"/>
                      <w:sz w:val="21"/>
                      <w:szCs w:val="21"/>
                    </w:rPr>
                    <w:t>52.77</w:t>
                  </w:r>
                </w:p>
              </w:tc>
              <w:tc>
                <w:tcPr>
                  <w:tcW w:w="326" w:type="pct"/>
                  <w:vMerge w:val="continue"/>
                  <w:vAlign w:val="center"/>
                </w:tcPr>
                <w:p>
                  <w:pPr>
                    <w:adjustRightInd w:val="0"/>
                    <w:snapToGrid w:val="0"/>
                    <w:spacing w:line="240" w:lineRule="auto"/>
                    <w:ind w:firstLine="0" w:firstLineChars="0"/>
                    <w:jc w:val="center"/>
                    <w:rPr>
                      <w:sz w:val="21"/>
                      <w:szCs w:val="21"/>
                    </w:rPr>
                  </w:pPr>
                </w:p>
              </w:tc>
              <w:tc>
                <w:tcPr>
                  <w:tcW w:w="487" w:type="pct"/>
                  <w:vMerge w:val="continue"/>
                  <w:vAlign w:val="center"/>
                </w:tcPr>
                <w:p>
                  <w:pPr>
                    <w:spacing w:line="240" w:lineRule="auto"/>
                    <w:ind w:firstLine="0" w:firstLineChars="0"/>
                    <w:jc w:val="center"/>
                    <w:rPr>
                      <w:rFonts w:eastAsia="等线"/>
                      <w:sz w:val="21"/>
                      <w:szCs w:val="21"/>
                    </w:rPr>
                  </w:pPr>
                </w:p>
              </w:tc>
              <w:tc>
                <w:tcPr>
                  <w:tcW w:w="488" w:type="pct"/>
                  <w:vAlign w:val="center"/>
                </w:tcPr>
                <w:p>
                  <w:pPr>
                    <w:spacing w:line="240" w:lineRule="auto"/>
                    <w:ind w:firstLine="0" w:firstLineChars="0"/>
                    <w:jc w:val="center"/>
                    <w:rPr>
                      <w:color w:val="000000"/>
                      <w:sz w:val="21"/>
                      <w:szCs w:val="21"/>
                    </w:rPr>
                  </w:pPr>
                  <w:r>
                    <w:rPr>
                      <w:color w:val="000000"/>
                      <w:sz w:val="21"/>
                      <w:szCs w:val="21"/>
                    </w:rPr>
                    <w:t>26.77</w:t>
                  </w:r>
                </w:p>
              </w:tc>
              <w:tc>
                <w:tcPr>
                  <w:tcW w:w="431" w:type="pct"/>
                  <w:vAlign w:val="center"/>
                </w:tcPr>
                <w:p>
                  <w:pPr>
                    <w:spacing w:line="240" w:lineRule="auto"/>
                    <w:ind w:firstLine="0" w:firstLineChars="0"/>
                    <w:jc w:val="center"/>
                    <w:rPr>
                      <w:rFonts w:eastAsia="等线"/>
                      <w:sz w:val="21"/>
                      <w:szCs w:val="21"/>
                    </w:rPr>
                  </w:pPr>
                  <w:r>
                    <w:rPr>
                      <w:rFonts w:eastAsia="等线"/>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175" w:type="pct"/>
                  <w:vMerge w:val="restart"/>
                  <w:vAlign w:val="center"/>
                </w:tcPr>
                <w:p>
                  <w:pPr>
                    <w:widowControl/>
                    <w:spacing w:line="240" w:lineRule="auto"/>
                    <w:ind w:firstLine="0" w:firstLineChars="0"/>
                    <w:jc w:val="center"/>
                    <w:rPr>
                      <w:sz w:val="21"/>
                      <w:szCs w:val="21"/>
                      <w:u w:color="000000"/>
                    </w:rPr>
                  </w:pPr>
                  <w:r>
                    <w:rPr>
                      <w:sz w:val="21"/>
                      <w:szCs w:val="21"/>
                    </w:rPr>
                    <w:t>7</w:t>
                  </w:r>
                </w:p>
              </w:tc>
              <w:tc>
                <w:tcPr>
                  <w:tcW w:w="271" w:type="pct"/>
                  <w:vMerge w:val="continue"/>
                  <w:vAlign w:val="center"/>
                </w:tcPr>
                <w:p>
                  <w:pPr>
                    <w:widowControl/>
                    <w:spacing w:line="240" w:lineRule="auto"/>
                    <w:ind w:firstLine="0" w:firstLineChars="0"/>
                    <w:jc w:val="center"/>
                    <w:rPr>
                      <w:sz w:val="21"/>
                      <w:szCs w:val="21"/>
                      <w:u w:color="000000"/>
                    </w:rPr>
                  </w:pPr>
                </w:p>
              </w:tc>
              <w:tc>
                <w:tcPr>
                  <w:tcW w:w="325" w:type="pct"/>
                  <w:vMerge w:val="restart"/>
                  <w:vAlign w:val="center"/>
                </w:tcPr>
                <w:p>
                  <w:pPr>
                    <w:widowControl/>
                    <w:spacing w:line="240" w:lineRule="auto"/>
                    <w:ind w:firstLine="0" w:firstLineChars="0"/>
                    <w:jc w:val="center"/>
                    <w:rPr>
                      <w:sz w:val="21"/>
                      <w:szCs w:val="21"/>
                      <w:u w:color="000000"/>
                    </w:rPr>
                  </w:pPr>
                  <w:r>
                    <w:rPr>
                      <w:sz w:val="21"/>
                      <w:szCs w:val="21"/>
                      <w:u w:color="000000"/>
                    </w:rPr>
                    <w:t>污水处理</w:t>
                  </w:r>
                  <w:r>
                    <w:rPr>
                      <w:sz w:val="21"/>
                      <w:szCs w:val="21"/>
                    </w:rPr>
                    <w:t>罗茨风机</w:t>
                  </w:r>
                </w:p>
              </w:tc>
              <w:tc>
                <w:tcPr>
                  <w:tcW w:w="380" w:type="pct"/>
                  <w:vMerge w:val="restart"/>
                  <w:vAlign w:val="center"/>
                </w:tcPr>
                <w:p>
                  <w:pPr>
                    <w:pStyle w:val="37"/>
                    <w:rPr>
                      <w:szCs w:val="21"/>
                    </w:rPr>
                  </w:pPr>
                  <w:r>
                    <w:rPr>
                      <w:szCs w:val="21"/>
                    </w:rPr>
                    <w:t>75</w:t>
                  </w:r>
                </w:p>
              </w:tc>
              <w:tc>
                <w:tcPr>
                  <w:tcW w:w="380" w:type="pct"/>
                  <w:vMerge w:val="continue"/>
                  <w:vAlign w:val="center"/>
                </w:tcPr>
                <w:p>
                  <w:pPr>
                    <w:adjustRightInd w:val="0"/>
                    <w:snapToGrid w:val="0"/>
                    <w:spacing w:line="240" w:lineRule="auto"/>
                    <w:ind w:firstLine="0" w:firstLineChars="0"/>
                    <w:jc w:val="center"/>
                    <w:rPr>
                      <w:sz w:val="21"/>
                      <w:szCs w:val="21"/>
                    </w:rPr>
                  </w:pPr>
                </w:p>
              </w:tc>
              <w:tc>
                <w:tcPr>
                  <w:tcW w:w="271" w:type="pct"/>
                  <w:vMerge w:val="restart"/>
                  <w:vAlign w:val="center"/>
                </w:tcPr>
                <w:p>
                  <w:pPr>
                    <w:spacing w:line="240" w:lineRule="auto"/>
                    <w:ind w:firstLine="0" w:firstLineChars="0"/>
                    <w:jc w:val="center"/>
                    <w:rPr>
                      <w:color w:val="000000"/>
                      <w:sz w:val="21"/>
                      <w:szCs w:val="21"/>
                    </w:rPr>
                  </w:pPr>
                  <w:r>
                    <w:rPr>
                      <w:color w:val="000000"/>
                      <w:sz w:val="21"/>
                      <w:szCs w:val="21"/>
                    </w:rPr>
                    <w:t>744</w:t>
                  </w:r>
                </w:p>
              </w:tc>
              <w:tc>
                <w:tcPr>
                  <w:tcW w:w="326" w:type="pct"/>
                  <w:vMerge w:val="restart"/>
                  <w:vAlign w:val="center"/>
                </w:tcPr>
                <w:p>
                  <w:pPr>
                    <w:spacing w:line="240" w:lineRule="auto"/>
                    <w:ind w:firstLine="0" w:firstLineChars="0"/>
                    <w:jc w:val="center"/>
                    <w:rPr>
                      <w:color w:val="000000"/>
                      <w:sz w:val="21"/>
                      <w:szCs w:val="21"/>
                    </w:rPr>
                  </w:pPr>
                  <w:r>
                    <w:rPr>
                      <w:color w:val="000000"/>
                      <w:sz w:val="21"/>
                      <w:szCs w:val="21"/>
                    </w:rPr>
                    <w:t>683.88</w:t>
                  </w:r>
                </w:p>
              </w:tc>
              <w:tc>
                <w:tcPr>
                  <w:tcW w:w="326" w:type="pct"/>
                  <w:vMerge w:val="restart"/>
                  <w:vAlign w:val="center"/>
                </w:tcPr>
                <w:p>
                  <w:pPr>
                    <w:spacing w:line="240" w:lineRule="auto"/>
                    <w:ind w:firstLine="0" w:firstLineChars="0"/>
                    <w:jc w:val="center"/>
                    <w:rPr>
                      <w:color w:val="000000"/>
                      <w:sz w:val="21"/>
                      <w:szCs w:val="21"/>
                    </w:rPr>
                  </w:pPr>
                  <w:r>
                    <w:rPr>
                      <w:color w:val="000000"/>
                      <w:sz w:val="21"/>
                      <w:szCs w:val="21"/>
                    </w:rPr>
                    <w:t>1</w:t>
                  </w:r>
                </w:p>
              </w:tc>
              <w:tc>
                <w:tcPr>
                  <w:tcW w:w="380" w:type="pct"/>
                  <w:vAlign w:val="center"/>
                </w:tcPr>
                <w:p>
                  <w:pPr>
                    <w:spacing w:line="240" w:lineRule="auto"/>
                    <w:ind w:firstLine="0" w:firstLineChars="0"/>
                    <w:jc w:val="center"/>
                    <w:rPr>
                      <w:color w:val="000000"/>
                      <w:sz w:val="21"/>
                      <w:szCs w:val="21"/>
                    </w:rPr>
                  </w:pPr>
                  <w:r>
                    <w:rPr>
                      <w:color w:val="000000"/>
                      <w:sz w:val="21"/>
                      <w:szCs w:val="21"/>
                    </w:rPr>
                    <w:t>31.57</w:t>
                  </w:r>
                </w:p>
              </w:tc>
              <w:tc>
                <w:tcPr>
                  <w:tcW w:w="433" w:type="pct"/>
                  <w:vAlign w:val="center"/>
                </w:tcPr>
                <w:p>
                  <w:pPr>
                    <w:spacing w:line="240" w:lineRule="auto"/>
                    <w:ind w:firstLine="0" w:firstLineChars="0"/>
                    <w:jc w:val="center"/>
                    <w:rPr>
                      <w:color w:val="000000"/>
                      <w:sz w:val="21"/>
                      <w:szCs w:val="21"/>
                    </w:rPr>
                  </w:pPr>
                  <w:r>
                    <w:rPr>
                      <w:color w:val="000000"/>
                      <w:sz w:val="21"/>
                      <w:szCs w:val="21"/>
                    </w:rPr>
                    <w:t>67.77</w:t>
                  </w:r>
                </w:p>
              </w:tc>
              <w:tc>
                <w:tcPr>
                  <w:tcW w:w="326" w:type="pct"/>
                  <w:vMerge w:val="restart"/>
                  <w:vAlign w:val="center"/>
                </w:tcPr>
                <w:p>
                  <w:pPr>
                    <w:adjustRightInd w:val="0"/>
                    <w:snapToGrid w:val="0"/>
                    <w:spacing w:line="240" w:lineRule="auto"/>
                    <w:ind w:firstLine="0" w:firstLineChars="0"/>
                    <w:jc w:val="center"/>
                    <w:rPr>
                      <w:sz w:val="21"/>
                      <w:szCs w:val="21"/>
                    </w:rPr>
                  </w:pPr>
                  <w:r>
                    <w:rPr>
                      <w:sz w:val="21"/>
                      <w:szCs w:val="21"/>
                      <w:lang w:val="zh-CN"/>
                    </w:rPr>
                    <w:t>昼夜</w:t>
                  </w:r>
                </w:p>
              </w:tc>
              <w:tc>
                <w:tcPr>
                  <w:tcW w:w="487" w:type="pct"/>
                  <w:vMerge w:val="continue"/>
                  <w:vAlign w:val="center"/>
                </w:tcPr>
                <w:p>
                  <w:pPr>
                    <w:adjustRightInd w:val="0"/>
                    <w:snapToGrid w:val="0"/>
                    <w:spacing w:line="240" w:lineRule="auto"/>
                    <w:ind w:firstLine="0" w:firstLineChars="0"/>
                    <w:jc w:val="center"/>
                    <w:rPr>
                      <w:rFonts w:eastAsia="等线"/>
                      <w:sz w:val="21"/>
                      <w:szCs w:val="21"/>
                    </w:rPr>
                  </w:pPr>
                </w:p>
              </w:tc>
              <w:tc>
                <w:tcPr>
                  <w:tcW w:w="488" w:type="pct"/>
                  <w:vAlign w:val="center"/>
                </w:tcPr>
                <w:p>
                  <w:pPr>
                    <w:spacing w:line="240" w:lineRule="auto"/>
                    <w:ind w:firstLine="0" w:firstLineChars="0"/>
                    <w:jc w:val="center"/>
                    <w:rPr>
                      <w:color w:val="000000"/>
                      <w:sz w:val="21"/>
                      <w:szCs w:val="21"/>
                    </w:rPr>
                  </w:pPr>
                  <w:r>
                    <w:rPr>
                      <w:color w:val="000000"/>
                      <w:sz w:val="21"/>
                      <w:szCs w:val="21"/>
                    </w:rPr>
                    <w:t>41.77</w:t>
                  </w:r>
                </w:p>
              </w:tc>
              <w:tc>
                <w:tcPr>
                  <w:tcW w:w="431" w:type="pct"/>
                  <w:vAlign w:val="center"/>
                </w:tcPr>
                <w:p>
                  <w:pPr>
                    <w:spacing w:line="240" w:lineRule="auto"/>
                    <w:ind w:firstLine="0" w:firstLineChars="0"/>
                    <w:jc w:val="center"/>
                    <w:rPr>
                      <w:rFonts w:eastAsia="等线"/>
                      <w:sz w:val="21"/>
                      <w:szCs w:val="21"/>
                    </w:rPr>
                  </w:pPr>
                  <w:r>
                    <w:rPr>
                      <w:rFonts w:eastAsia="等线"/>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0" w:hRule="atLeast"/>
                <w:jc w:val="center"/>
              </w:trPr>
              <w:tc>
                <w:tcPr>
                  <w:tcW w:w="175" w:type="pct"/>
                  <w:vMerge w:val="continue"/>
                  <w:vAlign w:val="center"/>
                </w:tcPr>
                <w:p>
                  <w:pPr>
                    <w:widowControl/>
                    <w:spacing w:line="240" w:lineRule="auto"/>
                    <w:ind w:firstLine="0" w:firstLineChars="0"/>
                    <w:jc w:val="center"/>
                    <w:rPr>
                      <w:sz w:val="21"/>
                      <w:szCs w:val="21"/>
                      <w:u w:color="000000"/>
                    </w:rPr>
                  </w:pPr>
                </w:p>
              </w:tc>
              <w:tc>
                <w:tcPr>
                  <w:tcW w:w="271" w:type="pct"/>
                  <w:vMerge w:val="continue"/>
                  <w:vAlign w:val="center"/>
                </w:tcPr>
                <w:p>
                  <w:pPr>
                    <w:widowControl/>
                    <w:spacing w:line="240" w:lineRule="auto"/>
                    <w:ind w:firstLine="0" w:firstLineChars="0"/>
                    <w:jc w:val="center"/>
                    <w:rPr>
                      <w:sz w:val="21"/>
                      <w:szCs w:val="21"/>
                      <w:u w:color="000000"/>
                    </w:rPr>
                  </w:pPr>
                </w:p>
              </w:tc>
              <w:tc>
                <w:tcPr>
                  <w:tcW w:w="325" w:type="pct"/>
                  <w:vMerge w:val="continue"/>
                  <w:vAlign w:val="center"/>
                </w:tcPr>
                <w:p>
                  <w:pPr>
                    <w:widowControl/>
                    <w:spacing w:line="240" w:lineRule="auto"/>
                    <w:ind w:firstLine="0" w:firstLineChars="0"/>
                    <w:jc w:val="center"/>
                    <w:rPr>
                      <w:sz w:val="21"/>
                      <w:szCs w:val="21"/>
                      <w:u w:color="000000"/>
                    </w:rPr>
                  </w:pPr>
                </w:p>
              </w:tc>
              <w:tc>
                <w:tcPr>
                  <w:tcW w:w="380" w:type="pct"/>
                  <w:vMerge w:val="continue"/>
                  <w:vAlign w:val="center"/>
                </w:tcPr>
                <w:p>
                  <w:pPr>
                    <w:pStyle w:val="37"/>
                    <w:rPr>
                      <w:szCs w:val="21"/>
                    </w:rPr>
                  </w:pPr>
                </w:p>
              </w:tc>
              <w:tc>
                <w:tcPr>
                  <w:tcW w:w="380" w:type="pct"/>
                  <w:vMerge w:val="continue"/>
                  <w:vAlign w:val="center"/>
                </w:tcPr>
                <w:p>
                  <w:pPr>
                    <w:adjustRightInd w:val="0"/>
                    <w:snapToGrid w:val="0"/>
                    <w:spacing w:line="240" w:lineRule="auto"/>
                    <w:ind w:firstLine="0" w:firstLineChars="0"/>
                    <w:jc w:val="center"/>
                    <w:rPr>
                      <w:sz w:val="21"/>
                      <w:szCs w:val="21"/>
                    </w:rPr>
                  </w:pPr>
                </w:p>
              </w:tc>
              <w:tc>
                <w:tcPr>
                  <w:tcW w:w="271" w:type="pct"/>
                  <w:vMerge w:val="continue"/>
                  <w:vAlign w:val="center"/>
                </w:tcPr>
                <w:p>
                  <w:pPr>
                    <w:spacing w:line="240" w:lineRule="auto"/>
                    <w:ind w:firstLine="0" w:firstLineChars="0"/>
                    <w:jc w:val="center"/>
                    <w:rPr>
                      <w:rFonts w:eastAsia="等线"/>
                      <w:sz w:val="21"/>
                      <w:szCs w:val="21"/>
                    </w:rPr>
                  </w:pPr>
                </w:p>
              </w:tc>
              <w:tc>
                <w:tcPr>
                  <w:tcW w:w="326" w:type="pct"/>
                  <w:vMerge w:val="continue"/>
                  <w:vAlign w:val="center"/>
                </w:tcPr>
                <w:p>
                  <w:pPr>
                    <w:spacing w:line="240" w:lineRule="auto"/>
                    <w:ind w:firstLine="0" w:firstLineChars="0"/>
                    <w:jc w:val="center"/>
                    <w:rPr>
                      <w:rFonts w:eastAsia="等线"/>
                      <w:sz w:val="21"/>
                      <w:szCs w:val="21"/>
                    </w:rPr>
                  </w:pPr>
                </w:p>
              </w:tc>
              <w:tc>
                <w:tcPr>
                  <w:tcW w:w="326" w:type="pct"/>
                  <w:vMerge w:val="continue"/>
                  <w:vAlign w:val="center"/>
                </w:tcPr>
                <w:p>
                  <w:pPr>
                    <w:spacing w:line="240" w:lineRule="auto"/>
                    <w:ind w:firstLine="0" w:firstLineChars="0"/>
                    <w:jc w:val="center"/>
                    <w:rPr>
                      <w:rFonts w:eastAsia="等线"/>
                      <w:sz w:val="21"/>
                      <w:szCs w:val="21"/>
                    </w:rPr>
                  </w:pPr>
                </w:p>
              </w:tc>
              <w:tc>
                <w:tcPr>
                  <w:tcW w:w="380" w:type="pct"/>
                  <w:vAlign w:val="center"/>
                </w:tcPr>
                <w:p>
                  <w:pPr>
                    <w:spacing w:line="240" w:lineRule="auto"/>
                    <w:ind w:firstLine="0" w:firstLineChars="0"/>
                    <w:jc w:val="center"/>
                    <w:rPr>
                      <w:color w:val="000000"/>
                      <w:sz w:val="21"/>
                      <w:szCs w:val="21"/>
                    </w:rPr>
                  </w:pPr>
                  <w:r>
                    <w:rPr>
                      <w:color w:val="000000"/>
                      <w:sz w:val="21"/>
                      <w:szCs w:val="21"/>
                    </w:rPr>
                    <w:t>14.16</w:t>
                  </w:r>
                </w:p>
              </w:tc>
              <w:tc>
                <w:tcPr>
                  <w:tcW w:w="433" w:type="pct"/>
                  <w:vAlign w:val="center"/>
                </w:tcPr>
                <w:p>
                  <w:pPr>
                    <w:spacing w:line="240" w:lineRule="auto"/>
                    <w:ind w:firstLine="0" w:firstLineChars="0"/>
                    <w:jc w:val="center"/>
                    <w:rPr>
                      <w:color w:val="000000"/>
                      <w:sz w:val="21"/>
                      <w:szCs w:val="21"/>
                    </w:rPr>
                  </w:pPr>
                  <w:r>
                    <w:rPr>
                      <w:color w:val="000000"/>
                      <w:sz w:val="21"/>
                      <w:szCs w:val="21"/>
                    </w:rPr>
                    <w:t>67.78</w:t>
                  </w:r>
                </w:p>
              </w:tc>
              <w:tc>
                <w:tcPr>
                  <w:tcW w:w="326" w:type="pct"/>
                  <w:vMerge w:val="continue"/>
                  <w:vAlign w:val="center"/>
                </w:tcPr>
                <w:p>
                  <w:pPr>
                    <w:adjustRightInd w:val="0"/>
                    <w:snapToGrid w:val="0"/>
                    <w:spacing w:line="240" w:lineRule="auto"/>
                    <w:ind w:firstLine="0" w:firstLineChars="0"/>
                    <w:jc w:val="center"/>
                    <w:rPr>
                      <w:sz w:val="21"/>
                      <w:szCs w:val="21"/>
                    </w:rPr>
                  </w:pPr>
                </w:p>
              </w:tc>
              <w:tc>
                <w:tcPr>
                  <w:tcW w:w="487" w:type="pct"/>
                  <w:vMerge w:val="continue"/>
                  <w:vAlign w:val="center"/>
                </w:tcPr>
                <w:p>
                  <w:pPr>
                    <w:spacing w:line="240" w:lineRule="auto"/>
                    <w:ind w:firstLine="0" w:firstLineChars="0"/>
                    <w:jc w:val="center"/>
                    <w:rPr>
                      <w:rFonts w:eastAsia="等线"/>
                      <w:sz w:val="21"/>
                      <w:szCs w:val="21"/>
                    </w:rPr>
                  </w:pPr>
                </w:p>
              </w:tc>
              <w:tc>
                <w:tcPr>
                  <w:tcW w:w="488" w:type="pct"/>
                  <w:vAlign w:val="center"/>
                </w:tcPr>
                <w:p>
                  <w:pPr>
                    <w:spacing w:line="240" w:lineRule="auto"/>
                    <w:ind w:firstLine="0" w:firstLineChars="0"/>
                    <w:jc w:val="center"/>
                    <w:rPr>
                      <w:color w:val="000000"/>
                      <w:sz w:val="21"/>
                      <w:szCs w:val="21"/>
                    </w:rPr>
                  </w:pPr>
                  <w:r>
                    <w:rPr>
                      <w:color w:val="000000"/>
                      <w:sz w:val="21"/>
                      <w:szCs w:val="21"/>
                    </w:rPr>
                    <w:t>41.78</w:t>
                  </w:r>
                </w:p>
              </w:tc>
              <w:tc>
                <w:tcPr>
                  <w:tcW w:w="431" w:type="pct"/>
                  <w:vAlign w:val="center"/>
                </w:tcPr>
                <w:p>
                  <w:pPr>
                    <w:spacing w:line="240" w:lineRule="auto"/>
                    <w:ind w:firstLine="0" w:firstLineChars="0"/>
                    <w:jc w:val="center"/>
                    <w:rPr>
                      <w:rFonts w:eastAsia="等线"/>
                      <w:sz w:val="21"/>
                      <w:szCs w:val="21"/>
                    </w:rPr>
                  </w:pPr>
                  <w:r>
                    <w:rPr>
                      <w:rFonts w:eastAsia="等线"/>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0" w:hRule="atLeast"/>
                <w:jc w:val="center"/>
              </w:trPr>
              <w:tc>
                <w:tcPr>
                  <w:tcW w:w="175" w:type="pct"/>
                  <w:vMerge w:val="continue"/>
                  <w:vAlign w:val="center"/>
                </w:tcPr>
                <w:p>
                  <w:pPr>
                    <w:widowControl/>
                    <w:spacing w:line="240" w:lineRule="auto"/>
                    <w:ind w:firstLine="0" w:firstLineChars="0"/>
                    <w:jc w:val="center"/>
                    <w:rPr>
                      <w:sz w:val="21"/>
                      <w:szCs w:val="21"/>
                      <w:u w:color="000000"/>
                    </w:rPr>
                  </w:pPr>
                </w:p>
              </w:tc>
              <w:tc>
                <w:tcPr>
                  <w:tcW w:w="271" w:type="pct"/>
                  <w:vMerge w:val="continue"/>
                  <w:vAlign w:val="center"/>
                </w:tcPr>
                <w:p>
                  <w:pPr>
                    <w:widowControl/>
                    <w:spacing w:line="240" w:lineRule="auto"/>
                    <w:ind w:firstLine="0" w:firstLineChars="0"/>
                    <w:jc w:val="center"/>
                    <w:rPr>
                      <w:sz w:val="21"/>
                      <w:szCs w:val="21"/>
                      <w:u w:color="000000"/>
                    </w:rPr>
                  </w:pPr>
                </w:p>
              </w:tc>
              <w:tc>
                <w:tcPr>
                  <w:tcW w:w="325" w:type="pct"/>
                  <w:vMerge w:val="continue"/>
                  <w:vAlign w:val="center"/>
                </w:tcPr>
                <w:p>
                  <w:pPr>
                    <w:widowControl/>
                    <w:spacing w:line="240" w:lineRule="auto"/>
                    <w:ind w:firstLine="0" w:firstLineChars="0"/>
                    <w:jc w:val="center"/>
                    <w:rPr>
                      <w:sz w:val="21"/>
                      <w:szCs w:val="21"/>
                      <w:u w:color="000000"/>
                    </w:rPr>
                  </w:pPr>
                </w:p>
              </w:tc>
              <w:tc>
                <w:tcPr>
                  <w:tcW w:w="380" w:type="pct"/>
                  <w:vMerge w:val="continue"/>
                  <w:vAlign w:val="center"/>
                </w:tcPr>
                <w:p>
                  <w:pPr>
                    <w:pStyle w:val="37"/>
                    <w:rPr>
                      <w:szCs w:val="21"/>
                    </w:rPr>
                  </w:pPr>
                </w:p>
              </w:tc>
              <w:tc>
                <w:tcPr>
                  <w:tcW w:w="380" w:type="pct"/>
                  <w:vMerge w:val="continue"/>
                  <w:vAlign w:val="center"/>
                </w:tcPr>
                <w:p>
                  <w:pPr>
                    <w:adjustRightInd w:val="0"/>
                    <w:snapToGrid w:val="0"/>
                    <w:spacing w:line="240" w:lineRule="auto"/>
                    <w:ind w:firstLine="0" w:firstLineChars="0"/>
                    <w:jc w:val="center"/>
                    <w:rPr>
                      <w:sz w:val="21"/>
                      <w:szCs w:val="21"/>
                    </w:rPr>
                  </w:pPr>
                </w:p>
              </w:tc>
              <w:tc>
                <w:tcPr>
                  <w:tcW w:w="271" w:type="pct"/>
                  <w:vMerge w:val="continue"/>
                  <w:vAlign w:val="center"/>
                </w:tcPr>
                <w:p>
                  <w:pPr>
                    <w:spacing w:line="240" w:lineRule="auto"/>
                    <w:ind w:firstLine="0" w:firstLineChars="0"/>
                    <w:jc w:val="center"/>
                    <w:rPr>
                      <w:rFonts w:eastAsia="等线"/>
                      <w:sz w:val="21"/>
                      <w:szCs w:val="21"/>
                    </w:rPr>
                  </w:pPr>
                </w:p>
              </w:tc>
              <w:tc>
                <w:tcPr>
                  <w:tcW w:w="326" w:type="pct"/>
                  <w:vMerge w:val="continue"/>
                  <w:vAlign w:val="center"/>
                </w:tcPr>
                <w:p>
                  <w:pPr>
                    <w:spacing w:line="240" w:lineRule="auto"/>
                    <w:ind w:firstLine="0" w:firstLineChars="0"/>
                    <w:jc w:val="center"/>
                    <w:rPr>
                      <w:rFonts w:eastAsia="等线"/>
                      <w:sz w:val="21"/>
                      <w:szCs w:val="21"/>
                    </w:rPr>
                  </w:pPr>
                </w:p>
              </w:tc>
              <w:tc>
                <w:tcPr>
                  <w:tcW w:w="326" w:type="pct"/>
                  <w:vMerge w:val="continue"/>
                  <w:vAlign w:val="center"/>
                </w:tcPr>
                <w:p>
                  <w:pPr>
                    <w:spacing w:line="240" w:lineRule="auto"/>
                    <w:ind w:firstLine="0" w:firstLineChars="0"/>
                    <w:jc w:val="center"/>
                    <w:rPr>
                      <w:rFonts w:eastAsia="等线"/>
                      <w:sz w:val="21"/>
                      <w:szCs w:val="21"/>
                    </w:rPr>
                  </w:pPr>
                </w:p>
              </w:tc>
              <w:tc>
                <w:tcPr>
                  <w:tcW w:w="380" w:type="pct"/>
                  <w:vAlign w:val="center"/>
                </w:tcPr>
                <w:p>
                  <w:pPr>
                    <w:spacing w:line="240" w:lineRule="auto"/>
                    <w:ind w:firstLine="0" w:firstLineChars="0"/>
                    <w:jc w:val="center"/>
                    <w:rPr>
                      <w:color w:val="000000"/>
                      <w:sz w:val="21"/>
                      <w:szCs w:val="21"/>
                    </w:rPr>
                  </w:pPr>
                  <w:r>
                    <w:rPr>
                      <w:color w:val="000000"/>
                      <w:sz w:val="21"/>
                      <w:szCs w:val="21"/>
                    </w:rPr>
                    <w:t>22.18</w:t>
                  </w:r>
                </w:p>
              </w:tc>
              <w:tc>
                <w:tcPr>
                  <w:tcW w:w="433" w:type="pct"/>
                  <w:vAlign w:val="center"/>
                </w:tcPr>
                <w:p>
                  <w:pPr>
                    <w:spacing w:line="240" w:lineRule="auto"/>
                    <w:ind w:firstLine="0" w:firstLineChars="0"/>
                    <w:jc w:val="center"/>
                    <w:rPr>
                      <w:color w:val="000000"/>
                      <w:sz w:val="21"/>
                      <w:szCs w:val="21"/>
                    </w:rPr>
                  </w:pPr>
                  <w:r>
                    <w:rPr>
                      <w:color w:val="000000"/>
                      <w:sz w:val="21"/>
                      <w:szCs w:val="21"/>
                    </w:rPr>
                    <w:t>67.78</w:t>
                  </w:r>
                </w:p>
              </w:tc>
              <w:tc>
                <w:tcPr>
                  <w:tcW w:w="326" w:type="pct"/>
                  <w:vMerge w:val="continue"/>
                  <w:vAlign w:val="center"/>
                </w:tcPr>
                <w:p>
                  <w:pPr>
                    <w:adjustRightInd w:val="0"/>
                    <w:snapToGrid w:val="0"/>
                    <w:spacing w:line="240" w:lineRule="auto"/>
                    <w:ind w:firstLine="0" w:firstLineChars="0"/>
                    <w:jc w:val="center"/>
                    <w:rPr>
                      <w:sz w:val="21"/>
                      <w:szCs w:val="21"/>
                    </w:rPr>
                  </w:pPr>
                </w:p>
              </w:tc>
              <w:tc>
                <w:tcPr>
                  <w:tcW w:w="487" w:type="pct"/>
                  <w:vMerge w:val="continue"/>
                  <w:vAlign w:val="center"/>
                </w:tcPr>
                <w:p>
                  <w:pPr>
                    <w:spacing w:line="240" w:lineRule="auto"/>
                    <w:ind w:firstLine="0" w:firstLineChars="0"/>
                    <w:jc w:val="center"/>
                    <w:rPr>
                      <w:rFonts w:eastAsia="等线"/>
                      <w:sz w:val="21"/>
                      <w:szCs w:val="21"/>
                    </w:rPr>
                  </w:pPr>
                </w:p>
              </w:tc>
              <w:tc>
                <w:tcPr>
                  <w:tcW w:w="488" w:type="pct"/>
                  <w:vAlign w:val="center"/>
                </w:tcPr>
                <w:p>
                  <w:pPr>
                    <w:spacing w:line="240" w:lineRule="auto"/>
                    <w:ind w:firstLine="0" w:firstLineChars="0"/>
                    <w:jc w:val="center"/>
                    <w:rPr>
                      <w:color w:val="000000"/>
                      <w:sz w:val="21"/>
                      <w:szCs w:val="21"/>
                    </w:rPr>
                  </w:pPr>
                  <w:r>
                    <w:rPr>
                      <w:color w:val="000000"/>
                      <w:sz w:val="21"/>
                      <w:szCs w:val="21"/>
                    </w:rPr>
                    <w:t>41.78</w:t>
                  </w:r>
                </w:p>
              </w:tc>
              <w:tc>
                <w:tcPr>
                  <w:tcW w:w="431" w:type="pct"/>
                  <w:vAlign w:val="center"/>
                </w:tcPr>
                <w:p>
                  <w:pPr>
                    <w:spacing w:line="240" w:lineRule="auto"/>
                    <w:ind w:firstLine="0" w:firstLineChars="0"/>
                    <w:jc w:val="center"/>
                    <w:rPr>
                      <w:rFonts w:eastAsia="等线"/>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175" w:type="pct"/>
                  <w:vMerge w:val="continue"/>
                  <w:vAlign w:val="center"/>
                </w:tcPr>
                <w:p>
                  <w:pPr>
                    <w:widowControl/>
                    <w:spacing w:line="240" w:lineRule="auto"/>
                    <w:ind w:firstLine="0" w:firstLineChars="0"/>
                    <w:jc w:val="center"/>
                    <w:rPr>
                      <w:sz w:val="21"/>
                      <w:szCs w:val="21"/>
                      <w:u w:color="000000"/>
                    </w:rPr>
                  </w:pPr>
                </w:p>
              </w:tc>
              <w:tc>
                <w:tcPr>
                  <w:tcW w:w="271" w:type="pct"/>
                  <w:vMerge w:val="continue"/>
                  <w:vAlign w:val="center"/>
                </w:tcPr>
                <w:p>
                  <w:pPr>
                    <w:widowControl/>
                    <w:spacing w:line="240" w:lineRule="auto"/>
                    <w:ind w:firstLine="0" w:firstLineChars="0"/>
                    <w:jc w:val="center"/>
                    <w:rPr>
                      <w:sz w:val="21"/>
                      <w:szCs w:val="21"/>
                      <w:u w:color="000000"/>
                    </w:rPr>
                  </w:pPr>
                </w:p>
              </w:tc>
              <w:tc>
                <w:tcPr>
                  <w:tcW w:w="325" w:type="pct"/>
                  <w:vMerge w:val="continue"/>
                  <w:vAlign w:val="center"/>
                </w:tcPr>
                <w:p>
                  <w:pPr>
                    <w:widowControl/>
                    <w:spacing w:line="240" w:lineRule="auto"/>
                    <w:ind w:firstLine="0" w:firstLineChars="0"/>
                    <w:jc w:val="center"/>
                    <w:rPr>
                      <w:sz w:val="21"/>
                      <w:szCs w:val="21"/>
                      <w:u w:color="000000"/>
                    </w:rPr>
                  </w:pPr>
                </w:p>
              </w:tc>
              <w:tc>
                <w:tcPr>
                  <w:tcW w:w="380" w:type="pct"/>
                  <w:vMerge w:val="continue"/>
                  <w:vAlign w:val="center"/>
                </w:tcPr>
                <w:p>
                  <w:pPr>
                    <w:pStyle w:val="37"/>
                    <w:rPr>
                      <w:szCs w:val="21"/>
                    </w:rPr>
                  </w:pPr>
                </w:p>
              </w:tc>
              <w:tc>
                <w:tcPr>
                  <w:tcW w:w="380" w:type="pct"/>
                  <w:vMerge w:val="continue"/>
                  <w:vAlign w:val="center"/>
                </w:tcPr>
                <w:p>
                  <w:pPr>
                    <w:adjustRightInd w:val="0"/>
                    <w:snapToGrid w:val="0"/>
                    <w:spacing w:line="240" w:lineRule="auto"/>
                    <w:ind w:firstLine="0" w:firstLineChars="0"/>
                    <w:jc w:val="center"/>
                    <w:rPr>
                      <w:sz w:val="21"/>
                      <w:szCs w:val="21"/>
                    </w:rPr>
                  </w:pPr>
                </w:p>
              </w:tc>
              <w:tc>
                <w:tcPr>
                  <w:tcW w:w="271" w:type="pct"/>
                  <w:vMerge w:val="continue"/>
                  <w:vAlign w:val="center"/>
                </w:tcPr>
                <w:p>
                  <w:pPr>
                    <w:spacing w:line="240" w:lineRule="auto"/>
                    <w:ind w:firstLine="0" w:firstLineChars="0"/>
                    <w:jc w:val="center"/>
                    <w:rPr>
                      <w:rFonts w:eastAsia="等线"/>
                      <w:sz w:val="21"/>
                      <w:szCs w:val="21"/>
                    </w:rPr>
                  </w:pPr>
                </w:p>
              </w:tc>
              <w:tc>
                <w:tcPr>
                  <w:tcW w:w="326" w:type="pct"/>
                  <w:vMerge w:val="continue"/>
                  <w:vAlign w:val="center"/>
                </w:tcPr>
                <w:p>
                  <w:pPr>
                    <w:spacing w:line="240" w:lineRule="auto"/>
                    <w:ind w:firstLine="0" w:firstLineChars="0"/>
                    <w:jc w:val="center"/>
                    <w:rPr>
                      <w:rFonts w:eastAsia="等线"/>
                      <w:sz w:val="21"/>
                      <w:szCs w:val="21"/>
                    </w:rPr>
                  </w:pPr>
                </w:p>
              </w:tc>
              <w:tc>
                <w:tcPr>
                  <w:tcW w:w="326" w:type="pct"/>
                  <w:vMerge w:val="continue"/>
                  <w:vAlign w:val="center"/>
                </w:tcPr>
                <w:p>
                  <w:pPr>
                    <w:spacing w:line="240" w:lineRule="auto"/>
                    <w:ind w:firstLine="0" w:firstLineChars="0"/>
                    <w:jc w:val="center"/>
                    <w:rPr>
                      <w:rFonts w:eastAsia="等线"/>
                      <w:sz w:val="21"/>
                      <w:szCs w:val="21"/>
                    </w:rPr>
                  </w:pPr>
                </w:p>
              </w:tc>
              <w:tc>
                <w:tcPr>
                  <w:tcW w:w="380" w:type="pct"/>
                  <w:vAlign w:val="center"/>
                </w:tcPr>
                <w:p>
                  <w:pPr>
                    <w:spacing w:line="240" w:lineRule="auto"/>
                    <w:ind w:firstLine="0" w:firstLineChars="0"/>
                    <w:jc w:val="center"/>
                    <w:rPr>
                      <w:color w:val="000000"/>
                      <w:sz w:val="21"/>
                      <w:szCs w:val="21"/>
                    </w:rPr>
                  </w:pPr>
                  <w:r>
                    <w:rPr>
                      <w:color w:val="000000"/>
                      <w:sz w:val="21"/>
                      <w:szCs w:val="21"/>
                    </w:rPr>
                    <w:t>27.16</w:t>
                  </w:r>
                </w:p>
              </w:tc>
              <w:tc>
                <w:tcPr>
                  <w:tcW w:w="433" w:type="pct"/>
                  <w:vAlign w:val="center"/>
                </w:tcPr>
                <w:p>
                  <w:pPr>
                    <w:spacing w:line="240" w:lineRule="auto"/>
                    <w:ind w:firstLine="0" w:firstLineChars="0"/>
                    <w:jc w:val="center"/>
                    <w:rPr>
                      <w:color w:val="000000"/>
                      <w:sz w:val="21"/>
                      <w:szCs w:val="21"/>
                    </w:rPr>
                  </w:pPr>
                  <w:r>
                    <w:rPr>
                      <w:color w:val="000000"/>
                      <w:sz w:val="21"/>
                      <w:szCs w:val="21"/>
                    </w:rPr>
                    <w:t>67.77</w:t>
                  </w:r>
                </w:p>
              </w:tc>
              <w:tc>
                <w:tcPr>
                  <w:tcW w:w="326" w:type="pct"/>
                  <w:vMerge w:val="continue"/>
                  <w:vAlign w:val="center"/>
                </w:tcPr>
                <w:p>
                  <w:pPr>
                    <w:adjustRightInd w:val="0"/>
                    <w:snapToGrid w:val="0"/>
                    <w:spacing w:line="240" w:lineRule="auto"/>
                    <w:ind w:firstLine="0" w:firstLineChars="0"/>
                    <w:jc w:val="center"/>
                    <w:rPr>
                      <w:sz w:val="21"/>
                      <w:szCs w:val="21"/>
                    </w:rPr>
                  </w:pPr>
                </w:p>
              </w:tc>
              <w:tc>
                <w:tcPr>
                  <w:tcW w:w="487" w:type="pct"/>
                  <w:vMerge w:val="continue"/>
                  <w:vAlign w:val="center"/>
                </w:tcPr>
                <w:p>
                  <w:pPr>
                    <w:spacing w:line="240" w:lineRule="auto"/>
                    <w:ind w:firstLine="0" w:firstLineChars="0"/>
                    <w:jc w:val="center"/>
                    <w:rPr>
                      <w:rFonts w:eastAsia="等线"/>
                      <w:sz w:val="21"/>
                      <w:szCs w:val="21"/>
                    </w:rPr>
                  </w:pPr>
                </w:p>
              </w:tc>
              <w:tc>
                <w:tcPr>
                  <w:tcW w:w="488" w:type="pct"/>
                  <w:vAlign w:val="center"/>
                </w:tcPr>
                <w:p>
                  <w:pPr>
                    <w:spacing w:line="240" w:lineRule="auto"/>
                    <w:ind w:firstLine="0" w:firstLineChars="0"/>
                    <w:jc w:val="center"/>
                    <w:rPr>
                      <w:color w:val="000000"/>
                      <w:sz w:val="21"/>
                      <w:szCs w:val="21"/>
                    </w:rPr>
                  </w:pPr>
                  <w:r>
                    <w:rPr>
                      <w:color w:val="000000"/>
                      <w:sz w:val="21"/>
                      <w:szCs w:val="21"/>
                    </w:rPr>
                    <w:t>41.77</w:t>
                  </w:r>
                </w:p>
              </w:tc>
              <w:tc>
                <w:tcPr>
                  <w:tcW w:w="431" w:type="pct"/>
                  <w:vAlign w:val="center"/>
                </w:tcPr>
                <w:p>
                  <w:pPr>
                    <w:spacing w:line="240" w:lineRule="auto"/>
                    <w:ind w:firstLine="0" w:firstLineChars="0"/>
                    <w:jc w:val="center"/>
                    <w:rPr>
                      <w:rFonts w:eastAsia="等线"/>
                      <w:sz w:val="21"/>
                      <w:szCs w:val="21"/>
                    </w:rPr>
                  </w:pPr>
                  <w:r>
                    <w:rPr>
                      <w:rFonts w:eastAsia="等线"/>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175" w:type="pct"/>
                  <w:vMerge w:val="continue"/>
                  <w:vAlign w:val="center"/>
                </w:tcPr>
                <w:p>
                  <w:pPr>
                    <w:widowControl/>
                    <w:spacing w:line="240" w:lineRule="auto"/>
                    <w:ind w:firstLine="0" w:firstLineChars="0"/>
                    <w:jc w:val="center"/>
                    <w:rPr>
                      <w:sz w:val="21"/>
                      <w:szCs w:val="21"/>
                      <w:u w:color="000000"/>
                    </w:rPr>
                  </w:pPr>
                </w:p>
              </w:tc>
              <w:tc>
                <w:tcPr>
                  <w:tcW w:w="271" w:type="pct"/>
                  <w:vMerge w:val="continue"/>
                  <w:vAlign w:val="center"/>
                </w:tcPr>
                <w:p>
                  <w:pPr>
                    <w:widowControl/>
                    <w:spacing w:line="240" w:lineRule="auto"/>
                    <w:ind w:firstLine="0" w:firstLineChars="0"/>
                    <w:jc w:val="center"/>
                    <w:rPr>
                      <w:sz w:val="21"/>
                      <w:szCs w:val="21"/>
                      <w:u w:color="000000"/>
                    </w:rPr>
                  </w:pPr>
                </w:p>
              </w:tc>
              <w:tc>
                <w:tcPr>
                  <w:tcW w:w="325" w:type="pct"/>
                  <w:vMerge w:val="continue"/>
                  <w:vAlign w:val="center"/>
                </w:tcPr>
                <w:p>
                  <w:pPr>
                    <w:widowControl/>
                    <w:spacing w:line="240" w:lineRule="auto"/>
                    <w:ind w:firstLine="0" w:firstLineChars="0"/>
                    <w:jc w:val="center"/>
                    <w:rPr>
                      <w:sz w:val="21"/>
                      <w:szCs w:val="21"/>
                      <w:u w:color="000000"/>
                    </w:rPr>
                  </w:pPr>
                </w:p>
              </w:tc>
              <w:tc>
                <w:tcPr>
                  <w:tcW w:w="380" w:type="pct"/>
                  <w:vMerge w:val="continue"/>
                  <w:vAlign w:val="center"/>
                </w:tcPr>
                <w:p>
                  <w:pPr>
                    <w:pStyle w:val="37"/>
                    <w:rPr>
                      <w:szCs w:val="21"/>
                    </w:rPr>
                  </w:pPr>
                </w:p>
              </w:tc>
              <w:tc>
                <w:tcPr>
                  <w:tcW w:w="380" w:type="pct"/>
                  <w:vMerge w:val="continue"/>
                  <w:vAlign w:val="center"/>
                </w:tcPr>
                <w:p>
                  <w:pPr>
                    <w:adjustRightInd w:val="0"/>
                    <w:snapToGrid w:val="0"/>
                    <w:spacing w:line="240" w:lineRule="auto"/>
                    <w:ind w:firstLine="0" w:firstLineChars="0"/>
                    <w:jc w:val="center"/>
                    <w:rPr>
                      <w:sz w:val="21"/>
                      <w:szCs w:val="21"/>
                    </w:rPr>
                  </w:pPr>
                </w:p>
              </w:tc>
              <w:tc>
                <w:tcPr>
                  <w:tcW w:w="271" w:type="pct"/>
                  <w:vMerge w:val="continue"/>
                  <w:vAlign w:val="center"/>
                </w:tcPr>
                <w:p>
                  <w:pPr>
                    <w:spacing w:line="240" w:lineRule="auto"/>
                    <w:ind w:firstLine="0" w:firstLineChars="0"/>
                    <w:jc w:val="center"/>
                    <w:rPr>
                      <w:rFonts w:eastAsia="等线"/>
                      <w:sz w:val="21"/>
                      <w:szCs w:val="21"/>
                    </w:rPr>
                  </w:pPr>
                </w:p>
              </w:tc>
              <w:tc>
                <w:tcPr>
                  <w:tcW w:w="326" w:type="pct"/>
                  <w:vMerge w:val="continue"/>
                  <w:vAlign w:val="center"/>
                </w:tcPr>
                <w:p>
                  <w:pPr>
                    <w:spacing w:line="240" w:lineRule="auto"/>
                    <w:ind w:firstLine="0" w:firstLineChars="0"/>
                    <w:jc w:val="center"/>
                    <w:rPr>
                      <w:rFonts w:eastAsia="等线"/>
                      <w:sz w:val="21"/>
                      <w:szCs w:val="21"/>
                    </w:rPr>
                  </w:pPr>
                </w:p>
              </w:tc>
              <w:tc>
                <w:tcPr>
                  <w:tcW w:w="326" w:type="pct"/>
                  <w:vMerge w:val="continue"/>
                  <w:vAlign w:val="center"/>
                </w:tcPr>
                <w:p>
                  <w:pPr>
                    <w:spacing w:line="240" w:lineRule="auto"/>
                    <w:ind w:firstLine="0" w:firstLineChars="0"/>
                    <w:jc w:val="center"/>
                    <w:rPr>
                      <w:rFonts w:eastAsia="等线"/>
                      <w:sz w:val="21"/>
                      <w:szCs w:val="21"/>
                    </w:rPr>
                  </w:pPr>
                </w:p>
              </w:tc>
              <w:tc>
                <w:tcPr>
                  <w:tcW w:w="380" w:type="pct"/>
                  <w:vAlign w:val="center"/>
                </w:tcPr>
                <w:p>
                  <w:pPr>
                    <w:spacing w:line="240" w:lineRule="auto"/>
                    <w:ind w:firstLine="0" w:firstLineChars="0"/>
                    <w:jc w:val="center"/>
                    <w:rPr>
                      <w:color w:val="000000"/>
                      <w:sz w:val="21"/>
                      <w:szCs w:val="21"/>
                    </w:rPr>
                  </w:pPr>
                  <w:r>
                    <w:rPr>
                      <w:color w:val="000000"/>
                      <w:sz w:val="21"/>
                      <w:szCs w:val="21"/>
                    </w:rPr>
                    <w:t>33.14</w:t>
                  </w:r>
                </w:p>
              </w:tc>
              <w:tc>
                <w:tcPr>
                  <w:tcW w:w="433" w:type="pct"/>
                  <w:vAlign w:val="center"/>
                </w:tcPr>
                <w:p>
                  <w:pPr>
                    <w:spacing w:line="240" w:lineRule="auto"/>
                    <w:ind w:firstLine="0" w:firstLineChars="0"/>
                    <w:jc w:val="center"/>
                    <w:rPr>
                      <w:color w:val="000000"/>
                      <w:sz w:val="21"/>
                      <w:szCs w:val="21"/>
                    </w:rPr>
                  </w:pPr>
                  <w:r>
                    <w:rPr>
                      <w:color w:val="000000"/>
                      <w:sz w:val="21"/>
                      <w:szCs w:val="21"/>
                    </w:rPr>
                    <w:t>67.77</w:t>
                  </w:r>
                </w:p>
              </w:tc>
              <w:tc>
                <w:tcPr>
                  <w:tcW w:w="326" w:type="pct"/>
                  <w:vMerge w:val="continue"/>
                  <w:vAlign w:val="center"/>
                </w:tcPr>
                <w:p>
                  <w:pPr>
                    <w:adjustRightInd w:val="0"/>
                    <w:snapToGrid w:val="0"/>
                    <w:spacing w:line="240" w:lineRule="auto"/>
                    <w:ind w:firstLine="0" w:firstLineChars="0"/>
                    <w:jc w:val="center"/>
                    <w:rPr>
                      <w:sz w:val="21"/>
                      <w:szCs w:val="21"/>
                    </w:rPr>
                  </w:pPr>
                </w:p>
              </w:tc>
              <w:tc>
                <w:tcPr>
                  <w:tcW w:w="487" w:type="pct"/>
                  <w:vMerge w:val="continue"/>
                  <w:vAlign w:val="center"/>
                </w:tcPr>
                <w:p>
                  <w:pPr>
                    <w:spacing w:line="240" w:lineRule="auto"/>
                    <w:ind w:firstLine="0" w:firstLineChars="0"/>
                    <w:jc w:val="center"/>
                    <w:rPr>
                      <w:rFonts w:eastAsia="等线"/>
                      <w:sz w:val="21"/>
                      <w:szCs w:val="21"/>
                    </w:rPr>
                  </w:pPr>
                </w:p>
              </w:tc>
              <w:tc>
                <w:tcPr>
                  <w:tcW w:w="488" w:type="pct"/>
                  <w:vAlign w:val="center"/>
                </w:tcPr>
                <w:p>
                  <w:pPr>
                    <w:spacing w:line="240" w:lineRule="auto"/>
                    <w:ind w:firstLine="0" w:firstLineChars="0"/>
                    <w:jc w:val="center"/>
                    <w:rPr>
                      <w:color w:val="000000"/>
                      <w:sz w:val="21"/>
                      <w:szCs w:val="21"/>
                    </w:rPr>
                  </w:pPr>
                  <w:r>
                    <w:rPr>
                      <w:color w:val="000000"/>
                      <w:sz w:val="21"/>
                      <w:szCs w:val="21"/>
                    </w:rPr>
                    <w:t>41.77</w:t>
                  </w:r>
                </w:p>
              </w:tc>
              <w:tc>
                <w:tcPr>
                  <w:tcW w:w="431" w:type="pct"/>
                  <w:vAlign w:val="center"/>
                </w:tcPr>
                <w:p>
                  <w:pPr>
                    <w:spacing w:line="240" w:lineRule="auto"/>
                    <w:ind w:firstLine="0" w:firstLineChars="0"/>
                    <w:jc w:val="center"/>
                    <w:rPr>
                      <w:rFonts w:eastAsia="等线"/>
                      <w:sz w:val="21"/>
                      <w:szCs w:val="21"/>
                    </w:rPr>
                  </w:pPr>
                  <w:r>
                    <w:rPr>
                      <w:rFonts w:eastAsia="等线"/>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175" w:type="pct"/>
                  <w:vMerge w:val="restart"/>
                  <w:vAlign w:val="center"/>
                </w:tcPr>
                <w:p>
                  <w:pPr>
                    <w:widowControl/>
                    <w:spacing w:line="240" w:lineRule="auto"/>
                    <w:ind w:firstLine="0" w:firstLineChars="0"/>
                    <w:jc w:val="center"/>
                    <w:rPr>
                      <w:sz w:val="21"/>
                      <w:szCs w:val="21"/>
                    </w:rPr>
                  </w:pPr>
                  <w:r>
                    <w:rPr>
                      <w:sz w:val="21"/>
                      <w:szCs w:val="21"/>
                    </w:rPr>
                    <w:t>8</w:t>
                  </w:r>
                </w:p>
              </w:tc>
              <w:tc>
                <w:tcPr>
                  <w:tcW w:w="271" w:type="pct"/>
                  <w:vMerge w:val="continue"/>
                  <w:vAlign w:val="center"/>
                </w:tcPr>
                <w:p>
                  <w:pPr>
                    <w:widowControl/>
                    <w:spacing w:line="240" w:lineRule="auto"/>
                    <w:ind w:firstLine="0" w:firstLineChars="0"/>
                    <w:jc w:val="center"/>
                    <w:rPr>
                      <w:sz w:val="21"/>
                      <w:szCs w:val="21"/>
                    </w:rPr>
                  </w:pPr>
                </w:p>
              </w:tc>
              <w:tc>
                <w:tcPr>
                  <w:tcW w:w="325" w:type="pct"/>
                  <w:vMerge w:val="restart"/>
                  <w:vAlign w:val="center"/>
                </w:tcPr>
                <w:p>
                  <w:pPr>
                    <w:widowControl/>
                    <w:spacing w:line="240" w:lineRule="auto"/>
                    <w:ind w:firstLine="0" w:firstLineChars="0"/>
                    <w:jc w:val="left"/>
                    <w:rPr>
                      <w:sz w:val="21"/>
                      <w:szCs w:val="21"/>
                      <w:u w:color="000000"/>
                    </w:rPr>
                  </w:pPr>
                  <w:r>
                    <w:rPr>
                      <w:sz w:val="21"/>
                      <w:szCs w:val="21"/>
                      <w:u w:color="000000"/>
                    </w:rPr>
                    <w:t>污水处理</w:t>
                  </w:r>
                  <w:r>
                    <w:rPr>
                      <w:sz w:val="21"/>
                      <w:szCs w:val="21"/>
                    </w:rPr>
                    <w:t>自吸泵2台</w:t>
                  </w:r>
                </w:p>
              </w:tc>
              <w:tc>
                <w:tcPr>
                  <w:tcW w:w="380" w:type="pct"/>
                  <w:vMerge w:val="restart"/>
                  <w:vAlign w:val="center"/>
                </w:tcPr>
                <w:p>
                  <w:pPr>
                    <w:pStyle w:val="37"/>
                    <w:rPr>
                      <w:szCs w:val="21"/>
                    </w:rPr>
                  </w:pPr>
                  <w:r>
                    <w:rPr>
                      <w:szCs w:val="21"/>
                    </w:rPr>
                    <w:t>63</w:t>
                  </w:r>
                </w:p>
              </w:tc>
              <w:tc>
                <w:tcPr>
                  <w:tcW w:w="380" w:type="pct"/>
                  <w:vMerge w:val="continue"/>
                  <w:vAlign w:val="center"/>
                </w:tcPr>
                <w:p>
                  <w:pPr>
                    <w:adjustRightInd w:val="0"/>
                    <w:snapToGrid w:val="0"/>
                    <w:spacing w:line="240" w:lineRule="auto"/>
                    <w:ind w:firstLine="0" w:firstLineChars="0"/>
                    <w:jc w:val="center"/>
                    <w:rPr>
                      <w:sz w:val="21"/>
                      <w:szCs w:val="21"/>
                    </w:rPr>
                  </w:pPr>
                </w:p>
              </w:tc>
              <w:tc>
                <w:tcPr>
                  <w:tcW w:w="271" w:type="pct"/>
                  <w:vMerge w:val="restart"/>
                  <w:vAlign w:val="center"/>
                </w:tcPr>
                <w:p>
                  <w:pPr>
                    <w:spacing w:line="240" w:lineRule="auto"/>
                    <w:ind w:firstLine="0" w:firstLineChars="0"/>
                    <w:jc w:val="center"/>
                    <w:rPr>
                      <w:color w:val="000000"/>
                      <w:sz w:val="21"/>
                      <w:szCs w:val="21"/>
                    </w:rPr>
                  </w:pPr>
                  <w:r>
                    <w:rPr>
                      <w:color w:val="000000"/>
                      <w:sz w:val="21"/>
                      <w:szCs w:val="21"/>
                    </w:rPr>
                    <w:t>748.85</w:t>
                  </w:r>
                </w:p>
              </w:tc>
              <w:tc>
                <w:tcPr>
                  <w:tcW w:w="326" w:type="pct"/>
                  <w:vMerge w:val="restart"/>
                  <w:vAlign w:val="center"/>
                </w:tcPr>
                <w:p>
                  <w:pPr>
                    <w:spacing w:line="240" w:lineRule="auto"/>
                    <w:ind w:firstLine="0" w:firstLineChars="0"/>
                    <w:jc w:val="center"/>
                    <w:rPr>
                      <w:color w:val="000000"/>
                      <w:sz w:val="21"/>
                      <w:szCs w:val="21"/>
                    </w:rPr>
                  </w:pPr>
                  <w:r>
                    <w:rPr>
                      <w:color w:val="000000"/>
                      <w:sz w:val="21"/>
                      <w:szCs w:val="21"/>
                    </w:rPr>
                    <w:t>684.37</w:t>
                  </w:r>
                </w:p>
              </w:tc>
              <w:tc>
                <w:tcPr>
                  <w:tcW w:w="326" w:type="pct"/>
                  <w:vMerge w:val="restart"/>
                  <w:vAlign w:val="center"/>
                </w:tcPr>
                <w:p>
                  <w:pPr>
                    <w:spacing w:line="240" w:lineRule="auto"/>
                    <w:ind w:firstLine="0" w:firstLineChars="0"/>
                    <w:jc w:val="center"/>
                    <w:rPr>
                      <w:color w:val="000000"/>
                      <w:sz w:val="21"/>
                      <w:szCs w:val="21"/>
                    </w:rPr>
                  </w:pPr>
                  <w:r>
                    <w:rPr>
                      <w:color w:val="000000"/>
                      <w:sz w:val="21"/>
                      <w:szCs w:val="21"/>
                    </w:rPr>
                    <w:t>1</w:t>
                  </w:r>
                </w:p>
              </w:tc>
              <w:tc>
                <w:tcPr>
                  <w:tcW w:w="380" w:type="pct"/>
                  <w:vAlign w:val="center"/>
                </w:tcPr>
                <w:p>
                  <w:pPr>
                    <w:spacing w:line="240" w:lineRule="auto"/>
                    <w:ind w:firstLine="0" w:firstLineChars="0"/>
                    <w:jc w:val="center"/>
                    <w:rPr>
                      <w:color w:val="000000"/>
                      <w:sz w:val="21"/>
                      <w:szCs w:val="21"/>
                    </w:rPr>
                  </w:pPr>
                  <w:r>
                    <w:rPr>
                      <w:color w:val="000000"/>
                      <w:sz w:val="21"/>
                      <w:szCs w:val="21"/>
                    </w:rPr>
                    <w:t>31.08</w:t>
                  </w:r>
                </w:p>
              </w:tc>
              <w:tc>
                <w:tcPr>
                  <w:tcW w:w="433" w:type="pct"/>
                  <w:vAlign w:val="center"/>
                </w:tcPr>
                <w:p>
                  <w:pPr>
                    <w:spacing w:line="240" w:lineRule="auto"/>
                    <w:ind w:firstLine="0" w:firstLineChars="0"/>
                    <w:jc w:val="center"/>
                    <w:rPr>
                      <w:color w:val="000000"/>
                      <w:sz w:val="21"/>
                      <w:szCs w:val="21"/>
                    </w:rPr>
                  </w:pPr>
                  <w:r>
                    <w:rPr>
                      <w:color w:val="000000"/>
                      <w:sz w:val="21"/>
                      <w:szCs w:val="21"/>
                    </w:rPr>
                    <w:t>55.77</w:t>
                  </w:r>
                </w:p>
              </w:tc>
              <w:tc>
                <w:tcPr>
                  <w:tcW w:w="326" w:type="pct"/>
                  <w:vMerge w:val="restart"/>
                  <w:vAlign w:val="center"/>
                </w:tcPr>
                <w:p>
                  <w:pPr>
                    <w:adjustRightInd w:val="0"/>
                    <w:snapToGrid w:val="0"/>
                    <w:spacing w:line="240" w:lineRule="auto"/>
                    <w:ind w:firstLine="0" w:firstLineChars="0"/>
                    <w:jc w:val="center"/>
                    <w:rPr>
                      <w:sz w:val="21"/>
                      <w:szCs w:val="21"/>
                    </w:rPr>
                  </w:pPr>
                  <w:r>
                    <w:rPr>
                      <w:rFonts w:hint="eastAsia"/>
                      <w:sz w:val="21"/>
                      <w:szCs w:val="21"/>
                      <w:lang w:val="zh-CN"/>
                    </w:rPr>
                    <w:t>昼夜</w:t>
                  </w:r>
                </w:p>
              </w:tc>
              <w:tc>
                <w:tcPr>
                  <w:tcW w:w="487" w:type="pct"/>
                  <w:vMerge w:val="continue"/>
                  <w:vAlign w:val="center"/>
                </w:tcPr>
                <w:p>
                  <w:pPr>
                    <w:adjustRightInd w:val="0"/>
                    <w:snapToGrid w:val="0"/>
                    <w:spacing w:line="240" w:lineRule="auto"/>
                    <w:ind w:firstLine="0" w:firstLineChars="0"/>
                    <w:jc w:val="center"/>
                    <w:rPr>
                      <w:rFonts w:eastAsia="等线"/>
                      <w:sz w:val="21"/>
                      <w:szCs w:val="21"/>
                    </w:rPr>
                  </w:pPr>
                </w:p>
              </w:tc>
              <w:tc>
                <w:tcPr>
                  <w:tcW w:w="488" w:type="pct"/>
                  <w:vAlign w:val="center"/>
                </w:tcPr>
                <w:p>
                  <w:pPr>
                    <w:spacing w:line="240" w:lineRule="auto"/>
                    <w:ind w:firstLine="0" w:firstLineChars="0"/>
                    <w:jc w:val="center"/>
                    <w:rPr>
                      <w:color w:val="000000"/>
                      <w:sz w:val="21"/>
                      <w:szCs w:val="21"/>
                    </w:rPr>
                  </w:pPr>
                  <w:r>
                    <w:rPr>
                      <w:color w:val="000000"/>
                      <w:sz w:val="21"/>
                      <w:szCs w:val="21"/>
                    </w:rPr>
                    <w:t>29.77</w:t>
                  </w:r>
                </w:p>
              </w:tc>
              <w:tc>
                <w:tcPr>
                  <w:tcW w:w="431" w:type="pct"/>
                  <w:vAlign w:val="center"/>
                </w:tcPr>
                <w:p>
                  <w:pPr>
                    <w:spacing w:line="240" w:lineRule="auto"/>
                    <w:ind w:firstLine="0" w:firstLineChars="0"/>
                    <w:jc w:val="center"/>
                    <w:rPr>
                      <w:rFonts w:eastAsia="等线"/>
                      <w:sz w:val="21"/>
                      <w:szCs w:val="21"/>
                    </w:rPr>
                  </w:pPr>
                  <w:r>
                    <w:rPr>
                      <w:rFonts w:eastAsia="等线"/>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0" w:hRule="atLeast"/>
                <w:jc w:val="center"/>
              </w:trPr>
              <w:tc>
                <w:tcPr>
                  <w:tcW w:w="175" w:type="pct"/>
                  <w:vMerge w:val="continue"/>
                  <w:vAlign w:val="center"/>
                </w:tcPr>
                <w:p>
                  <w:pPr>
                    <w:widowControl/>
                    <w:spacing w:line="240" w:lineRule="auto"/>
                    <w:ind w:firstLine="0" w:firstLineChars="0"/>
                    <w:jc w:val="center"/>
                    <w:rPr>
                      <w:sz w:val="21"/>
                      <w:szCs w:val="21"/>
                    </w:rPr>
                  </w:pPr>
                </w:p>
              </w:tc>
              <w:tc>
                <w:tcPr>
                  <w:tcW w:w="271" w:type="pct"/>
                  <w:vMerge w:val="continue"/>
                  <w:vAlign w:val="center"/>
                </w:tcPr>
                <w:p>
                  <w:pPr>
                    <w:widowControl/>
                    <w:spacing w:line="240" w:lineRule="auto"/>
                    <w:ind w:firstLine="0" w:firstLineChars="0"/>
                    <w:jc w:val="center"/>
                    <w:rPr>
                      <w:sz w:val="21"/>
                      <w:szCs w:val="21"/>
                    </w:rPr>
                  </w:pPr>
                </w:p>
              </w:tc>
              <w:tc>
                <w:tcPr>
                  <w:tcW w:w="325" w:type="pct"/>
                  <w:vMerge w:val="continue"/>
                  <w:vAlign w:val="center"/>
                </w:tcPr>
                <w:p>
                  <w:pPr>
                    <w:widowControl/>
                    <w:spacing w:line="240" w:lineRule="auto"/>
                    <w:ind w:firstLine="0" w:firstLineChars="0"/>
                    <w:jc w:val="center"/>
                    <w:rPr>
                      <w:sz w:val="21"/>
                      <w:szCs w:val="21"/>
                      <w:u w:color="000000"/>
                    </w:rPr>
                  </w:pPr>
                </w:p>
              </w:tc>
              <w:tc>
                <w:tcPr>
                  <w:tcW w:w="380" w:type="pct"/>
                  <w:vMerge w:val="continue"/>
                  <w:vAlign w:val="center"/>
                </w:tcPr>
                <w:p>
                  <w:pPr>
                    <w:pStyle w:val="37"/>
                    <w:rPr>
                      <w:szCs w:val="21"/>
                    </w:rPr>
                  </w:pPr>
                </w:p>
              </w:tc>
              <w:tc>
                <w:tcPr>
                  <w:tcW w:w="380" w:type="pct"/>
                  <w:vMerge w:val="continue"/>
                  <w:vAlign w:val="center"/>
                </w:tcPr>
                <w:p>
                  <w:pPr>
                    <w:adjustRightInd w:val="0"/>
                    <w:snapToGrid w:val="0"/>
                    <w:spacing w:line="240" w:lineRule="auto"/>
                    <w:ind w:firstLine="0" w:firstLineChars="0"/>
                    <w:jc w:val="center"/>
                    <w:rPr>
                      <w:sz w:val="21"/>
                      <w:szCs w:val="21"/>
                    </w:rPr>
                  </w:pPr>
                </w:p>
              </w:tc>
              <w:tc>
                <w:tcPr>
                  <w:tcW w:w="271" w:type="pct"/>
                  <w:vMerge w:val="continue"/>
                  <w:vAlign w:val="center"/>
                </w:tcPr>
                <w:p>
                  <w:pPr>
                    <w:spacing w:line="240" w:lineRule="auto"/>
                    <w:ind w:firstLine="0" w:firstLineChars="0"/>
                    <w:jc w:val="center"/>
                    <w:rPr>
                      <w:rFonts w:eastAsia="等线"/>
                      <w:sz w:val="21"/>
                      <w:szCs w:val="21"/>
                    </w:rPr>
                  </w:pPr>
                </w:p>
              </w:tc>
              <w:tc>
                <w:tcPr>
                  <w:tcW w:w="326" w:type="pct"/>
                  <w:vMerge w:val="continue"/>
                  <w:vAlign w:val="center"/>
                </w:tcPr>
                <w:p>
                  <w:pPr>
                    <w:spacing w:line="240" w:lineRule="auto"/>
                    <w:ind w:firstLine="0" w:firstLineChars="0"/>
                    <w:jc w:val="center"/>
                    <w:rPr>
                      <w:rFonts w:eastAsia="等线"/>
                      <w:sz w:val="21"/>
                      <w:szCs w:val="21"/>
                    </w:rPr>
                  </w:pPr>
                </w:p>
              </w:tc>
              <w:tc>
                <w:tcPr>
                  <w:tcW w:w="326" w:type="pct"/>
                  <w:vMerge w:val="continue"/>
                  <w:vAlign w:val="center"/>
                </w:tcPr>
                <w:p>
                  <w:pPr>
                    <w:spacing w:line="240" w:lineRule="auto"/>
                    <w:ind w:firstLine="0" w:firstLineChars="0"/>
                    <w:jc w:val="center"/>
                    <w:rPr>
                      <w:rFonts w:eastAsia="等线"/>
                      <w:sz w:val="21"/>
                      <w:szCs w:val="21"/>
                    </w:rPr>
                  </w:pPr>
                </w:p>
              </w:tc>
              <w:tc>
                <w:tcPr>
                  <w:tcW w:w="380" w:type="pct"/>
                  <w:vAlign w:val="center"/>
                </w:tcPr>
                <w:p>
                  <w:pPr>
                    <w:spacing w:line="240" w:lineRule="auto"/>
                    <w:ind w:firstLine="0" w:firstLineChars="0"/>
                    <w:jc w:val="center"/>
                    <w:rPr>
                      <w:color w:val="000000"/>
                      <w:sz w:val="21"/>
                      <w:szCs w:val="21"/>
                    </w:rPr>
                  </w:pPr>
                  <w:r>
                    <w:rPr>
                      <w:color w:val="000000"/>
                      <w:sz w:val="21"/>
                      <w:szCs w:val="21"/>
                    </w:rPr>
                    <w:t>9.3</w:t>
                  </w:r>
                </w:p>
              </w:tc>
              <w:tc>
                <w:tcPr>
                  <w:tcW w:w="433" w:type="pct"/>
                  <w:vAlign w:val="center"/>
                </w:tcPr>
                <w:p>
                  <w:pPr>
                    <w:spacing w:line="240" w:lineRule="auto"/>
                    <w:ind w:firstLine="0" w:firstLineChars="0"/>
                    <w:jc w:val="center"/>
                    <w:rPr>
                      <w:color w:val="000000"/>
                      <w:sz w:val="21"/>
                      <w:szCs w:val="21"/>
                    </w:rPr>
                  </w:pPr>
                  <w:r>
                    <w:rPr>
                      <w:color w:val="000000"/>
                      <w:sz w:val="21"/>
                      <w:szCs w:val="21"/>
                    </w:rPr>
                    <w:t>55.79</w:t>
                  </w:r>
                </w:p>
              </w:tc>
              <w:tc>
                <w:tcPr>
                  <w:tcW w:w="326" w:type="pct"/>
                  <w:vMerge w:val="continue"/>
                  <w:vAlign w:val="center"/>
                </w:tcPr>
                <w:p>
                  <w:pPr>
                    <w:adjustRightInd w:val="0"/>
                    <w:snapToGrid w:val="0"/>
                    <w:spacing w:line="240" w:lineRule="auto"/>
                    <w:ind w:firstLine="0" w:firstLineChars="0"/>
                    <w:jc w:val="center"/>
                    <w:rPr>
                      <w:rFonts w:eastAsia="等线"/>
                      <w:sz w:val="21"/>
                      <w:szCs w:val="21"/>
                    </w:rPr>
                  </w:pPr>
                </w:p>
              </w:tc>
              <w:tc>
                <w:tcPr>
                  <w:tcW w:w="487" w:type="pct"/>
                  <w:vMerge w:val="continue"/>
                  <w:vAlign w:val="center"/>
                </w:tcPr>
                <w:p>
                  <w:pPr>
                    <w:adjustRightInd w:val="0"/>
                    <w:snapToGrid w:val="0"/>
                    <w:spacing w:line="240" w:lineRule="auto"/>
                    <w:ind w:firstLine="0" w:firstLineChars="0"/>
                    <w:jc w:val="center"/>
                    <w:rPr>
                      <w:rFonts w:eastAsia="等线"/>
                      <w:sz w:val="21"/>
                      <w:szCs w:val="21"/>
                    </w:rPr>
                  </w:pPr>
                </w:p>
              </w:tc>
              <w:tc>
                <w:tcPr>
                  <w:tcW w:w="488" w:type="pct"/>
                  <w:vAlign w:val="center"/>
                </w:tcPr>
                <w:p>
                  <w:pPr>
                    <w:spacing w:line="240" w:lineRule="auto"/>
                    <w:ind w:firstLine="0" w:firstLineChars="0"/>
                    <w:jc w:val="center"/>
                    <w:rPr>
                      <w:color w:val="000000"/>
                      <w:sz w:val="21"/>
                      <w:szCs w:val="21"/>
                    </w:rPr>
                  </w:pPr>
                  <w:r>
                    <w:rPr>
                      <w:color w:val="000000"/>
                      <w:sz w:val="21"/>
                      <w:szCs w:val="21"/>
                    </w:rPr>
                    <w:t>29.79</w:t>
                  </w:r>
                </w:p>
              </w:tc>
              <w:tc>
                <w:tcPr>
                  <w:tcW w:w="431" w:type="pct"/>
                  <w:vAlign w:val="center"/>
                </w:tcPr>
                <w:p>
                  <w:pPr>
                    <w:spacing w:line="240" w:lineRule="auto"/>
                    <w:ind w:firstLine="0" w:firstLineChars="0"/>
                    <w:jc w:val="center"/>
                    <w:rPr>
                      <w:rFonts w:eastAsia="等线"/>
                      <w:sz w:val="21"/>
                      <w:szCs w:val="21"/>
                    </w:rPr>
                  </w:pPr>
                  <w:r>
                    <w:rPr>
                      <w:rFonts w:eastAsia="等线"/>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0" w:hRule="atLeast"/>
                <w:jc w:val="center"/>
              </w:trPr>
              <w:tc>
                <w:tcPr>
                  <w:tcW w:w="175" w:type="pct"/>
                  <w:vMerge w:val="continue"/>
                  <w:vAlign w:val="center"/>
                </w:tcPr>
                <w:p>
                  <w:pPr>
                    <w:widowControl/>
                    <w:spacing w:line="240" w:lineRule="auto"/>
                    <w:ind w:firstLine="0" w:firstLineChars="0"/>
                    <w:jc w:val="center"/>
                    <w:rPr>
                      <w:sz w:val="21"/>
                      <w:szCs w:val="21"/>
                    </w:rPr>
                  </w:pPr>
                </w:p>
              </w:tc>
              <w:tc>
                <w:tcPr>
                  <w:tcW w:w="271" w:type="pct"/>
                  <w:vMerge w:val="continue"/>
                  <w:vAlign w:val="center"/>
                </w:tcPr>
                <w:p>
                  <w:pPr>
                    <w:widowControl/>
                    <w:spacing w:line="240" w:lineRule="auto"/>
                    <w:ind w:firstLine="0" w:firstLineChars="0"/>
                    <w:jc w:val="center"/>
                    <w:rPr>
                      <w:sz w:val="21"/>
                      <w:szCs w:val="21"/>
                    </w:rPr>
                  </w:pPr>
                </w:p>
              </w:tc>
              <w:tc>
                <w:tcPr>
                  <w:tcW w:w="325" w:type="pct"/>
                  <w:vMerge w:val="continue"/>
                  <w:vAlign w:val="center"/>
                </w:tcPr>
                <w:p>
                  <w:pPr>
                    <w:widowControl/>
                    <w:spacing w:line="240" w:lineRule="auto"/>
                    <w:ind w:firstLine="0" w:firstLineChars="0"/>
                    <w:jc w:val="center"/>
                    <w:rPr>
                      <w:sz w:val="21"/>
                      <w:szCs w:val="21"/>
                      <w:u w:color="000000"/>
                    </w:rPr>
                  </w:pPr>
                </w:p>
              </w:tc>
              <w:tc>
                <w:tcPr>
                  <w:tcW w:w="380" w:type="pct"/>
                  <w:vMerge w:val="continue"/>
                  <w:vAlign w:val="center"/>
                </w:tcPr>
                <w:p>
                  <w:pPr>
                    <w:pStyle w:val="37"/>
                    <w:rPr>
                      <w:szCs w:val="21"/>
                    </w:rPr>
                  </w:pPr>
                </w:p>
              </w:tc>
              <w:tc>
                <w:tcPr>
                  <w:tcW w:w="380" w:type="pct"/>
                  <w:vMerge w:val="continue"/>
                  <w:vAlign w:val="center"/>
                </w:tcPr>
                <w:p>
                  <w:pPr>
                    <w:adjustRightInd w:val="0"/>
                    <w:snapToGrid w:val="0"/>
                    <w:spacing w:line="240" w:lineRule="auto"/>
                    <w:ind w:firstLine="0" w:firstLineChars="0"/>
                    <w:jc w:val="center"/>
                    <w:rPr>
                      <w:sz w:val="21"/>
                      <w:szCs w:val="21"/>
                    </w:rPr>
                  </w:pPr>
                </w:p>
              </w:tc>
              <w:tc>
                <w:tcPr>
                  <w:tcW w:w="271" w:type="pct"/>
                  <w:vMerge w:val="continue"/>
                  <w:vAlign w:val="center"/>
                </w:tcPr>
                <w:p>
                  <w:pPr>
                    <w:spacing w:line="240" w:lineRule="auto"/>
                    <w:ind w:firstLine="0" w:firstLineChars="0"/>
                    <w:jc w:val="center"/>
                    <w:rPr>
                      <w:rFonts w:eastAsia="等线"/>
                      <w:sz w:val="21"/>
                      <w:szCs w:val="21"/>
                    </w:rPr>
                  </w:pPr>
                </w:p>
              </w:tc>
              <w:tc>
                <w:tcPr>
                  <w:tcW w:w="326" w:type="pct"/>
                  <w:vMerge w:val="continue"/>
                  <w:vAlign w:val="center"/>
                </w:tcPr>
                <w:p>
                  <w:pPr>
                    <w:spacing w:line="240" w:lineRule="auto"/>
                    <w:ind w:firstLine="0" w:firstLineChars="0"/>
                    <w:jc w:val="center"/>
                    <w:rPr>
                      <w:rFonts w:eastAsia="等线"/>
                      <w:sz w:val="21"/>
                      <w:szCs w:val="21"/>
                    </w:rPr>
                  </w:pPr>
                </w:p>
              </w:tc>
              <w:tc>
                <w:tcPr>
                  <w:tcW w:w="326" w:type="pct"/>
                  <w:vMerge w:val="continue"/>
                  <w:vAlign w:val="center"/>
                </w:tcPr>
                <w:p>
                  <w:pPr>
                    <w:spacing w:line="240" w:lineRule="auto"/>
                    <w:ind w:firstLine="0" w:firstLineChars="0"/>
                    <w:jc w:val="center"/>
                    <w:rPr>
                      <w:rFonts w:eastAsia="等线"/>
                      <w:sz w:val="21"/>
                      <w:szCs w:val="21"/>
                    </w:rPr>
                  </w:pPr>
                </w:p>
              </w:tc>
              <w:tc>
                <w:tcPr>
                  <w:tcW w:w="380" w:type="pct"/>
                  <w:vAlign w:val="center"/>
                </w:tcPr>
                <w:p>
                  <w:pPr>
                    <w:spacing w:line="240" w:lineRule="auto"/>
                    <w:ind w:firstLine="0" w:firstLineChars="0"/>
                    <w:jc w:val="center"/>
                    <w:rPr>
                      <w:color w:val="000000"/>
                      <w:sz w:val="21"/>
                      <w:szCs w:val="21"/>
                    </w:rPr>
                  </w:pPr>
                  <w:r>
                    <w:rPr>
                      <w:color w:val="000000"/>
                      <w:sz w:val="21"/>
                      <w:szCs w:val="21"/>
                    </w:rPr>
                    <w:t>22.56</w:t>
                  </w:r>
                </w:p>
              </w:tc>
              <w:tc>
                <w:tcPr>
                  <w:tcW w:w="433" w:type="pct"/>
                  <w:vAlign w:val="center"/>
                </w:tcPr>
                <w:p>
                  <w:pPr>
                    <w:spacing w:line="240" w:lineRule="auto"/>
                    <w:ind w:firstLine="0" w:firstLineChars="0"/>
                    <w:jc w:val="center"/>
                    <w:rPr>
                      <w:color w:val="000000"/>
                      <w:sz w:val="21"/>
                      <w:szCs w:val="21"/>
                    </w:rPr>
                  </w:pPr>
                  <w:r>
                    <w:rPr>
                      <w:color w:val="000000"/>
                      <w:sz w:val="21"/>
                      <w:szCs w:val="21"/>
                    </w:rPr>
                    <w:t>55.78</w:t>
                  </w:r>
                </w:p>
              </w:tc>
              <w:tc>
                <w:tcPr>
                  <w:tcW w:w="326" w:type="pct"/>
                  <w:vMerge w:val="continue"/>
                  <w:vAlign w:val="center"/>
                </w:tcPr>
                <w:p>
                  <w:pPr>
                    <w:adjustRightInd w:val="0"/>
                    <w:snapToGrid w:val="0"/>
                    <w:spacing w:line="240" w:lineRule="auto"/>
                    <w:ind w:firstLine="0" w:firstLineChars="0"/>
                    <w:jc w:val="center"/>
                    <w:rPr>
                      <w:rFonts w:eastAsia="等线"/>
                      <w:sz w:val="21"/>
                      <w:szCs w:val="21"/>
                    </w:rPr>
                  </w:pPr>
                </w:p>
              </w:tc>
              <w:tc>
                <w:tcPr>
                  <w:tcW w:w="487" w:type="pct"/>
                  <w:vMerge w:val="continue"/>
                  <w:vAlign w:val="center"/>
                </w:tcPr>
                <w:p>
                  <w:pPr>
                    <w:adjustRightInd w:val="0"/>
                    <w:snapToGrid w:val="0"/>
                    <w:spacing w:line="240" w:lineRule="auto"/>
                    <w:ind w:firstLine="0" w:firstLineChars="0"/>
                    <w:jc w:val="center"/>
                    <w:rPr>
                      <w:rFonts w:eastAsia="等线"/>
                      <w:sz w:val="21"/>
                      <w:szCs w:val="21"/>
                    </w:rPr>
                  </w:pPr>
                </w:p>
              </w:tc>
              <w:tc>
                <w:tcPr>
                  <w:tcW w:w="488" w:type="pct"/>
                  <w:vAlign w:val="center"/>
                </w:tcPr>
                <w:p>
                  <w:pPr>
                    <w:spacing w:line="240" w:lineRule="auto"/>
                    <w:ind w:firstLine="0" w:firstLineChars="0"/>
                    <w:jc w:val="center"/>
                    <w:rPr>
                      <w:color w:val="000000"/>
                      <w:sz w:val="21"/>
                      <w:szCs w:val="21"/>
                    </w:rPr>
                  </w:pPr>
                  <w:r>
                    <w:rPr>
                      <w:color w:val="000000"/>
                      <w:sz w:val="21"/>
                      <w:szCs w:val="21"/>
                    </w:rPr>
                    <w:t>29.78</w:t>
                  </w:r>
                </w:p>
              </w:tc>
              <w:tc>
                <w:tcPr>
                  <w:tcW w:w="431" w:type="pct"/>
                  <w:vAlign w:val="center"/>
                </w:tcPr>
                <w:p>
                  <w:pPr>
                    <w:spacing w:line="240" w:lineRule="auto"/>
                    <w:ind w:firstLine="0" w:firstLineChars="0"/>
                    <w:jc w:val="center"/>
                    <w:rPr>
                      <w:rFonts w:eastAsia="等线"/>
                      <w:sz w:val="21"/>
                      <w:szCs w:val="21"/>
                    </w:rPr>
                  </w:pPr>
                  <w:r>
                    <w:rPr>
                      <w:rFonts w:eastAsia="等线"/>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175" w:type="pct"/>
                  <w:vMerge w:val="continue"/>
                  <w:vAlign w:val="center"/>
                </w:tcPr>
                <w:p>
                  <w:pPr>
                    <w:widowControl/>
                    <w:spacing w:line="240" w:lineRule="auto"/>
                    <w:ind w:firstLine="0" w:firstLineChars="0"/>
                    <w:jc w:val="center"/>
                    <w:rPr>
                      <w:sz w:val="21"/>
                      <w:szCs w:val="21"/>
                    </w:rPr>
                  </w:pPr>
                </w:p>
              </w:tc>
              <w:tc>
                <w:tcPr>
                  <w:tcW w:w="271" w:type="pct"/>
                  <w:vMerge w:val="continue"/>
                  <w:vAlign w:val="center"/>
                </w:tcPr>
                <w:p>
                  <w:pPr>
                    <w:widowControl/>
                    <w:spacing w:line="240" w:lineRule="auto"/>
                    <w:ind w:firstLine="0" w:firstLineChars="0"/>
                    <w:jc w:val="center"/>
                    <w:rPr>
                      <w:sz w:val="21"/>
                      <w:szCs w:val="21"/>
                    </w:rPr>
                  </w:pPr>
                </w:p>
              </w:tc>
              <w:tc>
                <w:tcPr>
                  <w:tcW w:w="325" w:type="pct"/>
                  <w:vMerge w:val="continue"/>
                  <w:vAlign w:val="center"/>
                </w:tcPr>
                <w:p>
                  <w:pPr>
                    <w:widowControl/>
                    <w:spacing w:line="240" w:lineRule="auto"/>
                    <w:ind w:firstLine="0" w:firstLineChars="0"/>
                    <w:jc w:val="center"/>
                    <w:rPr>
                      <w:sz w:val="21"/>
                      <w:szCs w:val="21"/>
                      <w:u w:color="000000"/>
                    </w:rPr>
                  </w:pPr>
                </w:p>
              </w:tc>
              <w:tc>
                <w:tcPr>
                  <w:tcW w:w="380" w:type="pct"/>
                  <w:vMerge w:val="continue"/>
                  <w:vAlign w:val="center"/>
                </w:tcPr>
                <w:p>
                  <w:pPr>
                    <w:pStyle w:val="37"/>
                    <w:rPr>
                      <w:szCs w:val="21"/>
                    </w:rPr>
                  </w:pPr>
                </w:p>
              </w:tc>
              <w:tc>
                <w:tcPr>
                  <w:tcW w:w="380" w:type="pct"/>
                  <w:vMerge w:val="continue"/>
                  <w:vAlign w:val="center"/>
                </w:tcPr>
                <w:p>
                  <w:pPr>
                    <w:adjustRightInd w:val="0"/>
                    <w:snapToGrid w:val="0"/>
                    <w:spacing w:line="240" w:lineRule="auto"/>
                    <w:ind w:firstLine="0" w:firstLineChars="0"/>
                    <w:jc w:val="center"/>
                    <w:rPr>
                      <w:sz w:val="21"/>
                      <w:szCs w:val="21"/>
                    </w:rPr>
                  </w:pPr>
                </w:p>
              </w:tc>
              <w:tc>
                <w:tcPr>
                  <w:tcW w:w="271" w:type="pct"/>
                  <w:vMerge w:val="continue"/>
                  <w:vAlign w:val="center"/>
                </w:tcPr>
                <w:p>
                  <w:pPr>
                    <w:spacing w:line="240" w:lineRule="auto"/>
                    <w:ind w:firstLine="0" w:firstLineChars="0"/>
                    <w:jc w:val="center"/>
                    <w:rPr>
                      <w:rFonts w:eastAsia="等线"/>
                      <w:sz w:val="21"/>
                      <w:szCs w:val="21"/>
                    </w:rPr>
                  </w:pPr>
                </w:p>
              </w:tc>
              <w:tc>
                <w:tcPr>
                  <w:tcW w:w="326" w:type="pct"/>
                  <w:vMerge w:val="continue"/>
                  <w:vAlign w:val="center"/>
                </w:tcPr>
                <w:p>
                  <w:pPr>
                    <w:spacing w:line="240" w:lineRule="auto"/>
                    <w:ind w:firstLine="0" w:firstLineChars="0"/>
                    <w:jc w:val="center"/>
                    <w:rPr>
                      <w:rFonts w:eastAsia="等线"/>
                      <w:sz w:val="21"/>
                      <w:szCs w:val="21"/>
                    </w:rPr>
                  </w:pPr>
                </w:p>
              </w:tc>
              <w:tc>
                <w:tcPr>
                  <w:tcW w:w="326" w:type="pct"/>
                  <w:vMerge w:val="continue"/>
                  <w:vAlign w:val="center"/>
                </w:tcPr>
                <w:p>
                  <w:pPr>
                    <w:spacing w:line="240" w:lineRule="auto"/>
                    <w:ind w:firstLine="0" w:firstLineChars="0"/>
                    <w:jc w:val="center"/>
                    <w:rPr>
                      <w:rFonts w:eastAsia="等线"/>
                      <w:sz w:val="21"/>
                      <w:szCs w:val="21"/>
                    </w:rPr>
                  </w:pPr>
                </w:p>
              </w:tc>
              <w:tc>
                <w:tcPr>
                  <w:tcW w:w="380" w:type="pct"/>
                  <w:vAlign w:val="center"/>
                </w:tcPr>
                <w:p>
                  <w:pPr>
                    <w:spacing w:line="240" w:lineRule="auto"/>
                    <w:ind w:firstLine="0" w:firstLineChars="0"/>
                    <w:jc w:val="center"/>
                    <w:rPr>
                      <w:color w:val="000000"/>
                      <w:sz w:val="21"/>
                      <w:szCs w:val="21"/>
                    </w:rPr>
                  </w:pPr>
                  <w:r>
                    <w:rPr>
                      <w:color w:val="000000"/>
                      <w:sz w:val="21"/>
                      <w:szCs w:val="21"/>
                    </w:rPr>
                    <w:t>31.99</w:t>
                  </w:r>
                </w:p>
              </w:tc>
              <w:tc>
                <w:tcPr>
                  <w:tcW w:w="433" w:type="pct"/>
                  <w:vAlign w:val="center"/>
                </w:tcPr>
                <w:p>
                  <w:pPr>
                    <w:spacing w:line="240" w:lineRule="auto"/>
                    <w:ind w:firstLine="0" w:firstLineChars="0"/>
                    <w:jc w:val="center"/>
                    <w:rPr>
                      <w:color w:val="000000"/>
                      <w:sz w:val="21"/>
                      <w:szCs w:val="21"/>
                    </w:rPr>
                  </w:pPr>
                  <w:r>
                    <w:rPr>
                      <w:color w:val="000000"/>
                      <w:sz w:val="21"/>
                      <w:szCs w:val="21"/>
                    </w:rPr>
                    <w:t>55.77</w:t>
                  </w:r>
                </w:p>
              </w:tc>
              <w:tc>
                <w:tcPr>
                  <w:tcW w:w="326" w:type="pct"/>
                  <w:vMerge w:val="continue"/>
                  <w:vAlign w:val="center"/>
                </w:tcPr>
                <w:p>
                  <w:pPr>
                    <w:adjustRightInd w:val="0"/>
                    <w:snapToGrid w:val="0"/>
                    <w:spacing w:line="240" w:lineRule="auto"/>
                    <w:ind w:firstLine="0" w:firstLineChars="0"/>
                    <w:jc w:val="center"/>
                    <w:rPr>
                      <w:rFonts w:eastAsia="等线"/>
                      <w:sz w:val="21"/>
                      <w:szCs w:val="21"/>
                    </w:rPr>
                  </w:pPr>
                </w:p>
              </w:tc>
              <w:tc>
                <w:tcPr>
                  <w:tcW w:w="487" w:type="pct"/>
                  <w:vMerge w:val="continue"/>
                  <w:vAlign w:val="center"/>
                </w:tcPr>
                <w:p>
                  <w:pPr>
                    <w:adjustRightInd w:val="0"/>
                    <w:snapToGrid w:val="0"/>
                    <w:spacing w:line="240" w:lineRule="auto"/>
                    <w:ind w:firstLine="0" w:firstLineChars="0"/>
                    <w:jc w:val="center"/>
                    <w:rPr>
                      <w:rFonts w:eastAsia="等线"/>
                      <w:sz w:val="21"/>
                      <w:szCs w:val="21"/>
                    </w:rPr>
                  </w:pPr>
                </w:p>
              </w:tc>
              <w:tc>
                <w:tcPr>
                  <w:tcW w:w="488" w:type="pct"/>
                  <w:vAlign w:val="center"/>
                </w:tcPr>
                <w:p>
                  <w:pPr>
                    <w:spacing w:line="240" w:lineRule="auto"/>
                    <w:ind w:firstLine="0" w:firstLineChars="0"/>
                    <w:jc w:val="center"/>
                    <w:rPr>
                      <w:color w:val="000000"/>
                      <w:sz w:val="21"/>
                      <w:szCs w:val="21"/>
                    </w:rPr>
                  </w:pPr>
                  <w:r>
                    <w:rPr>
                      <w:color w:val="000000"/>
                      <w:sz w:val="21"/>
                      <w:szCs w:val="21"/>
                    </w:rPr>
                    <w:t>29.77</w:t>
                  </w:r>
                </w:p>
              </w:tc>
              <w:tc>
                <w:tcPr>
                  <w:tcW w:w="431" w:type="pct"/>
                  <w:vAlign w:val="center"/>
                </w:tcPr>
                <w:p>
                  <w:pPr>
                    <w:spacing w:line="240" w:lineRule="auto"/>
                    <w:ind w:firstLine="0" w:firstLineChars="0"/>
                    <w:jc w:val="center"/>
                    <w:rPr>
                      <w:rFonts w:eastAsia="等线"/>
                      <w:sz w:val="21"/>
                      <w:szCs w:val="21"/>
                    </w:rPr>
                  </w:pPr>
                  <w:r>
                    <w:rPr>
                      <w:rFonts w:eastAsia="等线"/>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175" w:type="pct"/>
                  <w:vMerge w:val="continue"/>
                  <w:vAlign w:val="center"/>
                </w:tcPr>
                <w:p>
                  <w:pPr>
                    <w:widowControl/>
                    <w:spacing w:line="240" w:lineRule="auto"/>
                    <w:ind w:firstLine="0" w:firstLineChars="0"/>
                    <w:jc w:val="center"/>
                    <w:rPr>
                      <w:sz w:val="21"/>
                      <w:szCs w:val="21"/>
                    </w:rPr>
                  </w:pPr>
                </w:p>
              </w:tc>
              <w:tc>
                <w:tcPr>
                  <w:tcW w:w="271" w:type="pct"/>
                  <w:vMerge w:val="continue"/>
                  <w:vAlign w:val="center"/>
                </w:tcPr>
                <w:p>
                  <w:pPr>
                    <w:widowControl/>
                    <w:spacing w:line="240" w:lineRule="auto"/>
                    <w:ind w:firstLine="0" w:firstLineChars="0"/>
                    <w:jc w:val="center"/>
                    <w:rPr>
                      <w:sz w:val="21"/>
                      <w:szCs w:val="21"/>
                    </w:rPr>
                  </w:pPr>
                </w:p>
              </w:tc>
              <w:tc>
                <w:tcPr>
                  <w:tcW w:w="325" w:type="pct"/>
                  <w:vMerge w:val="continue"/>
                  <w:vAlign w:val="center"/>
                </w:tcPr>
                <w:p>
                  <w:pPr>
                    <w:widowControl/>
                    <w:spacing w:line="240" w:lineRule="auto"/>
                    <w:ind w:firstLine="0" w:firstLineChars="0"/>
                    <w:jc w:val="center"/>
                    <w:rPr>
                      <w:sz w:val="21"/>
                      <w:szCs w:val="21"/>
                      <w:u w:color="000000"/>
                    </w:rPr>
                  </w:pPr>
                </w:p>
              </w:tc>
              <w:tc>
                <w:tcPr>
                  <w:tcW w:w="380" w:type="pct"/>
                  <w:vMerge w:val="continue"/>
                  <w:vAlign w:val="center"/>
                </w:tcPr>
                <w:p>
                  <w:pPr>
                    <w:pStyle w:val="37"/>
                    <w:rPr>
                      <w:szCs w:val="21"/>
                    </w:rPr>
                  </w:pPr>
                </w:p>
              </w:tc>
              <w:tc>
                <w:tcPr>
                  <w:tcW w:w="380" w:type="pct"/>
                  <w:vMerge w:val="continue"/>
                  <w:vAlign w:val="center"/>
                </w:tcPr>
                <w:p>
                  <w:pPr>
                    <w:adjustRightInd w:val="0"/>
                    <w:snapToGrid w:val="0"/>
                    <w:spacing w:line="240" w:lineRule="auto"/>
                    <w:ind w:firstLine="0" w:firstLineChars="0"/>
                    <w:jc w:val="center"/>
                    <w:rPr>
                      <w:sz w:val="21"/>
                      <w:szCs w:val="21"/>
                    </w:rPr>
                  </w:pPr>
                </w:p>
              </w:tc>
              <w:tc>
                <w:tcPr>
                  <w:tcW w:w="271" w:type="pct"/>
                  <w:vMerge w:val="continue"/>
                  <w:vAlign w:val="center"/>
                </w:tcPr>
                <w:p>
                  <w:pPr>
                    <w:spacing w:line="240" w:lineRule="auto"/>
                    <w:ind w:firstLine="0" w:firstLineChars="0"/>
                    <w:jc w:val="center"/>
                    <w:rPr>
                      <w:rFonts w:eastAsia="等线"/>
                      <w:sz w:val="21"/>
                      <w:szCs w:val="21"/>
                    </w:rPr>
                  </w:pPr>
                </w:p>
              </w:tc>
              <w:tc>
                <w:tcPr>
                  <w:tcW w:w="326" w:type="pct"/>
                  <w:vMerge w:val="continue"/>
                  <w:vAlign w:val="center"/>
                </w:tcPr>
                <w:p>
                  <w:pPr>
                    <w:spacing w:line="240" w:lineRule="auto"/>
                    <w:ind w:firstLine="0" w:firstLineChars="0"/>
                    <w:jc w:val="center"/>
                    <w:rPr>
                      <w:rFonts w:eastAsia="等线"/>
                      <w:sz w:val="21"/>
                      <w:szCs w:val="21"/>
                    </w:rPr>
                  </w:pPr>
                </w:p>
              </w:tc>
              <w:tc>
                <w:tcPr>
                  <w:tcW w:w="326" w:type="pct"/>
                  <w:vMerge w:val="continue"/>
                  <w:vAlign w:val="center"/>
                </w:tcPr>
                <w:p>
                  <w:pPr>
                    <w:spacing w:line="240" w:lineRule="auto"/>
                    <w:ind w:firstLine="0" w:firstLineChars="0"/>
                    <w:jc w:val="center"/>
                    <w:rPr>
                      <w:rFonts w:eastAsia="等线"/>
                      <w:sz w:val="21"/>
                      <w:szCs w:val="21"/>
                    </w:rPr>
                  </w:pPr>
                </w:p>
              </w:tc>
              <w:tc>
                <w:tcPr>
                  <w:tcW w:w="380" w:type="pct"/>
                  <w:vAlign w:val="center"/>
                </w:tcPr>
                <w:p>
                  <w:pPr>
                    <w:spacing w:line="240" w:lineRule="auto"/>
                    <w:ind w:firstLine="0" w:firstLineChars="0"/>
                    <w:jc w:val="center"/>
                    <w:rPr>
                      <w:color w:val="000000"/>
                      <w:sz w:val="21"/>
                      <w:szCs w:val="21"/>
                    </w:rPr>
                  </w:pPr>
                  <w:r>
                    <w:rPr>
                      <w:color w:val="000000"/>
                      <w:sz w:val="21"/>
                      <w:szCs w:val="21"/>
                    </w:rPr>
                    <w:t>36.39</w:t>
                  </w:r>
                </w:p>
              </w:tc>
              <w:tc>
                <w:tcPr>
                  <w:tcW w:w="433" w:type="pct"/>
                  <w:vAlign w:val="center"/>
                </w:tcPr>
                <w:p>
                  <w:pPr>
                    <w:spacing w:line="240" w:lineRule="auto"/>
                    <w:ind w:firstLine="0" w:firstLineChars="0"/>
                    <w:jc w:val="center"/>
                    <w:rPr>
                      <w:color w:val="000000"/>
                      <w:sz w:val="21"/>
                      <w:szCs w:val="21"/>
                    </w:rPr>
                  </w:pPr>
                  <w:r>
                    <w:rPr>
                      <w:color w:val="000000"/>
                      <w:sz w:val="21"/>
                      <w:szCs w:val="21"/>
                    </w:rPr>
                    <w:t>55.77</w:t>
                  </w:r>
                </w:p>
              </w:tc>
              <w:tc>
                <w:tcPr>
                  <w:tcW w:w="326" w:type="pct"/>
                  <w:vMerge w:val="continue"/>
                  <w:vAlign w:val="center"/>
                </w:tcPr>
                <w:p>
                  <w:pPr>
                    <w:adjustRightInd w:val="0"/>
                    <w:snapToGrid w:val="0"/>
                    <w:spacing w:line="240" w:lineRule="auto"/>
                    <w:ind w:firstLine="0" w:firstLineChars="0"/>
                    <w:jc w:val="center"/>
                    <w:rPr>
                      <w:rFonts w:eastAsia="等线"/>
                      <w:sz w:val="21"/>
                      <w:szCs w:val="21"/>
                    </w:rPr>
                  </w:pPr>
                </w:p>
              </w:tc>
              <w:tc>
                <w:tcPr>
                  <w:tcW w:w="487" w:type="pct"/>
                  <w:vMerge w:val="continue"/>
                  <w:vAlign w:val="center"/>
                </w:tcPr>
                <w:p>
                  <w:pPr>
                    <w:adjustRightInd w:val="0"/>
                    <w:snapToGrid w:val="0"/>
                    <w:spacing w:line="240" w:lineRule="auto"/>
                    <w:ind w:firstLine="0" w:firstLineChars="0"/>
                    <w:jc w:val="center"/>
                    <w:rPr>
                      <w:rFonts w:eastAsia="等线"/>
                      <w:sz w:val="21"/>
                      <w:szCs w:val="21"/>
                    </w:rPr>
                  </w:pPr>
                </w:p>
              </w:tc>
              <w:tc>
                <w:tcPr>
                  <w:tcW w:w="488" w:type="pct"/>
                  <w:vAlign w:val="center"/>
                </w:tcPr>
                <w:p>
                  <w:pPr>
                    <w:spacing w:line="240" w:lineRule="auto"/>
                    <w:ind w:firstLine="0" w:firstLineChars="0"/>
                    <w:jc w:val="center"/>
                    <w:rPr>
                      <w:color w:val="000000"/>
                      <w:sz w:val="21"/>
                      <w:szCs w:val="21"/>
                    </w:rPr>
                  </w:pPr>
                  <w:r>
                    <w:rPr>
                      <w:color w:val="000000"/>
                      <w:sz w:val="21"/>
                      <w:szCs w:val="21"/>
                    </w:rPr>
                    <w:t>29.77</w:t>
                  </w:r>
                </w:p>
              </w:tc>
              <w:tc>
                <w:tcPr>
                  <w:tcW w:w="431" w:type="pct"/>
                  <w:vAlign w:val="center"/>
                </w:tcPr>
                <w:p>
                  <w:pPr>
                    <w:spacing w:line="240" w:lineRule="auto"/>
                    <w:ind w:firstLine="0" w:firstLineChars="0"/>
                    <w:jc w:val="center"/>
                    <w:rPr>
                      <w:rFonts w:eastAsia="等线"/>
                      <w:sz w:val="21"/>
                      <w:szCs w:val="21"/>
                    </w:rPr>
                  </w:pPr>
                  <w:r>
                    <w:rPr>
                      <w:rFonts w:eastAsia="等线"/>
                      <w:sz w:val="21"/>
                      <w:szCs w:val="21"/>
                    </w:rPr>
                    <w:t>1</w:t>
                  </w:r>
                </w:p>
              </w:tc>
            </w:tr>
          </w:tbl>
          <w:p>
            <w:pPr>
              <w:pStyle w:val="14"/>
            </w:pPr>
          </w:p>
          <w:p>
            <w:pPr>
              <w:pStyle w:val="14"/>
              <w:rPr>
                <w:sz w:val="21"/>
              </w:rPr>
            </w:pPr>
            <w:r>
              <w:rPr>
                <w:rFonts w:hint="eastAsia"/>
              </w:rPr>
              <w:t xml:space="preserve">续表31    室内噪声源强及治理措施一览表   </w:t>
            </w:r>
            <w:r>
              <w:rPr>
                <w:rFonts w:hint="eastAsia"/>
                <w:sz w:val="21"/>
              </w:rPr>
              <w:t>单位：dB（A）</w:t>
            </w:r>
          </w:p>
          <w:tbl>
            <w:tblPr>
              <w:tblStyle w:val="16"/>
              <w:tblW w:w="492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457"/>
              <w:gridCol w:w="708"/>
              <w:gridCol w:w="850"/>
              <w:gridCol w:w="994"/>
              <w:gridCol w:w="994"/>
              <w:gridCol w:w="709"/>
              <w:gridCol w:w="853"/>
              <w:gridCol w:w="853"/>
              <w:gridCol w:w="994"/>
              <w:gridCol w:w="1133"/>
              <w:gridCol w:w="853"/>
              <w:gridCol w:w="1274"/>
              <w:gridCol w:w="1276"/>
              <w:gridCol w:w="11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0" w:hRule="atLeast"/>
                <w:jc w:val="center"/>
              </w:trPr>
              <w:tc>
                <w:tcPr>
                  <w:tcW w:w="175" w:type="pct"/>
                  <w:vMerge w:val="restart"/>
                  <w:vAlign w:val="center"/>
                </w:tcPr>
                <w:p>
                  <w:pPr>
                    <w:adjustRightInd w:val="0"/>
                    <w:snapToGrid w:val="0"/>
                    <w:spacing w:line="240" w:lineRule="auto"/>
                    <w:ind w:firstLine="0" w:firstLineChars="0"/>
                    <w:jc w:val="center"/>
                    <w:rPr>
                      <w:b/>
                      <w:bCs/>
                      <w:sz w:val="21"/>
                      <w:szCs w:val="21"/>
                    </w:rPr>
                  </w:pPr>
                  <w:r>
                    <w:rPr>
                      <w:b/>
                      <w:bCs/>
                      <w:sz w:val="21"/>
                      <w:szCs w:val="21"/>
                    </w:rPr>
                    <w:t>序号</w:t>
                  </w:r>
                </w:p>
              </w:tc>
              <w:tc>
                <w:tcPr>
                  <w:tcW w:w="271" w:type="pct"/>
                  <w:vMerge w:val="restart"/>
                  <w:vAlign w:val="center"/>
                </w:tcPr>
                <w:p>
                  <w:pPr>
                    <w:adjustRightInd w:val="0"/>
                    <w:snapToGrid w:val="0"/>
                    <w:spacing w:line="240" w:lineRule="auto"/>
                    <w:ind w:firstLine="0" w:firstLineChars="0"/>
                    <w:jc w:val="center"/>
                    <w:rPr>
                      <w:b/>
                      <w:bCs/>
                      <w:sz w:val="21"/>
                      <w:szCs w:val="21"/>
                    </w:rPr>
                  </w:pPr>
                  <w:r>
                    <w:rPr>
                      <w:b/>
                      <w:bCs/>
                      <w:sz w:val="21"/>
                      <w:szCs w:val="21"/>
                    </w:rPr>
                    <w:t>建筑物名称</w:t>
                  </w:r>
                </w:p>
              </w:tc>
              <w:tc>
                <w:tcPr>
                  <w:tcW w:w="325" w:type="pct"/>
                  <w:vMerge w:val="restart"/>
                  <w:vAlign w:val="center"/>
                </w:tcPr>
                <w:p>
                  <w:pPr>
                    <w:adjustRightInd w:val="0"/>
                    <w:snapToGrid w:val="0"/>
                    <w:spacing w:line="240" w:lineRule="auto"/>
                    <w:ind w:firstLine="0" w:firstLineChars="0"/>
                    <w:jc w:val="center"/>
                    <w:rPr>
                      <w:b/>
                      <w:bCs/>
                      <w:sz w:val="21"/>
                      <w:szCs w:val="21"/>
                    </w:rPr>
                  </w:pPr>
                  <w:r>
                    <w:rPr>
                      <w:b/>
                      <w:bCs/>
                      <w:sz w:val="21"/>
                      <w:szCs w:val="21"/>
                    </w:rPr>
                    <w:t>噪声源</w:t>
                  </w:r>
                </w:p>
              </w:tc>
              <w:tc>
                <w:tcPr>
                  <w:tcW w:w="380" w:type="pct"/>
                  <w:vMerge w:val="restart"/>
                  <w:vAlign w:val="center"/>
                </w:tcPr>
                <w:p>
                  <w:pPr>
                    <w:adjustRightInd w:val="0"/>
                    <w:snapToGrid w:val="0"/>
                    <w:spacing w:line="240" w:lineRule="auto"/>
                    <w:ind w:firstLine="0" w:firstLineChars="0"/>
                    <w:jc w:val="center"/>
                    <w:rPr>
                      <w:b/>
                      <w:bCs/>
                      <w:sz w:val="21"/>
                      <w:szCs w:val="21"/>
                    </w:rPr>
                  </w:pPr>
                  <w:r>
                    <w:rPr>
                      <w:b/>
                      <w:bCs/>
                      <w:sz w:val="21"/>
                      <w:szCs w:val="21"/>
                    </w:rPr>
                    <w:t>声功率级/dB(A)</w:t>
                  </w:r>
                </w:p>
              </w:tc>
              <w:tc>
                <w:tcPr>
                  <w:tcW w:w="380" w:type="pct"/>
                  <w:vMerge w:val="restart"/>
                  <w:vAlign w:val="center"/>
                </w:tcPr>
                <w:p>
                  <w:pPr>
                    <w:adjustRightInd w:val="0"/>
                    <w:snapToGrid w:val="0"/>
                    <w:spacing w:line="240" w:lineRule="auto"/>
                    <w:ind w:firstLine="0" w:firstLineChars="0"/>
                    <w:jc w:val="center"/>
                    <w:rPr>
                      <w:b/>
                      <w:bCs/>
                      <w:sz w:val="21"/>
                      <w:szCs w:val="21"/>
                    </w:rPr>
                  </w:pPr>
                  <w:r>
                    <w:rPr>
                      <w:b/>
                      <w:bCs/>
                      <w:sz w:val="21"/>
                      <w:szCs w:val="21"/>
                    </w:rPr>
                    <w:t>声源控制措施</w:t>
                  </w:r>
                </w:p>
              </w:tc>
              <w:tc>
                <w:tcPr>
                  <w:tcW w:w="923" w:type="pct"/>
                  <w:gridSpan w:val="3"/>
                  <w:vAlign w:val="center"/>
                </w:tcPr>
                <w:p>
                  <w:pPr>
                    <w:adjustRightInd w:val="0"/>
                    <w:snapToGrid w:val="0"/>
                    <w:spacing w:line="240" w:lineRule="auto"/>
                    <w:ind w:firstLine="0" w:firstLineChars="0"/>
                    <w:jc w:val="center"/>
                    <w:rPr>
                      <w:b/>
                      <w:bCs/>
                      <w:sz w:val="21"/>
                      <w:szCs w:val="21"/>
                    </w:rPr>
                  </w:pPr>
                  <w:r>
                    <w:rPr>
                      <w:b/>
                      <w:bCs/>
                      <w:sz w:val="21"/>
                      <w:szCs w:val="21"/>
                    </w:rPr>
                    <w:t>空间相对位置/m</w:t>
                  </w:r>
                </w:p>
              </w:tc>
              <w:tc>
                <w:tcPr>
                  <w:tcW w:w="380" w:type="pct"/>
                  <w:vMerge w:val="restart"/>
                  <w:vAlign w:val="center"/>
                </w:tcPr>
                <w:p>
                  <w:pPr>
                    <w:adjustRightInd w:val="0"/>
                    <w:snapToGrid w:val="0"/>
                    <w:spacing w:line="240" w:lineRule="auto"/>
                    <w:ind w:firstLine="0" w:firstLineChars="0"/>
                    <w:jc w:val="center"/>
                    <w:rPr>
                      <w:b/>
                      <w:bCs/>
                      <w:sz w:val="21"/>
                      <w:szCs w:val="21"/>
                    </w:rPr>
                  </w:pPr>
                  <w:r>
                    <w:rPr>
                      <w:b/>
                      <w:bCs/>
                      <w:sz w:val="21"/>
                      <w:szCs w:val="21"/>
                    </w:rPr>
                    <w:t>距室内边界距离/m</w:t>
                  </w:r>
                </w:p>
              </w:tc>
              <w:tc>
                <w:tcPr>
                  <w:tcW w:w="433" w:type="pct"/>
                  <w:vMerge w:val="restart"/>
                  <w:vAlign w:val="center"/>
                </w:tcPr>
                <w:p>
                  <w:pPr>
                    <w:adjustRightInd w:val="0"/>
                    <w:snapToGrid w:val="0"/>
                    <w:spacing w:line="240" w:lineRule="auto"/>
                    <w:ind w:firstLine="0" w:firstLineChars="0"/>
                    <w:jc w:val="center"/>
                    <w:rPr>
                      <w:b/>
                      <w:bCs/>
                      <w:sz w:val="21"/>
                      <w:szCs w:val="21"/>
                    </w:rPr>
                  </w:pPr>
                  <w:r>
                    <w:rPr>
                      <w:b/>
                      <w:bCs/>
                      <w:sz w:val="21"/>
                      <w:szCs w:val="21"/>
                    </w:rPr>
                    <w:t>室内边界声级/dB(A)</w:t>
                  </w:r>
                </w:p>
              </w:tc>
              <w:tc>
                <w:tcPr>
                  <w:tcW w:w="326" w:type="pct"/>
                  <w:vMerge w:val="restart"/>
                  <w:vAlign w:val="center"/>
                </w:tcPr>
                <w:p>
                  <w:pPr>
                    <w:adjustRightInd w:val="0"/>
                    <w:snapToGrid w:val="0"/>
                    <w:spacing w:line="240" w:lineRule="auto"/>
                    <w:ind w:firstLine="0" w:firstLineChars="0"/>
                    <w:jc w:val="center"/>
                    <w:rPr>
                      <w:b/>
                      <w:bCs/>
                      <w:sz w:val="21"/>
                      <w:szCs w:val="21"/>
                    </w:rPr>
                  </w:pPr>
                  <w:r>
                    <w:rPr>
                      <w:b/>
                      <w:bCs/>
                      <w:sz w:val="21"/>
                      <w:szCs w:val="21"/>
                    </w:rPr>
                    <w:t>运行时段</w:t>
                  </w:r>
                </w:p>
              </w:tc>
              <w:tc>
                <w:tcPr>
                  <w:tcW w:w="487" w:type="pct"/>
                  <w:vMerge w:val="restart"/>
                  <w:vAlign w:val="center"/>
                </w:tcPr>
                <w:p>
                  <w:pPr>
                    <w:adjustRightInd w:val="0"/>
                    <w:snapToGrid w:val="0"/>
                    <w:spacing w:line="240" w:lineRule="auto"/>
                    <w:ind w:firstLine="0" w:firstLineChars="0"/>
                    <w:jc w:val="center"/>
                    <w:rPr>
                      <w:b/>
                      <w:bCs/>
                      <w:sz w:val="21"/>
                      <w:szCs w:val="21"/>
                    </w:rPr>
                  </w:pPr>
                  <w:r>
                    <w:rPr>
                      <w:b/>
                      <w:bCs/>
                      <w:sz w:val="21"/>
                      <w:szCs w:val="21"/>
                    </w:rPr>
                    <w:t>建筑物插入损失/dB(A)</w:t>
                  </w:r>
                </w:p>
              </w:tc>
              <w:tc>
                <w:tcPr>
                  <w:tcW w:w="919" w:type="pct"/>
                  <w:gridSpan w:val="2"/>
                  <w:vAlign w:val="center"/>
                </w:tcPr>
                <w:p>
                  <w:pPr>
                    <w:adjustRightInd w:val="0"/>
                    <w:snapToGrid w:val="0"/>
                    <w:spacing w:line="240" w:lineRule="auto"/>
                    <w:ind w:firstLine="0" w:firstLineChars="0"/>
                    <w:jc w:val="center"/>
                    <w:rPr>
                      <w:b/>
                      <w:bCs/>
                      <w:sz w:val="21"/>
                      <w:szCs w:val="21"/>
                    </w:rPr>
                  </w:pPr>
                  <w:r>
                    <w:rPr>
                      <w:b/>
                      <w:bCs/>
                      <w:sz w:val="21"/>
                      <w:szCs w:val="21"/>
                    </w:rPr>
                    <w:t>建筑物外噪声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175" w:type="pct"/>
                  <w:vMerge w:val="continue"/>
                  <w:vAlign w:val="center"/>
                </w:tcPr>
                <w:p>
                  <w:pPr>
                    <w:adjustRightInd w:val="0"/>
                    <w:snapToGrid w:val="0"/>
                    <w:spacing w:line="240" w:lineRule="auto"/>
                    <w:ind w:firstLine="0" w:firstLineChars="0"/>
                    <w:jc w:val="center"/>
                    <w:rPr>
                      <w:b/>
                      <w:bCs/>
                      <w:sz w:val="21"/>
                      <w:szCs w:val="21"/>
                    </w:rPr>
                  </w:pPr>
                </w:p>
              </w:tc>
              <w:tc>
                <w:tcPr>
                  <w:tcW w:w="271" w:type="pct"/>
                  <w:vMerge w:val="continue"/>
                  <w:vAlign w:val="center"/>
                </w:tcPr>
                <w:p>
                  <w:pPr>
                    <w:spacing w:line="240" w:lineRule="auto"/>
                    <w:ind w:firstLine="0" w:firstLineChars="0"/>
                    <w:jc w:val="center"/>
                    <w:rPr>
                      <w:b/>
                      <w:bCs/>
                      <w:sz w:val="21"/>
                      <w:szCs w:val="21"/>
                    </w:rPr>
                  </w:pPr>
                </w:p>
              </w:tc>
              <w:tc>
                <w:tcPr>
                  <w:tcW w:w="325" w:type="pct"/>
                  <w:vMerge w:val="continue"/>
                  <w:vAlign w:val="center"/>
                </w:tcPr>
                <w:p>
                  <w:pPr>
                    <w:adjustRightInd w:val="0"/>
                    <w:snapToGrid w:val="0"/>
                    <w:spacing w:line="240" w:lineRule="auto"/>
                    <w:ind w:firstLine="0" w:firstLineChars="0"/>
                    <w:jc w:val="center"/>
                    <w:rPr>
                      <w:b/>
                      <w:bCs/>
                      <w:sz w:val="21"/>
                      <w:szCs w:val="21"/>
                    </w:rPr>
                  </w:pPr>
                </w:p>
              </w:tc>
              <w:tc>
                <w:tcPr>
                  <w:tcW w:w="380" w:type="pct"/>
                  <w:vMerge w:val="continue"/>
                  <w:vAlign w:val="center"/>
                </w:tcPr>
                <w:p>
                  <w:pPr>
                    <w:adjustRightInd w:val="0"/>
                    <w:snapToGrid w:val="0"/>
                    <w:spacing w:line="240" w:lineRule="auto"/>
                    <w:ind w:firstLine="0" w:firstLineChars="0"/>
                    <w:jc w:val="center"/>
                    <w:rPr>
                      <w:b/>
                      <w:bCs/>
                      <w:sz w:val="21"/>
                      <w:szCs w:val="21"/>
                    </w:rPr>
                  </w:pPr>
                </w:p>
              </w:tc>
              <w:tc>
                <w:tcPr>
                  <w:tcW w:w="380" w:type="pct"/>
                  <w:vMerge w:val="continue"/>
                  <w:vAlign w:val="center"/>
                </w:tcPr>
                <w:p>
                  <w:pPr>
                    <w:adjustRightInd w:val="0"/>
                    <w:snapToGrid w:val="0"/>
                    <w:spacing w:line="240" w:lineRule="auto"/>
                    <w:ind w:firstLine="0" w:firstLineChars="0"/>
                    <w:jc w:val="center"/>
                    <w:rPr>
                      <w:b/>
                      <w:bCs/>
                      <w:sz w:val="21"/>
                      <w:szCs w:val="21"/>
                    </w:rPr>
                  </w:pPr>
                </w:p>
              </w:tc>
              <w:tc>
                <w:tcPr>
                  <w:tcW w:w="271" w:type="pct"/>
                  <w:vAlign w:val="center"/>
                </w:tcPr>
                <w:p>
                  <w:pPr>
                    <w:adjustRightInd w:val="0"/>
                    <w:snapToGrid w:val="0"/>
                    <w:spacing w:line="240" w:lineRule="auto"/>
                    <w:ind w:firstLine="0" w:firstLineChars="0"/>
                    <w:jc w:val="center"/>
                    <w:rPr>
                      <w:b/>
                      <w:bCs/>
                      <w:sz w:val="21"/>
                      <w:szCs w:val="21"/>
                    </w:rPr>
                  </w:pPr>
                  <w:r>
                    <w:rPr>
                      <w:b/>
                      <w:bCs/>
                      <w:sz w:val="21"/>
                      <w:szCs w:val="21"/>
                    </w:rPr>
                    <w:t>X</w:t>
                  </w:r>
                </w:p>
              </w:tc>
              <w:tc>
                <w:tcPr>
                  <w:tcW w:w="326" w:type="pct"/>
                  <w:vAlign w:val="center"/>
                </w:tcPr>
                <w:p>
                  <w:pPr>
                    <w:adjustRightInd w:val="0"/>
                    <w:snapToGrid w:val="0"/>
                    <w:spacing w:line="240" w:lineRule="auto"/>
                    <w:ind w:firstLine="0" w:firstLineChars="0"/>
                    <w:jc w:val="center"/>
                    <w:rPr>
                      <w:b/>
                      <w:bCs/>
                      <w:sz w:val="21"/>
                      <w:szCs w:val="21"/>
                    </w:rPr>
                  </w:pPr>
                  <w:r>
                    <w:rPr>
                      <w:b/>
                      <w:bCs/>
                      <w:sz w:val="21"/>
                      <w:szCs w:val="21"/>
                    </w:rPr>
                    <w:t>Y</w:t>
                  </w:r>
                </w:p>
              </w:tc>
              <w:tc>
                <w:tcPr>
                  <w:tcW w:w="326" w:type="pct"/>
                  <w:vAlign w:val="center"/>
                </w:tcPr>
                <w:p>
                  <w:pPr>
                    <w:adjustRightInd w:val="0"/>
                    <w:snapToGrid w:val="0"/>
                    <w:spacing w:line="240" w:lineRule="auto"/>
                    <w:ind w:firstLine="0" w:firstLineChars="0"/>
                    <w:jc w:val="center"/>
                    <w:rPr>
                      <w:b/>
                      <w:bCs/>
                      <w:sz w:val="21"/>
                      <w:szCs w:val="21"/>
                    </w:rPr>
                  </w:pPr>
                  <w:r>
                    <w:rPr>
                      <w:b/>
                      <w:bCs/>
                      <w:sz w:val="21"/>
                      <w:szCs w:val="21"/>
                    </w:rPr>
                    <w:t>Z</w:t>
                  </w:r>
                </w:p>
              </w:tc>
              <w:tc>
                <w:tcPr>
                  <w:tcW w:w="380" w:type="pct"/>
                  <w:vMerge w:val="continue"/>
                  <w:vAlign w:val="center"/>
                </w:tcPr>
                <w:p>
                  <w:pPr>
                    <w:adjustRightInd w:val="0"/>
                    <w:snapToGrid w:val="0"/>
                    <w:spacing w:line="240" w:lineRule="auto"/>
                    <w:ind w:firstLine="0" w:firstLineChars="0"/>
                    <w:jc w:val="center"/>
                    <w:rPr>
                      <w:b/>
                      <w:bCs/>
                      <w:sz w:val="21"/>
                      <w:szCs w:val="21"/>
                    </w:rPr>
                  </w:pPr>
                </w:p>
              </w:tc>
              <w:tc>
                <w:tcPr>
                  <w:tcW w:w="433" w:type="pct"/>
                  <w:vMerge w:val="continue"/>
                  <w:vAlign w:val="center"/>
                </w:tcPr>
                <w:p>
                  <w:pPr>
                    <w:adjustRightInd w:val="0"/>
                    <w:snapToGrid w:val="0"/>
                    <w:spacing w:line="240" w:lineRule="auto"/>
                    <w:ind w:firstLine="0" w:firstLineChars="0"/>
                    <w:jc w:val="center"/>
                    <w:rPr>
                      <w:b/>
                      <w:bCs/>
                      <w:sz w:val="21"/>
                      <w:szCs w:val="21"/>
                    </w:rPr>
                  </w:pPr>
                </w:p>
              </w:tc>
              <w:tc>
                <w:tcPr>
                  <w:tcW w:w="326" w:type="pct"/>
                  <w:vMerge w:val="continue"/>
                  <w:vAlign w:val="center"/>
                </w:tcPr>
                <w:p>
                  <w:pPr>
                    <w:adjustRightInd w:val="0"/>
                    <w:snapToGrid w:val="0"/>
                    <w:spacing w:line="240" w:lineRule="auto"/>
                    <w:ind w:firstLine="0" w:firstLineChars="0"/>
                    <w:jc w:val="center"/>
                    <w:rPr>
                      <w:b/>
                      <w:bCs/>
                      <w:sz w:val="21"/>
                      <w:szCs w:val="21"/>
                    </w:rPr>
                  </w:pPr>
                </w:p>
              </w:tc>
              <w:tc>
                <w:tcPr>
                  <w:tcW w:w="487" w:type="pct"/>
                  <w:vMerge w:val="continue"/>
                  <w:vAlign w:val="center"/>
                </w:tcPr>
                <w:p>
                  <w:pPr>
                    <w:adjustRightInd w:val="0"/>
                    <w:snapToGrid w:val="0"/>
                    <w:spacing w:line="240" w:lineRule="auto"/>
                    <w:ind w:firstLine="0" w:firstLineChars="0"/>
                    <w:jc w:val="center"/>
                    <w:rPr>
                      <w:b/>
                      <w:bCs/>
                      <w:sz w:val="21"/>
                      <w:szCs w:val="21"/>
                    </w:rPr>
                  </w:pPr>
                </w:p>
              </w:tc>
              <w:tc>
                <w:tcPr>
                  <w:tcW w:w="488" w:type="pct"/>
                  <w:vAlign w:val="center"/>
                </w:tcPr>
                <w:p>
                  <w:pPr>
                    <w:adjustRightInd w:val="0"/>
                    <w:snapToGrid w:val="0"/>
                    <w:spacing w:line="240" w:lineRule="auto"/>
                    <w:ind w:firstLine="0" w:firstLineChars="0"/>
                    <w:jc w:val="center"/>
                    <w:rPr>
                      <w:b/>
                      <w:bCs/>
                      <w:sz w:val="21"/>
                      <w:szCs w:val="21"/>
                    </w:rPr>
                  </w:pPr>
                  <w:r>
                    <w:rPr>
                      <w:b/>
                      <w:bCs/>
                      <w:sz w:val="21"/>
                      <w:szCs w:val="21"/>
                    </w:rPr>
                    <w:t>声压级/dB(A)</w:t>
                  </w:r>
                </w:p>
              </w:tc>
              <w:tc>
                <w:tcPr>
                  <w:tcW w:w="431" w:type="pct"/>
                  <w:vAlign w:val="center"/>
                </w:tcPr>
                <w:p>
                  <w:pPr>
                    <w:adjustRightInd w:val="0"/>
                    <w:snapToGrid w:val="0"/>
                    <w:spacing w:line="240" w:lineRule="auto"/>
                    <w:ind w:firstLine="0" w:firstLineChars="0"/>
                    <w:jc w:val="center"/>
                    <w:rPr>
                      <w:b/>
                      <w:bCs/>
                      <w:sz w:val="21"/>
                      <w:szCs w:val="21"/>
                    </w:rPr>
                  </w:pPr>
                  <w:r>
                    <w:rPr>
                      <w:b/>
                      <w:bCs/>
                      <w:sz w:val="21"/>
                      <w:szCs w:val="21"/>
                    </w:rPr>
                    <w:t>建筑物外距离/m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175" w:type="pct"/>
                  <w:vMerge w:val="restart"/>
                  <w:vAlign w:val="center"/>
                </w:tcPr>
                <w:p>
                  <w:pPr>
                    <w:spacing w:line="240" w:lineRule="auto"/>
                    <w:ind w:firstLine="0" w:firstLineChars="0"/>
                    <w:jc w:val="center"/>
                    <w:rPr>
                      <w:sz w:val="21"/>
                      <w:szCs w:val="21"/>
                    </w:rPr>
                  </w:pPr>
                  <w:r>
                    <w:rPr>
                      <w:rFonts w:hint="eastAsia"/>
                      <w:sz w:val="21"/>
                      <w:szCs w:val="21"/>
                    </w:rPr>
                    <w:t>9</w:t>
                  </w:r>
                </w:p>
              </w:tc>
              <w:tc>
                <w:tcPr>
                  <w:tcW w:w="271" w:type="pct"/>
                  <w:vMerge w:val="restart"/>
                  <w:vAlign w:val="center"/>
                </w:tcPr>
                <w:p>
                  <w:pPr>
                    <w:spacing w:line="240" w:lineRule="auto"/>
                    <w:ind w:firstLine="0" w:firstLineChars="0"/>
                    <w:jc w:val="center"/>
                    <w:rPr>
                      <w:sz w:val="21"/>
                      <w:szCs w:val="21"/>
                      <w:u w:color="000000"/>
                    </w:rPr>
                  </w:pPr>
                  <w:r>
                    <w:rPr>
                      <w:sz w:val="21"/>
                      <w:szCs w:val="21"/>
                      <w:u w:color="000000"/>
                    </w:rPr>
                    <w:t>医院</w:t>
                  </w:r>
                </w:p>
              </w:tc>
              <w:tc>
                <w:tcPr>
                  <w:tcW w:w="325" w:type="pct"/>
                  <w:vMerge w:val="restart"/>
                  <w:vAlign w:val="center"/>
                </w:tcPr>
                <w:p>
                  <w:pPr>
                    <w:widowControl/>
                    <w:spacing w:line="240" w:lineRule="auto"/>
                    <w:ind w:firstLine="0" w:firstLineChars="0"/>
                    <w:jc w:val="center"/>
                    <w:rPr>
                      <w:sz w:val="21"/>
                      <w:szCs w:val="21"/>
                      <w:u w:color="000000"/>
                    </w:rPr>
                  </w:pPr>
                  <w:r>
                    <w:rPr>
                      <w:rFonts w:hint="eastAsia"/>
                      <w:sz w:val="21"/>
                      <w:szCs w:val="21"/>
                      <w:u w:color="000000"/>
                    </w:rPr>
                    <w:t>污水处理</w:t>
                  </w:r>
                  <w:r>
                    <w:rPr>
                      <w:rFonts w:hint="eastAsia"/>
                      <w:sz w:val="21"/>
                      <w:szCs w:val="21"/>
                    </w:rPr>
                    <w:t>反吸泵2台</w:t>
                  </w:r>
                </w:p>
              </w:tc>
              <w:tc>
                <w:tcPr>
                  <w:tcW w:w="380" w:type="pct"/>
                  <w:vMerge w:val="restart"/>
                  <w:vAlign w:val="center"/>
                </w:tcPr>
                <w:p>
                  <w:pPr>
                    <w:pStyle w:val="37"/>
                    <w:rPr>
                      <w:szCs w:val="21"/>
                    </w:rPr>
                  </w:pPr>
                  <w:r>
                    <w:rPr>
                      <w:rFonts w:hint="eastAsia"/>
                      <w:szCs w:val="21"/>
                    </w:rPr>
                    <w:t>63</w:t>
                  </w:r>
                </w:p>
              </w:tc>
              <w:tc>
                <w:tcPr>
                  <w:tcW w:w="380" w:type="pct"/>
                  <w:vMerge w:val="restart"/>
                  <w:vAlign w:val="center"/>
                </w:tcPr>
                <w:p>
                  <w:pPr>
                    <w:adjustRightInd w:val="0"/>
                    <w:snapToGrid w:val="0"/>
                    <w:spacing w:line="240" w:lineRule="auto"/>
                    <w:ind w:firstLine="0" w:firstLineChars="0"/>
                    <w:jc w:val="center"/>
                    <w:rPr>
                      <w:sz w:val="21"/>
                      <w:szCs w:val="21"/>
                    </w:rPr>
                  </w:pPr>
                  <w:r>
                    <w:rPr>
                      <w:sz w:val="21"/>
                      <w:szCs w:val="21"/>
                    </w:rPr>
                    <w:t>基础减振</w:t>
                  </w:r>
                </w:p>
                <w:p>
                  <w:pPr>
                    <w:adjustRightInd w:val="0"/>
                    <w:snapToGrid w:val="0"/>
                    <w:spacing w:line="240" w:lineRule="auto"/>
                    <w:ind w:firstLine="0" w:firstLineChars="0"/>
                    <w:jc w:val="center"/>
                    <w:rPr>
                      <w:sz w:val="21"/>
                      <w:szCs w:val="21"/>
                    </w:rPr>
                  </w:pPr>
                  <w:r>
                    <w:rPr>
                      <w:sz w:val="21"/>
                      <w:szCs w:val="21"/>
                    </w:rPr>
                    <w:t>厂房隔声</w:t>
                  </w:r>
                </w:p>
              </w:tc>
              <w:tc>
                <w:tcPr>
                  <w:tcW w:w="271" w:type="pct"/>
                  <w:vMerge w:val="restar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745.94</w:t>
                  </w:r>
                </w:p>
              </w:tc>
              <w:tc>
                <w:tcPr>
                  <w:tcW w:w="326" w:type="pct"/>
                  <w:vMerge w:val="restar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681.94</w:t>
                  </w:r>
                </w:p>
              </w:tc>
              <w:tc>
                <w:tcPr>
                  <w:tcW w:w="326" w:type="pct"/>
                  <w:vMerge w:val="restar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1</w:t>
                  </w:r>
                </w:p>
              </w:tc>
              <w:tc>
                <w:tcPr>
                  <w:tcW w:w="380"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33.51</w:t>
                  </w:r>
                </w:p>
              </w:tc>
              <w:tc>
                <w:tcPr>
                  <w:tcW w:w="433"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55.77</w:t>
                  </w:r>
                </w:p>
              </w:tc>
              <w:tc>
                <w:tcPr>
                  <w:tcW w:w="326" w:type="pct"/>
                  <w:vMerge w:val="restart"/>
                  <w:vAlign w:val="center"/>
                </w:tcPr>
                <w:p>
                  <w:pPr>
                    <w:adjustRightInd w:val="0"/>
                    <w:snapToGrid w:val="0"/>
                    <w:spacing w:line="240" w:lineRule="auto"/>
                    <w:ind w:firstLine="0" w:firstLineChars="0"/>
                    <w:jc w:val="center"/>
                    <w:rPr>
                      <w:sz w:val="21"/>
                      <w:szCs w:val="21"/>
                      <w:lang w:val="zh-CN"/>
                    </w:rPr>
                  </w:pPr>
                  <w:r>
                    <w:rPr>
                      <w:rFonts w:hint="eastAsia"/>
                      <w:sz w:val="21"/>
                      <w:szCs w:val="21"/>
                      <w:lang w:val="zh-CN"/>
                    </w:rPr>
                    <w:t>昼夜</w:t>
                  </w:r>
                </w:p>
              </w:tc>
              <w:tc>
                <w:tcPr>
                  <w:tcW w:w="487" w:type="pct"/>
                  <w:vMerge w:val="restart"/>
                  <w:vAlign w:val="center"/>
                </w:tcPr>
                <w:p>
                  <w:pPr>
                    <w:adjustRightInd w:val="0"/>
                    <w:snapToGrid w:val="0"/>
                    <w:spacing w:line="240" w:lineRule="auto"/>
                    <w:ind w:firstLine="0" w:firstLineChars="0"/>
                    <w:jc w:val="center"/>
                    <w:rPr>
                      <w:rFonts w:eastAsia="等线"/>
                      <w:sz w:val="21"/>
                      <w:szCs w:val="21"/>
                    </w:rPr>
                  </w:pPr>
                  <w:r>
                    <w:rPr>
                      <w:rFonts w:hint="eastAsia" w:eastAsia="等线"/>
                      <w:sz w:val="21"/>
                      <w:szCs w:val="21"/>
                    </w:rPr>
                    <w:t>26</w:t>
                  </w:r>
                </w:p>
              </w:tc>
              <w:tc>
                <w:tcPr>
                  <w:tcW w:w="488"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29.77</w:t>
                  </w:r>
                </w:p>
              </w:tc>
              <w:tc>
                <w:tcPr>
                  <w:tcW w:w="431" w:type="pct"/>
                  <w:vAlign w:val="center"/>
                </w:tcPr>
                <w:p>
                  <w:pPr>
                    <w:spacing w:line="240" w:lineRule="auto"/>
                    <w:ind w:firstLine="0" w:firstLineChars="0"/>
                    <w:jc w:val="center"/>
                    <w:rPr>
                      <w:rFonts w:eastAsia="等线"/>
                      <w:sz w:val="21"/>
                      <w:szCs w:val="21"/>
                    </w:rPr>
                  </w:pPr>
                  <w:r>
                    <w:rPr>
                      <w:rFonts w:eastAsia="等线"/>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175" w:type="pct"/>
                  <w:vMerge w:val="continue"/>
                  <w:vAlign w:val="center"/>
                </w:tcPr>
                <w:p>
                  <w:pPr>
                    <w:widowControl/>
                    <w:spacing w:line="240" w:lineRule="auto"/>
                    <w:ind w:firstLine="0" w:firstLineChars="0"/>
                    <w:jc w:val="center"/>
                    <w:rPr>
                      <w:sz w:val="21"/>
                      <w:szCs w:val="21"/>
                      <w:u w:color="000000"/>
                    </w:rPr>
                  </w:pPr>
                </w:p>
              </w:tc>
              <w:tc>
                <w:tcPr>
                  <w:tcW w:w="271" w:type="pct"/>
                  <w:vMerge w:val="continue"/>
                  <w:vAlign w:val="center"/>
                </w:tcPr>
                <w:p>
                  <w:pPr>
                    <w:spacing w:line="240" w:lineRule="auto"/>
                    <w:ind w:firstLine="0" w:firstLineChars="0"/>
                    <w:jc w:val="center"/>
                    <w:rPr>
                      <w:sz w:val="21"/>
                      <w:szCs w:val="21"/>
                      <w:u w:color="000000"/>
                    </w:rPr>
                  </w:pPr>
                </w:p>
              </w:tc>
              <w:tc>
                <w:tcPr>
                  <w:tcW w:w="325" w:type="pct"/>
                  <w:vMerge w:val="continue"/>
                  <w:vAlign w:val="center"/>
                </w:tcPr>
                <w:p>
                  <w:pPr>
                    <w:widowControl/>
                    <w:spacing w:line="240" w:lineRule="auto"/>
                    <w:ind w:firstLine="0" w:firstLineChars="0"/>
                    <w:jc w:val="center"/>
                    <w:rPr>
                      <w:sz w:val="21"/>
                      <w:szCs w:val="21"/>
                    </w:rPr>
                  </w:pPr>
                </w:p>
              </w:tc>
              <w:tc>
                <w:tcPr>
                  <w:tcW w:w="380" w:type="pct"/>
                  <w:vMerge w:val="continue"/>
                  <w:vAlign w:val="center"/>
                </w:tcPr>
                <w:p>
                  <w:pPr>
                    <w:pStyle w:val="37"/>
                    <w:rPr>
                      <w:szCs w:val="21"/>
                    </w:rPr>
                  </w:pPr>
                </w:p>
              </w:tc>
              <w:tc>
                <w:tcPr>
                  <w:tcW w:w="380" w:type="pct"/>
                  <w:vMerge w:val="continue"/>
                  <w:vAlign w:val="center"/>
                </w:tcPr>
                <w:p>
                  <w:pPr>
                    <w:adjustRightInd w:val="0"/>
                    <w:snapToGrid w:val="0"/>
                    <w:spacing w:line="240" w:lineRule="auto"/>
                    <w:ind w:firstLine="0" w:firstLineChars="0"/>
                    <w:jc w:val="center"/>
                    <w:rPr>
                      <w:sz w:val="21"/>
                      <w:szCs w:val="21"/>
                    </w:rPr>
                  </w:pPr>
                </w:p>
              </w:tc>
              <w:tc>
                <w:tcPr>
                  <w:tcW w:w="271" w:type="pct"/>
                  <w:vMerge w:val="continue"/>
                  <w:vAlign w:val="center"/>
                </w:tcPr>
                <w:p>
                  <w:pPr>
                    <w:spacing w:line="240" w:lineRule="auto"/>
                    <w:ind w:firstLine="0" w:firstLineChars="0"/>
                    <w:jc w:val="center"/>
                    <w:rPr>
                      <w:rFonts w:eastAsia="等线"/>
                      <w:sz w:val="21"/>
                      <w:szCs w:val="21"/>
                    </w:rPr>
                  </w:pPr>
                </w:p>
              </w:tc>
              <w:tc>
                <w:tcPr>
                  <w:tcW w:w="326" w:type="pct"/>
                  <w:vMerge w:val="continue"/>
                  <w:vAlign w:val="center"/>
                </w:tcPr>
                <w:p>
                  <w:pPr>
                    <w:spacing w:line="240" w:lineRule="auto"/>
                    <w:ind w:firstLine="0" w:firstLineChars="0"/>
                    <w:jc w:val="center"/>
                    <w:rPr>
                      <w:rFonts w:eastAsia="等线"/>
                      <w:sz w:val="21"/>
                      <w:szCs w:val="21"/>
                    </w:rPr>
                  </w:pPr>
                </w:p>
              </w:tc>
              <w:tc>
                <w:tcPr>
                  <w:tcW w:w="326" w:type="pct"/>
                  <w:vMerge w:val="continue"/>
                  <w:vAlign w:val="center"/>
                </w:tcPr>
                <w:p>
                  <w:pPr>
                    <w:spacing w:line="240" w:lineRule="auto"/>
                    <w:ind w:firstLine="0" w:firstLineChars="0"/>
                    <w:jc w:val="center"/>
                    <w:rPr>
                      <w:rFonts w:eastAsia="等线"/>
                      <w:sz w:val="21"/>
                      <w:szCs w:val="21"/>
                    </w:rPr>
                  </w:pPr>
                </w:p>
              </w:tc>
              <w:tc>
                <w:tcPr>
                  <w:tcW w:w="380"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12.26</w:t>
                  </w:r>
                </w:p>
              </w:tc>
              <w:tc>
                <w:tcPr>
                  <w:tcW w:w="433"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55.78</w:t>
                  </w:r>
                </w:p>
              </w:tc>
              <w:tc>
                <w:tcPr>
                  <w:tcW w:w="326" w:type="pct"/>
                  <w:vMerge w:val="continue"/>
                  <w:vAlign w:val="center"/>
                </w:tcPr>
                <w:p>
                  <w:pPr>
                    <w:adjustRightInd w:val="0"/>
                    <w:snapToGrid w:val="0"/>
                    <w:spacing w:line="240" w:lineRule="auto"/>
                    <w:ind w:firstLine="0" w:firstLineChars="0"/>
                    <w:jc w:val="center"/>
                    <w:rPr>
                      <w:sz w:val="21"/>
                      <w:szCs w:val="21"/>
                      <w:lang w:val="zh-CN"/>
                    </w:rPr>
                  </w:pPr>
                </w:p>
              </w:tc>
              <w:tc>
                <w:tcPr>
                  <w:tcW w:w="487" w:type="pct"/>
                  <w:vMerge w:val="continue"/>
                  <w:vAlign w:val="center"/>
                </w:tcPr>
                <w:p>
                  <w:pPr>
                    <w:adjustRightInd w:val="0"/>
                    <w:snapToGrid w:val="0"/>
                    <w:spacing w:line="240" w:lineRule="auto"/>
                    <w:ind w:firstLine="0" w:firstLineChars="0"/>
                    <w:jc w:val="center"/>
                    <w:rPr>
                      <w:rFonts w:eastAsia="等线"/>
                      <w:sz w:val="21"/>
                      <w:szCs w:val="21"/>
                    </w:rPr>
                  </w:pPr>
                </w:p>
              </w:tc>
              <w:tc>
                <w:tcPr>
                  <w:tcW w:w="488"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29.78</w:t>
                  </w:r>
                </w:p>
              </w:tc>
              <w:tc>
                <w:tcPr>
                  <w:tcW w:w="431" w:type="pct"/>
                  <w:vAlign w:val="center"/>
                </w:tcPr>
                <w:p>
                  <w:pPr>
                    <w:spacing w:line="240" w:lineRule="auto"/>
                    <w:ind w:firstLine="0" w:firstLineChars="0"/>
                    <w:jc w:val="center"/>
                    <w:rPr>
                      <w:rFonts w:eastAsia="等线"/>
                      <w:sz w:val="21"/>
                      <w:szCs w:val="21"/>
                    </w:rPr>
                  </w:pPr>
                  <w:r>
                    <w:rPr>
                      <w:rFonts w:eastAsia="等线"/>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0" w:hRule="atLeast"/>
                <w:jc w:val="center"/>
              </w:trPr>
              <w:tc>
                <w:tcPr>
                  <w:tcW w:w="175" w:type="pct"/>
                  <w:vMerge w:val="continue"/>
                  <w:vAlign w:val="center"/>
                </w:tcPr>
                <w:p>
                  <w:pPr>
                    <w:widowControl/>
                    <w:spacing w:line="240" w:lineRule="auto"/>
                    <w:ind w:firstLine="0" w:firstLineChars="0"/>
                    <w:jc w:val="center"/>
                    <w:rPr>
                      <w:sz w:val="21"/>
                      <w:szCs w:val="21"/>
                      <w:u w:color="000000"/>
                    </w:rPr>
                  </w:pPr>
                </w:p>
              </w:tc>
              <w:tc>
                <w:tcPr>
                  <w:tcW w:w="271" w:type="pct"/>
                  <w:vMerge w:val="continue"/>
                  <w:vAlign w:val="center"/>
                </w:tcPr>
                <w:p>
                  <w:pPr>
                    <w:spacing w:line="240" w:lineRule="auto"/>
                    <w:ind w:firstLine="0" w:firstLineChars="0"/>
                    <w:jc w:val="center"/>
                    <w:rPr>
                      <w:sz w:val="21"/>
                      <w:szCs w:val="21"/>
                      <w:u w:color="000000"/>
                    </w:rPr>
                  </w:pPr>
                </w:p>
              </w:tc>
              <w:tc>
                <w:tcPr>
                  <w:tcW w:w="325" w:type="pct"/>
                  <w:vMerge w:val="continue"/>
                  <w:vAlign w:val="center"/>
                </w:tcPr>
                <w:p>
                  <w:pPr>
                    <w:widowControl/>
                    <w:spacing w:line="240" w:lineRule="auto"/>
                    <w:ind w:firstLine="0" w:firstLineChars="0"/>
                    <w:jc w:val="center"/>
                    <w:rPr>
                      <w:sz w:val="21"/>
                      <w:szCs w:val="21"/>
                    </w:rPr>
                  </w:pPr>
                </w:p>
              </w:tc>
              <w:tc>
                <w:tcPr>
                  <w:tcW w:w="380" w:type="pct"/>
                  <w:vMerge w:val="continue"/>
                  <w:vAlign w:val="center"/>
                </w:tcPr>
                <w:p>
                  <w:pPr>
                    <w:pStyle w:val="37"/>
                    <w:rPr>
                      <w:szCs w:val="21"/>
                    </w:rPr>
                  </w:pPr>
                </w:p>
              </w:tc>
              <w:tc>
                <w:tcPr>
                  <w:tcW w:w="380" w:type="pct"/>
                  <w:vMerge w:val="continue"/>
                  <w:vAlign w:val="center"/>
                </w:tcPr>
                <w:p>
                  <w:pPr>
                    <w:adjustRightInd w:val="0"/>
                    <w:snapToGrid w:val="0"/>
                    <w:spacing w:line="240" w:lineRule="auto"/>
                    <w:ind w:firstLine="0" w:firstLineChars="0"/>
                    <w:jc w:val="center"/>
                    <w:rPr>
                      <w:sz w:val="21"/>
                      <w:szCs w:val="21"/>
                    </w:rPr>
                  </w:pPr>
                </w:p>
              </w:tc>
              <w:tc>
                <w:tcPr>
                  <w:tcW w:w="271" w:type="pct"/>
                  <w:vMerge w:val="continue"/>
                  <w:vAlign w:val="center"/>
                </w:tcPr>
                <w:p>
                  <w:pPr>
                    <w:spacing w:line="240" w:lineRule="auto"/>
                    <w:ind w:firstLine="0" w:firstLineChars="0"/>
                    <w:jc w:val="center"/>
                    <w:rPr>
                      <w:rFonts w:eastAsia="等线"/>
                      <w:sz w:val="21"/>
                      <w:szCs w:val="21"/>
                    </w:rPr>
                  </w:pPr>
                </w:p>
              </w:tc>
              <w:tc>
                <w:tcPr>
                  <w:tcW w:w="326" w:type="pct"/>
                  <w:vMerge w:val="continue"/>
                  <w:vAlign w:val="center"/>
                </w:tcPr>
                <w:p>
                  <w:pPr>
                    <w:spacing w:line="240" w:lineRule="auto"/>
                    <w:ind w:firstLine="0" w:firstLineChars="0"/>
                    <w:jc w:val="center"/>
                    <w:rPr>
                      <w:rFonts w:eastAsia="等线"/>
                      <w:sz w:val="21"/>
                      <w:szCs w:val="21"/>
                    </w:rPr>
                  </w:pPr>
                </w:p>
              </w:tc>
              <w:tc>
                <w:tcPr>
                  <w:tcW w:w="326" w:type="pct"/>
                  <w:vMerge w:val="continue"/>
                  <w:vAlign w:val="center"/>
                </w:tcPr>
                <w:p>
                  <w:pPr>
                    <w:spacing w:line="240" w:lineRule="auto"/>
                    <w:ind w:firstLine="0" w:firstLineChars="0"/>
                    <w:jc w:val="center"/>
                    <w:rPr>
                      <w:rFonts w:eastAsia="等线"/>
                      <w:sz w:val="21"/>
                      <w:szCs w:val="21"/>
                    </w:rPr>
                  </w:pPr>
                </w:p>
              </w:tc>
              <w:tc>
                <w:tcPr>
                  <w:tcW w:w="380"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20.19</w:t>
                  </w:r>
                </w:p>
              </w:tc>
              <w:tc>
                <w:tcPr>
                  <w:tcW w:w="433"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55.78</w:t>
                  </w:r>
                </w:p>
              </w:tc>
              <w:tc>
                <w:tcPr>
                  <w:tcW w:w="326" w:type="pct"/>
                  <w:vMerge w:val="continue"/>
                  <w:vAlign w:val="center"/>
                </w:tcPr>
                <w:p>
                  <w:pPr>
                    <w:adjustRightInd w:val="0"/>
                    <w:snapToGrid w:val="0"/>
                    <w:spacing w:line="240" w:lineRule="auto"/>
                    <w:ind w:firstLine="0" w:firstLineChars="0"/>
                    <w:jc w:val="center"/>
                    <w:rPr>
                      <w:sz w:val="21"/>
                      <w:szCs w:val="21"/>
                      <w:lang w:val="zh-CN"/>
                    </w:rPr>
                  </w:pPr>
                </w:p>
              </w:tc>
              <w:tc>
                <w:tcPr>
                  <w:tcW w:w="487" w:type="pct"/>
                  <w:vMerge w:val="continue"/>
                  <w:vAlign w:val="center"/>
                </w:tcPr>
                <w:p>
                  <w:pPr>
                    <w:adjustRightInd w:val="0"/>
                    <w:snapToGrid w:val="0"/>
                    <w:spacing w:line="240" w:lineRule="auto"/>
                    <w:ind w:firstLine="0" w:firstLineChars="0"/>
                    <w:jc w:val="center"/>
                    <w:rPr>
                      <w:rFonts w:eastAsia="等线"/>
                      <w:sz w:val="21"/>
                      <w:szCs w:val="21"/>
                    </w:rPr>
                  </w:pPr>
                </w:p>
              </w:tc>
              <w:tc>
                <w:tcPr>
                  <w:tcW w:w="488"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29.78</w:t>
                  </w:r>
                </w:p>
              </w:tc>
              <w:tc>
                <w:tcPr>
                  <w:tcW w:w="431" w:type="pct"/>
                  <w:vAlign w:val="center"/>
                </w:tcPr>
                <w:p>
                  <w:pPr>
                    <w:spacing w:line="240" w:lineRule="auto"/>
                    <w:ind w:firstLine="0" w:firstLineChars="0"/>
                    <w:jc w:val="center"/>
                    <w:rPr>
                      <w:rFonts w:eastAsia="等线"/>
                      <w:sz w:val="21"/>
                      <w:szCs w:val="21"/>
                    </w:rPr>
                  </w:pPr>
                  <w:r>
                    <w:rPr>
                      <w:rFonts w:hint="eastAsia" w:eastAsia="等线"/>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175" w:type="pct"/>
                  <w:vMerge w:val="continue"/>
                  <w:vAlign w:val="center"/>
                </w:tcPr>
                <w:p>
                  <w:pPr>
                    <w:widowControl/>
                    <w:spacing w:line="240" w:lineRule="auto"/>
                    <w:ind w:firstLine="0" w:firstLineChars="0"/>
                    <w:jc w:val="center"/>
                    <w:rPr>
                      <w:sz w:val="21"/>
                      <w:szCs w:val="21"/>
                      <w:u w:color="000000"/>
                    </w:rPr>
                  </w:pPr>
                </w:p>
              </w:tc>
              <w:tc>
                <w:tcPr>
                  <w:tcW w:w="271" w:type="pct"/>
                  <w:vMerge w:val="continue"/>
                  <w:vAlign w:val="center"/>
                </w:tcPr>
                <w:p>
                  <w:pPr>
                    <w:spacing w:line="240" w:lineRule="auto"/>
                    <w:ind w:firstLine="0" w:firstLineChars="0"/>
                    <w:jc w:val="center"/>
                    <w:rPr>
                      <w:sz w:val="21"/>
                      <w:szCs w:val="21"/>
                      <w:u w:color="000000"/>
                    </w:rPr>
                  </w:pPr>
                </w:p>
              </w:tc>
              <w:tc>
                <w:tcPr>
                  <w:tcW w:w="325" w:type="pct"/>
                  <w:vMerge w:val="continue"/>
                  <w:vAlign w:val="center"/>
                </w:tcPr>
                <w:p>
                  <w:pPr>
                    <w:widowControl/>
                    <w:spacing w:line="240" w:lineRule="auto"/>
                    <w:ind w:firstLine="0" w:firstLineChars="0"/>
                    <w:jc w:val="center"/>
                    <w:rPr>
                      <w:sz w:val="21"/>
                      <w:szCs w:val="21"/>
                    </w:rPr>
                  </w:pPr>
                </w:p>
              </w:tc>
              <w:tc>
                <w:tcPr>
                  <w:tcW w:w="380" w:type="pct"/>
                  <w:vMerge w:val="continue"/>
                  <w:vAlign w:val="center"/>
                </w:tcPr>
                <w:p>
                  <w:pPr>
                    <w:pStyle w:val="37"/>
                    <w:rPr>
                      <w:szCs w:val="21"/>
                    </w:rPr>
                  </w:pPr>
                </w:p>
              </w:tc>
              <w:tc>
                <w:tcPr>
                  <w:tcW w:w="380" w:type="pct"/>
                  <w:vMerge w:val="continue"/>
                  <w:vAlign w:val="center"/>
                </w:tcPr>
                <w:p>
                  <w:pPr>
                    <w:adjustRightInd w:val="0"/>
                    <w:snapToGrid w:val="0"/>
                    <w:spacing w:line="240" w:lineRule="auto"/>
                    <w:ind w:firstLine="0" w:firstLineChars="0"/>
                    <w:jc w:val="center"/>
                    <w:rPr>
                      <w:sz w:val="21"/>
                      <w:szCs w:val="21"/>
                    </w:rPr>
                  </w:pPr>
                </w:p>
              </w:tc>
              <w:tc>
                <w:tcPr>
                  <w:tcW w:w="271" w:type="pct"/>
                  <w:vMerge w:val="continue"/>
                  <w:vAlign w:val="center"/>
                </w:tcPr>
                <w:p>
                  <w:pPr>
                    <w:spacing w:line="240" w:lineRule="auto"/>
                    <w:ind w:firstLine="0" w:firstLineChars="0"/>
                    <w:jc w:val="center"/>
                    <w:rPr>
                      <w:rFonts w:eastAsia="等线"/>
                      <w:sz w:val="21"/>
                      <w:szCs w:val="21"/>
                    </w:rPr>
                  </w:pPr>
                </w:p>
              </w:tc>
              <w:tc>
                <w:tcPr>
                  <w:tcW w:w="326" w:type="pct"/>
                  <w:vMerge w:val="continue"/>
                  <w:vAlign w:val="center"/>
                </w:tcPr>
                <w:p>
                  <w:pPr>
                    <w:spacing w:line="240" w:lineRule="auto"/>
                    <w:ind w:firstLine="0" w:firstLineChars="0"/>
                    <w:jc w:val="center"/>
                    <w:rPr>
                      <w:rFonts w:eastAsia="等线"/>
                      <w:sz w:val="21"/>
                      <w:szCs w:val="21"/>
                    </w:rPr>
                  </w:pPr>
                </w:p>
              </w:tc>
              <w:tc>
                <w:tcPr>
                  <w:tcW w:w="326" w:type="pct"/>
                  <w:vMerge w:val="continue"/>
                  <w:vAlign w:val="center"/>
                </w:tcPr>
                <w:p>
                  <w:pPr>
                    <w:spacing w:line="240" w:lineRule="auto"/>
                    <w:ind w:firstLine="0" w:firstLineChars="0"/>
                    <w:jc w:val="center"/>
                    <w:rPr>
                      <w:rFonts w:eastAsia="等线"/>
                      <w:sz w:val="21"/>
                      <w:szCs w:val="21"/>
                    </w:rPr>
                  </w:pPr>
                </w:p>
              </w:tc>
              <w:tc>
                <w:tcPr>
                  <w:tcW w:w="380"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29.14</w:t>
                  </w:r>
                </w:p>
              </w:tc>
              <w:tc>
                <w:tcPr>
                  <w:tcW w:w="433"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55.77</w:t>
                  </w:r>
                </w:p>
              </w:tc>
              <w:tc>
                <w:tcPr>
                  <w:tcW w:w="326" w:type="pct"/>
                  <w:vMerge w:val="continue"/>
                  <w:vAlign w:val="center"/>
                </w:tcPr>
                <w:p>
                  <w:pPr>
                    <w:adjustRightInd w:val="0"/>
                    <w:snapToGrid w:val="0"/>
                    <w:spacing w:line="240" w:lineRule="auto"/>
                    <w:ind w:firstLine="0" w:firstLineChars="0"/>
                    <w:jc w:val="center"/>
                    <w:rPr>
                      <w:sz w:val="21"/>
                      <w:szCs w:val="21"/>
                      <w:lang w:val="zh-CN"/>
                    </w:rPr>
                  </w:pPr>
                </w:p>
              </w:tc>
              <w:tc>
                <w:tcPr>
                  <w:tcW w:w="487" w:type="pct"/>
                  <w:vMerge w:val="continue"/>
                  <w:vAlign w:val="center"/>
                </w:tcPr>
                <w:p>
                  <w:pPr>
                    <w:adjustRightInd w:val="0"/>
                    <w:snapToGrid w:val="0"/>
                    <w:spacing w:line="240" w:lineRule="auto"/>
                    <w:ind w:firstLine="0" w:firstLineChars="0"/>
                    <w:jc w:val="center"/>
                    <w:rPr>
                      <w:rFonts w:eastAsia="等线"/>
                      <w:sz w:val="21"/>
                      <w:szCs w:val="21"/>
                    </w:rPr>
                  </w:pPr>
                </w:p>
              </w:tc>
              <w:tc>
                <w:tcPr>
                  <w:tcW w:w="488"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29.77</w:t>
                  </w:r>
                </w:p>
              </w:tc>
              <w:tc>
                <w:tcPr>
                  <w:tcW w:w="431" w:type="pct"/>
                  <w:vAlign w:val="center"/>
                </w:tcPr>
                <w:p>
                  <w:pPr>
                    <w:spacing w:line="240" w:lineRule="auto"/>
                    <w:ind w:firstLine="0" w:firstLineChars="0"/>
                    <w:jc w:val="center"/>
                    <w:rPr>
                      <w:rFonts w:eastAsia="等线"/>
                      <w:sz w:val="21"/>
                      <w:szCs w:val="21"/>
                    </w:rPr>
                  </w:pPr>
                  <w:r>
                    <w:rPr>
                      <w:rFonts w:eastAsia="等线"/>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175" w:type="pct"/>
                  <w:vMerge w:val="continue"/>
                  <w:vAlign w:val="center"/>
                </w:tcPr>
                <w:p>
                  <w:pPr>
                    <w:widowControl/>
                    <w:spacing w:line="240" w:lineRule="auto"/>
                    <w:ind w:firstLine="0" w:firstLineChars="0"/>
                    <w:jc w:val="center"/>
                    <w:rPr>
                      <w:sz w:val="21"/>
                      <w:szCs w:val="21"/>
                      <w:u w:color="000000"/>
                    </w:rPr>
                  </w:pPr>
                </w:p>
              </w:tc>
              <w:tc>
                <w:tcPr>
                  <w:tcW w:w="271" w:type="pct"/>
                  <w:vMerge w:val="continue"/>
                  <w:vAlign w:val="center"/>
                </w:tcPr>
                <w:p>
                  <w:pPr>
                    <w:spacing w:line="240" w:lineRule="auto"/>
                    <w:ind w:firstLine="0" w:firstLineChars="0"/>
                    <w:jc w:val="center"/>
                    <w:rPr>
                      <w:sz w:val="21"/>
                      <w:szCs w:val="21"/>
                      <w:u w:color="000000"/>
                    </w:rPr>
                  </w:pPr>
                </w:p>
              </w:tc>
              <w:tc>
                <w:tcPr>
                  <w:tcW w:w="325" w:type="pct"/>
                  <w:vMerge w:val="continue"/>
                  <w:vAlign w:val="center"/>
                </w:tcPr>
                <w:p>
                  <w:pPr>
                    <w:widowControl/>
                    <w:spacing w:line="240" w:lineRule="auto"/>
                    <w:ind w:firstLine="0" w:firstLineChars="0"/>
                    <w:jc w:val="center"/>
                    <w:rPr>
                      <w:sz w:val="21"/>
                      <w:szCs w:val="21"/>
                    </w:rPr>
                  </w:pPr>
                </w:p>
              </w:tc>
              <w:tc>
                <w:tcPr>
                  <w:tcW w:w="380" w:type="pct"/>
                  <w:vMerge w:val="continue"/>
                  <w:vAlign w:val="center"/>
                </w:tcPr>
                <w:p>
                  <w:pPr>
                    <w:pStyle w:val="37"/>
                    <w:rPr>
                      <w:szCs w:val="21"/>
                    </w:rPr>
                  </w:pPr>
                </w:p>
              </w:tc>
              <w:tc>
                <w:tcPr>
                  <w:tcW w:w="380" w:type="pct"/>
                  <w:vMerge w:val="continue"/>
                  <w:vAlign w:val="center"/>
                </w:tcPr>
                <w:p>
                  <w:pPr>
                    <w:adjustRightInd w:val="0"/>
                    <w:snapToGrid w:val="0"/>
                    <w:spacing w:line="240" w:lineRule="auto"/>
                    <w:ind w:firstLine="0" w:firstLineChars="0"/>
                    <w:jc w:val="center"/>
                    <w:rPr>
                      <w:sz w:val="21"/>
                      <w:szCs w:val="21"/>
                    </w:rPr>
                  </w:pPr>
                </w:p>
              </w:tc>
              <w:tc>
                <w:tcPr>
                  <w:tcW w:w="271" w:type="pct"/>
                  <w:vMerge w:val="continue"/>
                  <w:vAlign w:val="center"/>
                </w:tcPr>
                <w:p>
                  <w:pPr>
                    <w:spacing w:line="240" w:lineRule="auto"/>
                    <w:ind w:firstLine="0" w:firstLineChars="0"/>
                    <w:jc w:val="center"/>
                    <w:rPr>
                      <w:rFonts w:eastAsia="等线"/>
                      <w:sz w:val="21"/>
                      <w:szCs w:val="21"/>
                    </w:rPr>
                  </w:pPr>
                </w:p>
              </w:tc>
              <w:tc>
                <w:tcPr>
                  <w:tcW w:w="326" w:type="pct"/>
                  <w:vMerge w:val="continue"/>
                  <w:vAlign w:val="center"/>
                </w:tcPr>
                <w:p>
                  <w:pPr>
                    <w:spacing w:line="240" w:lineRule="auto"/>
                    <w:ind w:firstLine="0" w:firstLineChars="0"/>
                    <w:jc w:val="center"/>
                    <w:rPr>
                      <w:rFonts w:eastAsia="等线"/>
                      <w:sz w:val="21"/>
                      <w:szCs w:val="21"/>
                    </w:rPr>
                  </w:pPr>
                </w:p>
              </w:tc>
              <w:tc>
                <w:tcPr>
                  <w:tcW w:w="326" w:type="pct"/>
                  <w:vMerge w:val="continue"/>
                  <w:vAlign w:val="center"/>
                </w:tcPr>
                <w:p>
                  <w:pPr>
                    <w:spacing w:line="240" w:lineRule="auto"/>
                    <w:ind w:firstLine="0" w:firstLineChars="0"/>
                    <w:jc w:val="center"/>
                    <w:rPr>
                      <w:rFonts w:eastAsia="等线"/>
                      <w:sz w:val="21"/>
                      <w:szCs w:val="21"/>
                    </w:rPr>
                  </w:pPr>
                </w:p>
              </w:tc>
              <w:tc>
                <w:tcPr>
                  <w:tcW w:w="380"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35.89</w:t>
                  </w:r>
                </w:p>
              </w:tc>
              <w:tc>
                <w:tcPr>
                  <w:tcW w:w="433"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55.77</w:t>
                  </w:r>
                </w:p>
              </w:tc>
              <w:tc>
                <w:tcPr>
                  <w:tcW w:w="326" w:type="pct"/>
                  <w:vMerge w:val="continue"/>
                  <w:vAlign w:val="center"/>
                </w:tcPr>
                <w:p>
                  <w:pPr>
                    <w:adjustRightInd w:val="0"/>
                    <w:snapToGrid w:val="0"/>
                    <w:spacing w:line="240" w:lineRule="auto"/>
                    <w:ind w:firstLine="0" w:firstLineChars="0"/>
                    <w:jc w:val="center"/>
                    <w:rPr>
                      <w:sz w:val="21"/>
                      <w:szCs w:val="21"/>
                      <w:lang w:val="zh-CN"/>
                    </w:rPr>
                  </w:pPr>
                </w:p>
              </w:tc>
              <w:tc>
                <w:tcPr>
                  <w:tcW w:w="487" w:type="pct"/>
                  <w:vMerge w:val="continue"/>
                  <w:vAlign w:val="center"/>
                </w:tcPr>
                <w:p>
                  <w:pPr>
                    <w:adjustRightInd w:val="0"/>
                    <w:snapToGrid w:val="0"/>
                    <w:spacing w:line="240" w:lineRule="auto"/>
                    <w:ind w:firstLine="0" w:firstLineChars="0"/>
                    <w:jc w:val="center"/>
                    <w:rPr>
                      <w:rFonts w:eastAsia="等线"/>
                      <w:sz w:val="21"/>
                      <w:szCs w:val="21"/>
                    </w:rPr>
                  </w:pPr>
                </w:p>
              </w:tc>
              <w:tc>
                <w:tcPr>
                  <w:tcW w:w="488" w:type="pct"/>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29.77</w:t>
                  </w:r>
                </w:p>
              </w:tc>
              <w:tc>
                <w:tcPr>
                  <w:tcW w:w="431" w:type="pct"/>
                  <w:vAlign w:val="center"/>
                </w:tcPr>
                <w:p>
                  <w:pPr>
                    <w:spacing w:line="240" w:lineRule="auto"/>
                    <w:ind w:firstLine="0" w:firstLineChars="0"/>
                    <w:jc w:val="center"/>
                    <w:rPr>
                      <w:rFonts w:eastAsia="等线"/>
                      <w:sz w:val="21"/>
                      <w:szCs w:val="21"/>
                    </w:rPr>
                  </w:pPr>
                  <w:r>
                    <w:rPr>
                      <w:rFonts w:eastAsia="等线"/>
                      <w:sz w:val="21"/>
                      <w:szCs w:val="21"/>
                    </w:rPr>
                    <w:t>1</w:t>
                  </w:r>
                </w:p>
              </w:tc>
            </w:tr>
          </w:tbl>
          <w:p>
            <w:pPr>
              <w:pStyle w:val="14"/>
              <w:rPr>
                <w:sz w:val="21"/>
              </w:rPr>
            </w:pPr>
            <w:r>
              <w:rPr>
                <w:rFonts w:hint="eastAsia"/>
              </w:rPr>
              <w:t xml:space="preserve">表32     室外噪声源强及治理措施一览表   </w:t>
            </w:r>
            <w:r>
              <w:rPr>
                <w:rFonts w:hint="eastAsia"/>
                <w:sz w:val="21"/>
              </w:rPr>
              <w:t>单位：dB（A）</w:t>
            </w:r>
          </w:p>
          <w:tbl>
            <w:tblPr>
              <w:tblStyle w:val="1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2214"/>
              <w:gridCol w:w="1105"/>
              <w:gridCol w:w="1660"/>
              <w:gridCol w:w="1660"/>
              <w:gridCol w:w="1660"/>
              <w:gridCol w:w="1286"/>
              <w:gridCol w:w="2034"/>
              <w:gridCol w:w="14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2214" w:type="dxa"/>
                  <w:vMerge w:val="restart"/>
                  <w:vAlign w:val="center"/>
                </w:tcPr>
                <w:p>
                  <w:pPr>
                    <w:spacing w:line="240" w:lineRule="auto"/>
                    <w:ind w:firstLine="0" w:firstLineChars="0"/>
                    <w:jc w:val="center"/>
                    <w:rPr>
                      <w:sz w:val="21"/>
                      <w:szCs w:val="21"/>
                      <w:lang w:val="zh-CN"/>
                    </w:rPr>
                  </w:pPr>
                  <w:r>
                    <w:rPr>
                      <w:rFonts w:hint="eastAsia"/>
                      <w:sz w:val="21"/>
                      <w:szCs w:val="21"/>
                      <w:lang w:val="zh-CN"/>
                    </w:rPr>
                    <w:t>噪声源</w:t>
                  </w:r>
                </w:p>
              </w:tc>
              <w:tc>
                <w:tcPr>
                  <w:tcW w:w="1105" w:type="dxa"/>
                  <w:vMerge w:val="restart"/>
                  <w:vAlign w:val="center"/>
                </w:tcPr>
                <w:p>
                  <w:pPr>
                    <w:spacing w:line="240" w:lineRule="auto"/>
                    <w:ind w:firstLine="0" w:firstLineChars="0"/>
                    <w:jc w:val="center"/>
                    <w:rPr>
                      <w:sz w:val="21"/>
                      <w:szCs w:val="21"/>
                      <w:lang w:val="zh-CN"/>
                    </w:rPr>
                  </w:pPr>
                  <w:r>
                    <w:rPr>
                      <w:rFonts w:hint="eastAsia"/>
                      <w:sz w:val="21"/>
                      <w:szCs w:val="21"/>
                      <w:lang w:val="zh-CN"/>
                    </w:rPr>
                    <w:t>型号</w:t>
                  </w:r>
                </w:p>
              </w:tc>
              <w:tc>
                <w:tcPr>
                  <w:tcW w:w="4980" w:type="dxa"/>
                  <w:gridSpan w:val="3"/>
                  <w:vAlign w:val="center"/>
                </w:tcPr>
                <w:p>
                  <w:pPr>
                    <w:spacing w:line="240" w:lineRule="auto"/>
                    <w:ind w:firstLine="0" w:firstLineChars="0"/>
                    <w:jc w:val="center"/>
                    <w:rPr>
                      <w:sz w:val="21"/>
                      <w:szCs w:val="21"/>
                      <w:lang w:val="zh-CN"/>
                    </w:rPr>
                  </w:pPr>
                  <w:r>
                    <w:rPr>
                      <w:rFonts w:hint="eastAsia"/>
                      <w:sz w:val="21"/>
                      <w:szCs w:val="21"/>
                      <w:lang w:val="zh-CN"/>
                    </w:rPr>
                    <w:t>空间相对位置m</w:t>
                  </w:r>
                </w:p>
              </w:tc>
              <w:tc>
                <w:tcPr>
                  <w:tcW w:w="1286" w:type="dxa"/>
                  <w:vMerge w:val="restart"/>
                  <w:vAlign w:val="center"/>
                </w:tcPr>
                <w:p>
                  <w:pPr>
                    <w:spacing w:line="240" w:lineRule="auto"/>
                    <w:ind w:firstLine="0" w:firstLineChars="0"/>
                    <w:jc w:val="center"/>
                    <w:rPr>
                      <w:sz w:val="21"/>
                      <w:szCs w:val="21"/>
                      <w:lang w:val="zh-CN"/>
                    </w:rPr>
                  </w:pPr>
                  <w:r>
                    <w:rPr>
                      <w:rFonts w:hint="eastAsia"/>
                      <w:sz w:val="21"/>
                      <w:szCs w:val="21"/>
                      <w:lang w:val="zh-CN"/>
                    </w:rPr>
                    <w:t>声源源强</w:t>
                  </w:r>
                </w:p>
                <w:p>
                  <w:pPr>
                    <w:spacing w:line="240" w:lineRule="auto"/>
                    <w:ind w:firstLine="0" w:firstLineChars="0"/>
                    <w:jc w:val="center"/>
                    <w:rPr>
                      <w:sz w:val="21"/>
                      <w:szCs w:val="21"/>
                      <w:lang w:val="zh-CN"/>
                    </w:rPr>
                  </w:pPr>
                  <w:r>
                    <w:rPr>
                      <w:rFonts w:hint="eastAsia"/>
                      <w:sz w:val="21"/>
                      <w:szCs w:val="21"/>
                      <w:lang w:val="zh-CN"/>
                    </w:rPr>
                    <w:t>dB（A）</w:t>
                  </w:r>
                </w:p>
              </w:tc>
              <w:tc>
                <w:tcPr>
                  <w:tcW w:w="2034" w:type="dxa"/>
                  <w:vMerge w:val="restart"/>
                  <w:vAlign w:val="center"/>
                </w:tcPr>
                <w:p>
                  <w:pPr>
                    <w:spacing w:line="240" w:lineRule="auto"/>
                    <w:ind w:firstLine="0" w:firstLineChars="0"/>
                    <w:jc w:val="center"/>
                    <w:rPr>
                      <w:sz w:val="21"/>
                      <w:szCs w:val="21"/>
                      <w:lang w:val="zh-CN"/>
                    </w:rPr>
                  </w:pPr>
                  <w:r>
                    <w:rPr>
                      <w:rFonts w:hint="eastAsia"/>
                      <w:sz w:val="21"/>
                      <w:szCs w:val="21"/>
                      <w:lang w:val="zh-CN"/>
                    </w:rPr>
                    <w:t>防治措施</w:t>
                  </w:r>
                </w:p>
              </w:tc>
              <w:tc>
                <w:tcPr>
                  <w:tcW w:w="1467" w:type="dxa"/>
                  <w:vMerge w:val="restart"/>
                  <w:vAlign w:val="center"/>
                </w:tcPr>
                <w:p>
                  <w:pPr>
                    <w:spacing w:line="240" w:lineRule="auto"/>
                    <w:ind w:firstLine="0" w:firstLineChars="0"/>
                    <w:jc w:val="center"/>
                    <w:rPr>
                      <w:sz w:val="21"/>
                      <w:szCs w:val="21"/>
                      <w:lang w:val="zh-CN"/>
                    </w:rPr>
                  </w:pPr>
                  <w:r>
                    <w:rPr>
                      <w:rFonts w:hint="eastAsia"/>
                      <w:sz w:val="21"/>
                      <w:szCs w:val="21"/>
                      <w:lang w:val="zh-CN"/>
                    </w:rPr>
                    <w:t>持续时间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2214" w:type="dxa"/>
                  <w:vMerge w:val="continue"/>
                  <w:vAlign w:val="center"/>
                </w:tcPr>
                <w:p>
                  <w:pPr>
                    <w:spacing w:line="240" w:lineRule="auto"/>
                    <w:ind w:firstLine="0" w:firstLineChars="0"/>
                    <w:jc w:val="center"/>
                    <w:rPr>
                      <w:sz w:val="21"/>
                      <w:szCs w:val="21"/>
                      <w:lang w:val="zh-CN"/>
                    </w:rPr>
                  </w:pPr>
                </w:p>
              </w:tc>
              <w:tc>
                <w:tcPr>
                  <w:tcW w:w="1105" w:type="dxa"/>
                  <w:vMerge w:val="continue"/>
                  <w:vAlign w:val="center"/>
                </w:tcPr>
                <w:p>
                  <w:pPr>
                    <w:spacing w:line="240" w:lineRule="auto"/>
                    <w:ind w:firstLine="0" w:firstLineChars="0"/>
                    <w:jc w:val="center"/>
                    <w:rPr>
                      <w:sz w:val="21"/>
                      <w:szCs w:val="21"/>
                      <w:lang w:val="zh-CN"/>
                    </w:rPr>
                  </w:pPr>
                </w:p>
              </w:tc>
              <w:tc>
                <w:tcPr>
                  <w:tcW w:w="1660" w:type="dxa"/>
                  <w:vAlign w:val="center"/>
                </w:tcPr>
                <w:p>
                  <w:pPr>
                    <w:spacing w:line="240" w:lineRule="auto"/>
                    <w:ind w:firstLine="0" w:firstLineChars="0"/>
                    <w:jc w:val="center"/>
                    <w:rPr>
                      <w:sz w:val="21"/>
                      <w:szCs w:val="21"/>
                    </w:rPr>
                  </w:pPr>
                  <w:r>
                    <w:rPr>
                      <w:sz w:val="21"/>
                      <w:szCs w:val="21"/>
                    </w:rPr>
                    <w:t>X</w:t>
                  </w:r>
                </w:p>
              </w:tc>
              <w:tc>
                <w:tcPr>
                  <w:tcW w:w="1660" w:type="dxa"/>
                  <w:vAlign w:val="center"/>
                </w:tcPr>
                <w:p>
                  <w:pPr>
                    <w:spacing w:line="240" w:lineRule="auto"/>
                    <w:ind w:firstLine="0" w:firstLineChars="0"/>
                    <w:jc w:val="center"/>
                    <w:rPr>
                      <w:sz w:val="21"/>
                      <w:szCs w:val="21"/>
                    </w:rPr>
                  </w:pPr>
                  <w:r>
                    <w:rPr>
                      <w:sz w:val="21"/>
                      <w:szCs w:val="21"/>
                    </w:rPr>
                    <w:t>Y</w:t>
                  </w:r>
                </w:p>
              </w:tc>
              <w:tc>
                <w:tcPr>
                  <w:tcW w:w="1660" w:type="dxa"/>
                  <w:vAlign w:val="center"/>
                </w:tcPr>
                <w:p>
                  <w:pPr>
                    <w:spacing w:line="240" w:lineRule="auto"/>
                    <w:ind w:firstLine="0" w:firstLineChars="0"/>
                    <w:jc w:val="center"/>
                    <w:rPr>
                      <w:sz w:val="21"/>
                      <w:szCs w:val="21"/>
                    </w:rPr>
                  </w:pPr>
                  <w:r>
                    <w:rPr>
                      <w:sz w:val="21"/>
                      <w:szCs w:val="21"/>
                    </w:rPr>
                    <w:t>Z</w:t>
                  </w:r>
                </w:p>
              </w:tc>
              <w:tc>
                <w:tcPr>
                  <w:tcW w:w="1286" w:type="dxa"/>
                  <w:vMerge w:val="continue"/>
                  <w:vAlign w:val="center"/>
                </w:tcPr>
                <w:p>
                  <w:pPr>
                    <w:spacing w:line="240" w:lineRule="auto"/>
                    <w:ind w:firstLine="0" w:firstLineChars="0"/>
                    <w:jc w:val="center"/>
                    <w:rPr>
                      <w:sz w:val="21"/>
                      <w:szCs w:val="21"/>
                      <w:lang w:val="zh-CN"/>
                    </w:rPr>
                  </w:pPr>
                </w:p>
              </w:tc>
              <w:tc>
                <w:tcPr>
                  <w:tcW w:w="2034" w:type="dxa"/>
                  <w:vMerge w:val="continue"/>
                  <w:vAlign w:val="center"/>
                </w:tcPr>
                <w:p>
                  <w:pPr>
                    <w:spacing w:line="240" w:lineRule="auto"/>
                    <w:ind w:firstLine="0" w:firstLineChars="0"/>
                    <w:jc w:val="center"/>
                    <w:rPr>
                      <w:sz w:val="21"/>
                      <w:szCs w:val="21"/>
                      <w:lang w:val="zh-CN"/>
                    </w:rPr>
                  </w:pPr>
                </w:p>
              </w:tc>
              <w:tc>
                <w:tcPr>
                  <w:tcW w:w="1467" w:type="dxa"/>
                  <w:vMerge w:val="continue"/>
                  <w:vAlign w:val="center"/>
                </w:tcPr>
                <w:p>
                  <w:pPr>
                    <w:spacing w:line="240" w:lineRule="auto"/>
                    <w:ind w:firstLine="0" w:firstLineChars="0"/>
                    <w:jc w:val="center"/>
                    <w:rPr>
                      <w:sz w:val="21"/>
                      <w:szCs w:val="21"/>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2214" w:type="dxa"/>
                  <w:vAlign w:val="center"/>
                </w:tcPr>
                <w:p>
                  <w:pPr>
                    <w:spacing w:line="240" w:lineRule="auto"/>
                    <w:ind w:firstLine="0" w:firstLineChars="0"/>
                    <w:jc w:val="center"/>
                    <w:rPr>
                      <w:sz w:val="21"/>
                      <w:szCs w:val="21"/>
                      <w:lang w:val="zh-CN"/>
                    </w:rPr>
                  </w:pPr>
                  <w:r>
                    <w:rPr>
                      <w:rFonts w:hint="eastAsia"/>
                      <w:sz w:val="21"/>
                      <w:szCs w:val="21"/>
                      <w:lang w:val="zh-CN"/>
                    </w:rPr>
                    <w:t>废气处理风机</w:t>
                  </w:r>
                </w:p>
              </w:tc>
              <w:tc>
                <w:tcPr>
                  <w:tcW w:w="1105" w:type="dxa"/>
                  <w:vAlign w:val="center"/>
                </w:tcPr>
                <w:p>
                  <w:pPr>
                    <w:spacing w:line="240" w:lineRule="auto"/>
                    <w:ind w:firstLine="0" w:firstLineChars="0"/>
                    <w:jc w:val="center"/>
                    <w:rPr>
                      <w:sz w:val="21"/>
                      <w:szCs w:val="21"/>
                      <w:lang w:val="zh-CN"/>
                    </w:rPr>
                  </w:pPr>
                  <w:r>
                    <w:rPr>
                      <w:rFonts w:hint="eastAsia"/>
                      <w:sz w:val="21"/>
                      <w:szCs w:val="21"/>
                      <w:lang w:val="zh-CN"/>
                    </w:rPr>
                    <w:t>—</w:t>
                  </w:r>
                </w:p>
              </w:tc>
              <w:tc>
                <w:tcPr>
                  <w:tcW w:w="1660" w:type="dxa"/>
                  <w:vAlign w:val="bottom"/>
                </w:tcPr>
                <w:p>
                  <w:pPr>
                    <w:spacing w:line="240" w:lineRule="auto"/>
                    <w:ind w:firstLine="0" w:firstLineChars="0"/>
                    <w:jc w:val="center"/>
                    <w:rPr>
                      <w:rFonts w:ascii="宋体" w:hAnsi="宋体" w:cs="宋体"/>
                      <w:color w:val="000000"/>
                      <w:sz w:val="21"/>
                      <w:szCs w:val="21"/>
                    </w:rPr>
                  </w:pPr>
                  <w:r>
                    <w:rPr>
                      <w:rFonts w:hint="eastAsia"/>
                      <w:color w:val="000000"/>
                      <w:sz w:val="21"/>
                      <w:szCs w:val="21"/>
                    </w:rPr>
                    <w:t>734.77</w:t>
                  </w:r>
                </w:p>
              </w:tc>
              <w:tc>
                <w:tcPr>
                  <w:tcW w:w="1660" w:type="dxa"/>
                  <w:vAlign w:val="bottom"/>
                </w:tcPr>
                <w:p>
                  <w:pPr>
                    <w:spacing w:line="240" w:lineRule="auto"/>
                    <w:ind w:firstLine="0" w:firstLineChars="0"/>
                    <w:jc w:val="center"/>
                    <w:rPr>
                      <w:rFonts w:ascii="宋体" w:hAnsi="宋体" w:cs="宋体"/>
                      <w:color w:val="000000"/>
                      <w:sz w:val="21"/>
                      <w:szCs w:val="21"/>
                    </w:rPr>
                  </w:pPr>
                  <w:r>
                    <w:rPr>
                      <w:rFonts w:hint="eastAsia"/>
                      <w:color w:val="000000"/>
                      <w:sz w:val="21"/>
                      <w:szCs w:val="21"/>
                    </w:rPr>
                    <w:t>686.8</w:t>
                  </w:r>
                </w:p>
              </w:tc>
              <w:tc>
                <w:tcPr>
                  <w:tcW w:w="1660" w:type="dxa"/>
                  <w:vAlign w:val="bottom"/>
                </w:tcPr>
                <w:p>
                  <w:pPr>
                    <w:spacing w:line="240" w:lineRule="auto"/>
                    <w:ind w:firstLine="0" w:firstLineChars="0"/>
                    <w:jc w:val="center"/>
                    <w:rPr>
                      <w:rFonts w:ascii="宋体" w:hAnsi="宋体" w:cs="宋体"/>
                      <w:color w:val="000000"/>
                      <w:sz w:val="21"/>
                      <w:szCs w:val="21"/>
                    </w:rPr>
                  </w:pPr>
                  <w:r>
                    <w:rPr>
                      <w:rFonts w:hint="eastAsia"/>
                      <w:color w:val="000000"/>
                      <w:sz w:val="21"/>
                      <w:szCs w:val="21"/>
                    </w:rPr>
                    <w:t>11</w:t>
                  </w:r>
                </w:p>
              </w:tc>
              <w:tc>
                <w:tcPr>
                  <w:tcW w:w="1286" w:type="dxa"/>
                  <w:vAlign w:val="center"/>
                </w:tcPr>
                <w:p>
                  <w:pPr>
                    <w:spacing w:line="240" w:lineRule="auto"/>
                    <w:ind w:firstLine="0" w:firstLineChars="0"/>
                    <w:jc w:val="center"/>
                    <w:rPr>
                      <w:sz w:val="21"/>
                      <w:szCs w:val="21"/>
                      <w:lang w:val="zh-CN"/>
                    </w:rPr>
                  </w:pPr>
                  <w:r>
                    <w:rPr>
                      <w:rFonts w:hint="eastAsia"/>
                      <w:sz w:val="21"/>
                      <w:szCs w:val="21"/>
                      <w:lang w:val="zh-CN"/>
                    </w:rPr>
                    <w:t>80</w:t>
                  </w:r>
                </w:p>
              </w:tc>
              <w:tc>
                <w:tcPr>
                  <w:tcW w:w="2034" w:type="dxa"/>
                  <w:vAlign w:val="center"/>
                </w:tcPr>
                <w:p>
                  <w:pPr>
                    <w:spacing w:line="240" w:lineRule="auto"/>
                    <w:ind w:firstLine="0" w:firstLineChars="0"/>
                    <w:jc w:val="center"/>
                    <w:rPr>
                      <w:sz w:val="21"/>
                      <w:szCs w:val="21"/>
                      <w:lang w:val="zh-CN"/>
                    </w:rPr>
                  </w:pPr>
                  <w:r>
                    <w:rPr>
                      <w:rFonts w:hint="eastAsia"/>
                      <w:sz w:val="21"/>
                      <w:szCs w:val="21"/>
                      <w:lang w:val="zh-CN"/>
                    </w:rPr>
                    <w:t>隔声、基础减振</w:t>
                  </w:r>
                </w:p>
              </w:tc>
              <w:tc>
                <w:tcPr>
                  <w:tcW w:w="1467" w:type="dxa"/>
                  <w:vAlign w:val="center"/>
                </w:tcPr>
                <w:p>
                  <w:pPr>
                    <w:spacing w:line="240" w:lineRule="auto"/>
                    <w:ind w:firstLine="0" w:firstLineChars="0"/>
                    <w:jc w:val="center"/>
                    <w:rPr>
                      <w:sz w:val="21"/>
                      <w:szCs w:val="21"/>
                      <w:lang w:val="zh-CN"/>
                    </w:rPr>
                  </w:pPr>
                  <w:r>
                    <w:rPr>
                      <w:rFonts w:hint="eastAsia"/>
                      <w:sz w:val="21"/>
                      <w:szCs w:val="21"/>
                      <w:lang w:val="zh-CN"/>
                    </w:rPr>
                    <w:t>昼夜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214" w:type="dxa"/>
                  <w:vAlign w:val="center"/>
                </w:tcPr>
                <w:p>
                  <w:pPr>
                    <w:spacing w:line="240" w:lineRule="auto"/>
                    <w:ind w:firstLine="0" w:firstLineChars="0"/>
                    <w:jc w:val="center"/>
                    <w:rPr>
                      <w:sz w:val="21"/>
                      <w:szCs w:val="21"/>
                      <w:lang w:val="zh-CN"/>
                    </w:rPr>
                  </w:pPr>
                  <w:r>
                    <w:rPr>
                      <w:rFonts w:hint="eastAsia"/>
                      <w:sz w:val="21"/>
                      <w:szCs w:val="21"/>
                      <w:lang w:val="zh-CN"/>
                    </w:rPr>
                    <w:t>热泵机组/冷却塔</w:t>
                  </w:r>
                </w:p>
              </w:tc>
              <w:tc>
                <w:tcPr>
                  <w:tcW w:w="1105" w:type="dxa"/>
                  <w:vAlign w:val="center"/>
                </w:tcPr>
                <w:p>
                  <w:pPr>
                    <w:spacing w:line="240" w:lineRule="auto"/>
                    <w:ind w:firstLine="0" w:firstLineChars="0"/>
                    <w:jc w:val="center"/>
                    <w:rPr>
                      <w:sz w:val="21"/>
                      <w:szCs w:val="21"/>
                      <w:lang w:val="zh-CN"/>
                    </w:rPr>
                  </w:pPr>
                  <w:r>
                    <w:rPr>
                      <w:rFonts w:hint="eastAsia"/>
                      <w:sz w:val="21"/>
                      <w:szCs w:val="21"/>
                      <w:lang w:val="zh-CN"/>
                    </w:rPr>
                    <w:t>—</w:t>
                  </w:r>
                </w:p>
              </w:tc>
              <w:tc>
                <w:tcPr>
                  <w:tcW w:w="1660" w:type="dxa"/>
                  <w:vAlign w:val="bottom"/>
                </w:tcPr>
                <w:p>
                  <w:pPr>
                    <w:spacing w:line="240" w:lineRule="auto"/>
                    <w:ind w:firstLine="0" w:firstLineChars="0"/>
                    <w:jc w:val="center"/>
                    <w:rPr>
                      <w:rFonts w:ascii="宋体" w:hAnsi="宋体" w:cs="宋体"/>
                      <w:color w:val="000000"/>
                      <w:sz w:val="21"/>
                      <w:szCs w:val="21"/>
                    </w:rPr>
                  </w:pPr>
                  <w:r>
                    <w:rPr>
                      <w:rFonts w:hint="eastAsia"/>
                      <w:color w:val="000000"/>
                      <w:sz w:val="21"/>
                      <w:szCs w:val="21"/>
                    </w:rPr>
                    <w:t>728.46</w:t>
                  </w:r>
                </w:p>
              </w:tc>
              <w:tc>
                <w:tcPr>
                  <w:tcW w:w="1660" w:type="dxa"/>
                  <w:vAlign w:val="bottom"/>
                </w:tcPr>
                <w:p>
                  <w:pPr>
                    <w:spacing w:line="240" w:lineRule="auto"/>
                    <w:ind w:firstLine="0" w:firstLineChars="0"/>
                    <w:jc w:val="center"/>
                    <w:rPr>
                      <w:rFonts w:ascii="宋体" w:hAnsi="宋体" w:cs="宋体"/>
                      <w:color w:val="000000"/>
                      <w:sz w:val="21"/>
                      <w:szCs w:val="21"/>
                    </w:rPr>
                  </w:pPr>
                  <w:r>
                    <w:rPr>
                      <w:rFonts w:hint="eastAsia"/>
                      <w:color w:val="000000"/>
                      <w:sz w:val="21"/>
                      <w:szCs w:val="21"/>
                    </w:rPr>
                    <w:t>696.02</w:t>
                  </w:r>
                </w:p>
              </w:tc>
              <w:tc>
                <w:tcPr>
                  <w:tcW w:w="1660" w:type="dxa"/>
                  <w:vAlign w:val="bottom"/>
                </w:tcPr>
                <w:p>
                  <w:pPr>
                    <w:spacing w:line="240" w:lineRule="auto"/>
                    <w:ind w:firstLine="0" w:firstLineChars="0"/>
                    <w:jc w:val="center"/>
                    <w:rPr>
                      <w:rFonts w:ascii="宋体" w:hAnsi="宋体" w:cs="宋体"/>
                      <w:color w:val="000000"/>
                      <w:sz w:val="21"/>
                      <w:szCs w:val="21"/>
                    </w:rPr>
                  </w:pPr>
                  <w:r>
                    <w:rPr>
                      <w:rFonts w:hint="eastAsia"/>
                      <w:color w:val="000000"/>
                      <w:sz w:val="21"/>
                      <w:szCs w:val="21"/>
                    </w:rPr>
                    <w:t>11</w:t>
                  </w:r>
                </w:p>
              </w:tc>
              <w:tc>
                <w:tcPr>
                  <w:tcW w:w="1286" w:type="dxa"/>
                  <w:vAlign w:val="center"/>
                </w:tcPr>
                <w:p>
                  <w:pPr>
                    <w:spacing w:line="240" w:lineRule="auto"/>
                    <w:ind w:firstLine="0" w:firstLineChars="0"/>
                    <w:jc w:val="center"/>
                    <w:rPr>
                      <w:sz w:val="21"/>
                      <w:szCs w:val="21"/>
                      <w:lang w:val="zh-CN"/>
                    </w:rPr>
                  </w:pPr>
                  <w:r>
                    <w:rPr>
                      <w:rFonts w:hint="eastAsia"/>
                      <w:sz w:val="21"/>
                      <w:szCs w:val="21"/>
                      <w:lang w:val="zh-CN"/>
                    </w:rPr>
                    <w:t>80</w:t>
                  </w:r>
                </w:p>
              </w:tc>
              <w:tc>
                <w:tcPr>
                  <w:tcW w:w="2034" w:type="dxa"/>
                  <w:vAlign w:val="center"/>
                </w:tcPr>
                <w:p>
                  <w:pPr>
                    <w:spacing w:line="240" w:lineRule="auto"/>
                    <w:ind w:firstLine="0" w:firstLineChars="0"/>
                    <w:jc w:val="center"/>
                    <w:rPr>
                      <w:sz w:val="21"/>
                      <w:szCs w:val="21"/>
                      <w:lang w:val="zh-CN"/>
                    </w:rPr>
                  </w:pPr>
                  <w:r>
                    <w:rPr>
                      <w:rFonts w:hint="eastAsia"/>
                      <w:sz w:val="21"/>
                      <w:szCs w:val="21"/>
                      <w:lang w:val="zh-CN"/>
                    </w:rPr>
                    <w:t>隔声、基础减振</w:t>
                  </w:r>
                </w:p>
              </w:tc>
              <w:tc>
                <w:tcPr>
                  <w:tcW w:w="1467" w:type="dxa"/>
                  <w:vAlign w:val="center"/>
                </w:tcPr>
                <w:p>
                  <w:pPr>
                    <w:spacing w:line="240" w:lineRule="auto"/>
                    <w:ind w:firstLine="0" w:firstLineChars="0"/>
                    <w:jc w:val="center"/>
                    <w:rPr>
                      <w:sz w:val="21"/>
                      <w:szCs w:val="21"/>
                      <w:lang w:val="zh-CN"/>
                    </w:rPr>
                  </w:pPr>
                  <w:r>
                    <w:rPr>
                      <w:rFonts w:hint="eastAsia"/>
                      <w:sz w:val="21"/>
                      <w:szCs w:val="21"/>
                      <w:lang w:val="zh-CN"/>
                    </w:rPr>
                    <w:t>昼夜</w:t>
                  </w:r>
                </w:p>
              </w:tc>
            </w:tr>
          </w:tbl>
          <w:p>
            <w:pPr>
              <w:spacing w:line="240" w:lineRule="auto"/>
              <w:ind w:firstLine="0" w:firstLineChars="0"/>
              <w:jc w:val="center"/>
              <w:rPr>
                <w:lang w:val="zh-CN"/>
              </w:rPr>
            </w:pPr>
          </w:p>
          <w:p>
            <w:pPr>
              <w:spacing w:line="240" w:lineRule="auto"/>
              <w:ind w:firstLine="0" w:firstLineChars="0"/>
              <w:rPr>
                <w:lang w:val="zh-CN"/>
              </w:rPr>
            </w:pPr>
          </w:p>
          <w:p>
            <w:pPr>
              <w:spacing w:line="240" w:lineRule="auto"/>
              <w:ind w:firstLine="0" w:firstLineChars="0"/>
              <w:rPr>
                <w:lang w:val="zh-CN"/>
              </w:rPr>
            </w:pPr>
          </w:p>
          <w:p>
            <w:pPr>
              <w:spacing w:line="240" w:lineRule="auto"/>
              <w:ind w:firstLine="0" w:firstLineChars="0"/>
              <w:rPr>
                <w:lang w:val="zh-CN"/>
              </w:rPr>
            </w:pPr>
          </w:p>
          <w:p>
            <w:pPr>
              <w:spacing w:line="240" w:lineRule="auto"/>
              <w:ind w:firstLine="0" w:firstLineChars="0"/>
              <w:rPr>
                <w:lang w:val="zh-CN"/>
              </w:rPr>
            </w:pPr>
          </w:p>
          <w:p>
            <w:pPr>
              <w:spacing w:line="240" w:lineRule="auto"/>
              <w:ind w:firstLine="0" w:firstLineChars="0"/>
              <w:rPr>
                <w:lang w:val="zh-CN"/>
              </w:rPr>
            </w:pPr>
          </w:p>
          <w:p>
            <w:pPr>
              <w:spacing w:line="240" w:lineRule="auto"/>
              <w:ind w:firstLine="0" w:firstLineChars="0"/>
              <w:rPr>
                <w:lang w:val="zh-CN"/>
              </w:rPr>
            </w:pPr>
          </w:p>
          <w:p>
            <w:pPr>
              <w:spacing w:line="240" w:lineRule="auto"/>
              <w:ind w:firstLine="0" w:firstLineChars="0"/>
              <w:rPr>
                <w:lang w:val="zh-CN"/>
              </w:rPr>
            </w:pPr>
          </w:p>
          <w:p>
            <w:pPr>
              <w:spacing w:line="240" w:lineRule="auto"/>
              <w:ind w:firstLine="0" w:firstLineChars="0"/>
              <w:rPr>
                <w:lang w:val="zh-CN"/>
              </w:rPr>
            </w:pPr>
          </w:p>
          <w:p>
            <w:pPr>
              <w:spacing w:line="240" w:lineRule="auto"/>
              <w:ind w:firstLine="0" w:firstLineChars="0"/>
              <w:rPr>
                <w:lang w:val="zh-CN"/>
              </w:rPr>
            </w:pPr>
          </w:p>
          <w:p>
            <w:pPr>
              <w:spacing w:line="240" w:lineRule="auto"/>
              <w:ind w:firstLine="0" w:firstLineChars="0"/>
              <w:rPr>
                <w:lang w:val="zh-CN"/>
              </w:rPr>
            </w:pPr>
          </w:p>
        </w:tc>
      </w:tr>
    </w:tbl>
    <w:p>
      <w:pPr>
        <w:spacing w:line="240" w:lineRule="auto"/>
        <w:ind w:firstLine="0" w:firstLineChars="0"/>
        <w:sectPr>
          <w:pgSz w:w="16838" w:h="11906" w:orient="landscape"/>
          <w:pgMar w:top="1800" w:right="1440" w:bottom="1800" w:left="1440" w:header="851" w:footer="992" w:gutter="0"/>
          <w:cols w:space="425" w:num="1"/>
          <w:docGrid w:type="lines" w:linePitch="326" w:charSpace="0"/>
        </w:sectPr>
      </w:pPr>
    </w:p>
    <w:tbl>
      <w:tblPr>
        <w:tblStyle w:val="17"/>
        <w:tblW w:w="570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589"/>
        <w:gridCol w:w="89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310" w:type="pct"/>
            <w:vAlign w:val="center"/>
          </w:tcPr>
          <w:p>
            <w:pPr>
              <w:spacing w:line="400" w:lineRule="exact"/>
              <w:ind w:right="46" w:rightChars="19" w:firstLine="0" w:firstLineChars="0"/>
              <w:jc w:val="center"/>
            </w:pPr>
            <w:r>
              <w:rPr>
                <w:rFonts w:hint="eastAsia"/>
              </w:rPr>
              <w:t>运营期环境影响和保护措施</w:t>
            </w:r>
          </w:p>
        </w:tc>
        <w:tc>
          <w:tcPr>
            <w:tcW w:w="4690" w:type="pct"/>
            <w:vAlign w:val="center"/>
          </w:tcPr>
          <w:p>
            <w:pPr>
              <w:ind w:right="46" w:rightChars="19" w:firstLine="496"/>
              <w:rPr>
                <w:spacing w:val="4"/>
                <w:kern w:val="0"/>
              </w:rPr>
            </w:pPr>
            <w:r>
              <w:rPr>
                <w:rFonts w:hint="eastAsia"/>
                <w:spacing w:val="4"/>
                <w:kern w:val="0"/>
              </w:rPr>
              <w:t>（2）噪声预测</w:t>
            </w:r>
          </w:p>
          <w:p>
            <w:pPr>
              <w:ind w:right="46" w:rightChars="19" w:firstLine="496"/>
              <w:rPr>
                <w:spacing w:val="4"/>
                <w:kern w:val="0"/>
              </w:rPr>
            </w:pPr>
            <w:r>
              <w:rPr>
                <w:rFonts w:hint="eastAsia"/>
                <w:spacing w:val="4"/>
                <w:kern w:val="0"/>
              </w:rPr>
              <w:t>①预测因子、方位</w:t>
            </w:r>
          </w:p>
          <w:p>
            <w:pPr>
              <w:ind w:right="46" w:rightChars="19" w:firstLine="496"/>
              <w:rPr>
                <w:spacing w:val="4"/>
                <w:kern w:val="0"/>
              </w:rPr>
            </w:pPr>
            <w:r>
              <w:rPr>
                <w:rFonts w:hint="eastAsia"/>
                <w:spacing w:val="4"/>
                <w:kern w:val="0"/>
              </w:rPr>
              <w:t>预测因子：等效连续A声级</w:t>
            </w:r>
          </w:p>
          <w:p>
            <w:pPr>
              <w:ind w:right="46" w:rightChars="19" w:firstLine="496"/>
              <w:rPr>
                <w:spacing w:val="4"/>
                <w:kern w:val="0"/>
              </w:rPr>
            </w:pPr>
            <w:r>
              <w:rPr>
                <w:rFonts w:hint="eastAsia"/>
                <w:spacing w:val="4"/>
                <w:kern w:val="0"/>
              </w:rPr>
              <w:t>预测方位：厂界南、厂界西、厂界北、厂界东</w:t>
            </w:r>
          </w:p>
          <w:p>
            <w:pPr>
              <w:ind w:right="46" w:rightChars="19" w:firstLine="496"/>
              <w:rPr>
                <w:spacing w:val="4"/>
                <w:kern w:val="0"/>
              </w:rPr>
            </w:pPr>
            <w:r>
              <w:rPr>
                <w:rFonts w:hint="eastAsia"/>
                <w:spacing w:val="4"/>
                <w:kern w:val="0"/>
              </w:rPr>
              <w:t>②预测模式</w:t>
            </w:r>
          </w:p>
          <w:p>
            <w:pPr>
              <w:ind w:firstLine="496"/>
              <w:rPr>
                <w:spacing w:val="4"/>
                <w:kern w:val="0"/>
              </w:rPr>
            </w:pPr>
            <w:r>
              <w:rPr>
                <w:rFonts w:hint="eastAsia"/>
                <w:spacing w:val="4"/>
                <w:kern w:val="0"/>
              </w:rPr>
              <w:t>采用《环境影响评价技术导则声环境》（HJ2.4-2021）中推荐的模式进行计算。</w:t>
            </w:r>
          </w:p>
          <w:p>
            <w:pPr>
              <w:adjustRightInd w:val="0"/>
              <w:snapToGrid w:val="0"/>
              <w:ind w:firstLine="480"/>
              <w:rPr>
                <w:kern w:val="0"/>
                <w:szCs w:val="21"/>
              </w:rPr>
            </w:pPr>
            <w:r>
              <w:rPr>
                <w:szCs w:val="21"/>
                <w:lang w:bidi="ar"/>
              </w:rPr>
              <w:t>声源位于室内，室内声源可采用等效室外声源声功率级法进行计算。设靠近开口处（或窗户）室内、室外某倍频带的声压级或A声级分别为L</w:t>
            </w:r>
            <w:r>
              <w:rPr>
                <w:szCs w:val="21"/>
                <w:vertAlign w:val="subscript"/>
                <w:lang w:bidi="ar"/>
              </w:rPr>
              <w:t>p1</w:t>
            </w:r>
            <w:r>
              <w:rPr>
                <w:szCs w:val="21"/>
                <w:lang w:bidi="ar"/>
              </w:rPr>
              <w:t>和L</w:t>
            </w:r>
            <w:r>
              <w:rPr>
                <w:szCs w:val="21"/>
                <w:vertAlign w:val="subscript"/>
                <w:lang w:bidi="ar"/>
              </w:rPr>
              <w:t>p2</w:t>
            </w:r>
            <w:r>
              <w:rPr>
                <w:szCs w:val="21"/>
                <w:lang w:bidi="ar"/>
              </w:rPr>
              <w:t>。若声源所在室内声场为近似扩散声场，则室外的倍频带声压级可按下式近似求出：</w:t>
            </w:r>
          </w:p>
          <w:p>
            <w:pPr>
              <w:adjustRightInd w:val="0"/>
              <w:snapToGrid w:val="0"/>
              <w:spacing w:line="360" w:lineRule="auto"/>
              <w:ind w:firstLine="0" w:firstLineChars="0"/>
              <w:jc w:val="center"/>
              <w:rPr>
                <w:szCs w:val="21"/>
              </w:rPr>
            </w:pPr>
            <w:r>
              <w:rPr>
                <w:szCs w:val="21"/>
                <w:lang w:bidi="ar"/>
              </w:rPr>
              <w:t>L</w:t>
            </w:r>
            <w:r>
              <w:rPr>
                <w:szCs w:val="21"/>
                <w:vertAlign w:val="subscript"/>
                <w:lang w:bidi="ar"/>
              </w:rPr>
              <w:t>p2</w:t>
            </w:r>
            <w:r>
              <w:rPr>
                <w:szCs w:val="21"/>
                <w:lang w:bidi="ar"/>
              </w:rPr>
              <w:t>=L</w:t>
            </w:r>
            <w:r>
              <w:rPr>
                <w:szCs w:val="21"/>
                <w:vertAlign w:val="subscript"/>
                <w:lang w:bidi="ar"/>
              </w:rPr>
              <w:t>p1</w:t>
            </w:r>
            <w:r>
              <w:rPr>
                <w:szCs w:val="21"/>
                <w:lang w:bidi="ar"/>
              </w:rPr>
              <w:t>-（TL+6）</w:t>
            </w:r>
          </w:p>
          <w:p>
            <w:pPr>
              <w:adjustRightInd w:val="0"/>
              <w:snapToGrid w:val="0"/>
              <w:ind w:firstLine="480"/>
              <w:rPr>
                <w:szCs w:val="21"/>
                <w:lang w:bidi="ar"/>
              </w:rPr>
            </w:pPr>
            <w:r>
              <w:rPr>
                <w:szCs w:val="21"/>
                <w:lang w:bidi="ar"/>
              </w:rPr>
              <w:t>式中：L</w:t>
            </w:r>
            <w:r>
              <w:rPr>
                <w:szCs w:val="21"/>
                <w:vertAlign w:val="subscript"/>
                <w:lang w:bidi="ar"/>
              </w:rPr>
              <w:t>p1</w:t>
            </w:r>
            <w:r>
              <w:rPr>
                <w:szCs w:val="21"/>
                <w:lang w:bidi="ar"/>
              </w:rPr>
              <w:t>--靠近开口处（或窗户）室内某倍频带的声压级或A声级，dB；</w:t>
            </w:r>
          </w:p>
          <w:p>
            <w:pPr>
              <w:adjustRightInd w:val="0"/>
              <w:snapToGrid w:val="0"/>
              <w:ind w:firstLine="1200" w:firstLineChars="500"/>
              <w:rPr>
                <w:szCs w:val="21"/>
                <w:lang w:bidi="ar"/>
              </w:rPr>
            </w:pPr>
            <w:r>
              <w:rPr>
                <w:szCs w:val="21"/>
                <w:lang w:bidi="ar"/>
              </w:rPr>
              <w:t>L</w:t>
            </w:r>
            <w:r>
              <w:rPr>
                <w:szCs w:val="21"/>
                <w:vertAlign w:val="subscript"/>
                <w:lang w:bidi="ar"/>
              </w:rPr>
              <w:t>p2</w:t>
            </w:r>
            <w:r>
              <w:rPr>
                <w:szCs w:val="21"/>
                <w:lang w:bidi="ar"/>
              </w:rPr>
              <w:t>--靠近开口处（或窗户）室外某倍频带的声压级或A声级，dB；</w:t>
            </w:r>
          </w:p>
          <w:p>
            <w:pPr>
              <w:adjustRightInd w:val="0"/>
              <w:snapToGrid w:val="0"/>
              <w:ind w:firstLine="1200" w:firstLineChars="500"/>
              <w:rPr>
                <w:szCs w:val="21"/>
              </w:rPr>
            </w:pPr>
            <w:r>
              <w:rPr>
                <w:szCs w:val="21"/>
                <w:lang w:bidi="ar"/>
              </w:rPr>
              <w:t>TL--隔墙（或窗户）倍频带或A声级的隔声量，dB。</w:t>
            </w:r>
          </w:p>
          <w:p>
            <w:pPr>
              <w:adjustRightInd w:val="0"/>
              <w:snapToGrid w:val="0"/>
              <w:ind w:firstLine="480"/>
              <w:rPr>
                <w:kern w:val="0"/>
                <w:szCs w:val="21"/>
              </w:rPr>
            </w:pPr>
            <w:r>
              <w:rPr>
                <w:szCs w:val="21"/>
                <w:lang w:bidi="ar"/>
              </w:rPr>
              <w:t>也可按下式计算某一室内声源靠近围护结构处产生的倍频带声压级或A声级：</w:t>
            </w:r>
          </w:p>
          <w:p>
            <w:pPr>
              <w:adjustRightInd w:val="0"/>
              <w:snapToGrid w:val="0"/>
              <w:spacing w:line="240" w:lineRule="auto"/>
              <w:ind w:firstLine="0" w:firstLineChars="0"/>
              <w:jc w:val="center"/>
              <w:rPr>
                <w:szCs w:val="21"/>
              </w:rPr>
            </w:pPr>
            <w:r>
              <w:rPr>
                <w:position w:val="-28"/>
                <w:szCs w:val="21"/>
              </w:rPr>
              <w:object>
                <v:shape id="_x0000_i1027" o:spt="75" type="#_x0000_t75" style="height:32.65pt;width:136.45pt;" o:ole="t" filled="f" o:preferrelative="t" stroked="f" coordsize="21600,21600">
                  <v:path/>
                  <v:fill on="f" focussize="0,0"/>
                  <v:stroke on="f" joinstyle="miter"/>
                  <v:imagedata r:id="rId21" o:title=""/>
                  <o:lock v:ext="edit" aspectratio="t"/>
                  <w10:wrap type="none"/>
                  <w10:anchorlock/>
                </v:shape>
                <o:OLEObject Type="Embed" ProgID="Equation.3" ShapeID="_x0000_i1027" DrawAspect="Content" ObjectID="_1468075727" r:id="rId20">
                  <o:LockedField>false</o:LockedField>
                </o:OLEObject>
              </w:object>
            </w:r>
          </w:p>
          <w:p>
            <w:pPr>
              <w:adjustRightInd w:val="0"/>
              <w:snapToGrid w:val="0"/>
              <w:ind w:firstLine="480"/>
              <w:rPr>
                <w:szCs w:val="21"/>
              </w:rPr>
            </w:pPr>
            <w:r>
              <w:rPr>
                <w:szCs w:val="21"/>
                <w:lang w:bidi="ar"/>
              </w:rPr>
              <w:t>式中：L</w:t>
            </w:r>
            <w:r>
              <w:rPr>
                <w:szCs w:val="21"/>
                <w:vertAlign w:val="subscript"/>
                <w:lang w:bidi="ar"/>
              </w:rPr>
              <w:t>p1</w:t>
            </w:r>
            <w:r>
              <w:rPr>
                <w:szCs w:val="21"/>
                <w:lang w:bidi="ar"/>
              </w:rPr>
              <w:t>--靠近开口处（或窗户）室内某倍频带的声压级或A声级，dB；</w:t>
            </w:r>
          </w:p>
          <w:p>
            <w:pPr>
              <w:adjustRightInd w:val="0"/>
              <w:snapToGrid w:val="0"/>
              <w:ind w:firstLine="1200" w:firstLineChars="500"/>
              <w:rPr>
                <w:szCs w:val="21"/>
              </w:rPr>
            </w:pPr>
            <w:r>
              <w:rPr>
                <w:szCs w:val="21"/>
                <w:lang w:bidi="ar"/>
              </w:rPr>
              <w:t>L</w:t>
            </w:r>
            <w:r>
              <w:rPr>
                <w:szCs w:val="21"/>
                <w:vertAlign w:val="subscript"/>
                <w:lang w:bidi="ar"/>
              </w:rPr>
              <w:t>w</w:t>
            </w:r>
            <w:r>
              <w:rPr>
                <w:szCs w:val="21"/>
                <w:lang w:bidi="ar"/>
              </w:rPr>
              <w:t>--点声源声功率级（A计权或倍频带），dB；</w:t>
            </w:r>
          </w:p>
          <w:p>
            <w:pPr>
              <w:adjustRightInd w:val="0"/>
              <w:snapToGrid w:val="0"/>
              <w:ind w:left="1560" w:leftChars="500" w:hanging="360" w:hangingChars="150"/>
              <w:rPr>
                <w:szCs w:val="21"/>
              </w:rPr>
            </w:pPr>
            <w:r>
              <w:rPr>
                <w:szCs w:val="21"/>
                <w:lang w:bidi="ar"/>
              </w:rPr>
              <w:t>Q--指向性因数；通常对无指向性声源，当声源放在房间中心时，Q=1；当放在一面墙的中心时，Q=2；当放在两面墙夹角处时，Q=4；当放在三面墙夹角处时，Q=8；</w:t>
            </w:r>
          </w:p>
          <w:p>
            <w:pPr>
              <w:adjustRightInd w:val="0"/>
              <w:snapToGrid w:val="0"/>
              <w:ind w:firstLine="1200" w:firstLineChars="500"/>
              <w:rPr>
                <w:szCs w:val="21"/>
              </w:rPr>
            </w:pPr>
            <w:r>
              <w:rPr>
                <w:szCs w:val="21"/>
                <w:lang w:bidi="ar"/>
              </w:rPr>
              <w:t>R--房间常数；R=Sa/（1-a），S为房间内表面面积，m</w:t>
            </w:r>
            <w:r>
              <w:rPr>
                <w:szCs w:val="21"/>
                <w:vertAlign w:val="superscript"/>
                <w:lang w:bidi="ar"/>
              </w:rPr>
              <w:t>2</w:t>
            </w:r>
            <w:r>
              <w:rPr>
                <w:szCs w:val="21"/>
                <w:lang w:bidi="ar"/>
              </w:rPr>
              <w:t>；α为平均吸声系数；</w:t>
            </w:r>
          </w:p>
          <w:p>
            <w:pPr>
              <w:adjustRightInd w:val="0"/>
              <w:snapToGrid w:val="0"/>
              <w:ind w:firstLine="1200" w:firstLineChars="500"/>
              <w:rPr>
                <w:szCs w:val="21"/>
                <w:lang w:bidi="ar"/>
              </w:rPr>
            </w:pPr>
            <w:r>
              <w:rPr>
                <w:szCs w:val="21"/>
                <w:lang w:bidi="ar"/>
              </w:rPr>
              <w:t>r--声源到靠近围护结构某点处的距离，m。</w:t>
            </w:r>
          </w:p>
          <w:p>
            <w:pPr>
              <w:adjustRightInd w:val="0"/>
              <w:snapToGrid w:val="0"/>
              <w:ind w:firstLine="480"/>
              <w:rPr>
                <w:szCs w:val="21"/>
              </w:rPr>
            </w:pPr>
            <w:r>
              <w:rPr>
                <w:szCs w:val="21"/>
                <w:lang w:bidi="ar"/>
              </w:rPr>
              <w:t>然后按下式计算出所有室内声源在围护结构处产生的i倍频带叠加声压级：</w:t>
            </w:r>
          </w:p>
          <w:p>
            <w:pPr>
              <w:adjustRightInd w:val="0"/>
              <w:snapToGrid w:val="0"/>
              <w:spacing w:line="360" w:lineRule="auto"/>
              <w:ind w:firstLine="0" w:firstLineChars="0"/>
              <w:jc w:val="center"/>
              <w:rPr>
                <w:szCs w:val="21"/>
              </w:rPr>
            </w:pPr>
            <w:r>
              <w:rPr>
                <w:position w:val="-30"/>
                <w:szCs w:val="21"/>
              </w:rPr>
              <w:object>
                <v:shape id="_x0000_i1028" o:spt="75" type="#_x0000_t75" style="height:37.65pt;width:125.6pt;" o:ole="t" filled="f" o:preferrelative="t" stroked="f" coordsize="21600,21600">
                  <v:path/>
                  <v:fill on="f" focussize="0,0"/>
                  <v:stroke on="f" joinstyle="miter"/>
                  <v:imagedata r:id="rId23" o:title=""/>
                  <o:lock v:ext="edit" aspectratio="t"/>
                  <w10:wrap type="none"/>
                  <w10:anchorlock/>
                </v:shape>
                <o:OLEObject Type="Embed" ProgID="Equation.3" ShapeID="_x0000_i1028" DrawAspect="Content" ObjectID="_1468075728" r:id="rId22">
                  <o:LockedField>false</o:LockedField>
                </o:OLEObject>
              </w:object>
            </w:r>
          </w:p>
          <w:p>
            <w:pPr>
              <w:adjustRightInd w:val="0"/>
              <w:snapToGrid w:val="0"/>
              <w:ind w:left="2040" w:leftChars="200" w:hanging="1560" w:hangingChars="650"/>
              <w:rPr>
                <w:szCs w:val="21"/>
                <w:lang w:bidi="ar"/>
              </w:rPr>
            </w:pPr>
            <w:r>
              <w:rPr>
                <w:szCs w:val="21"/>
                <w:lang w:bidi="ar"/>
              </w:rPr>
              <w:t>式中：L</w:t>
            </w:r>
            <w:r>
              <w:rPr>
                <w:szCs w:val="21"/>
                <w:vertAlign w:val="subscript"/>
                <w:lang w:bidi="ar"/>
              </w:rPr>
              <w:t>p1i</w:t>
            </w:r>
            <w:r>
              <w:rPr>
                <w:szCs w:val="21"/>
                <w:lang w:bidi="ar"/>
              </w:rPr>
              <w:t>（T）--靠近围护结构处室内N个声源i倍频带的叠加声压级，dB；</w:t>
            </w:r>
          </w:p>
          <w:p>
            <w:pPr>
              <w:adjustRightInd w:val="0"/>
              <w:snapToGrid w:val="0"/>
              <w:ind w:left="2040" w:leftChars="500" w:hanging="840" w:hangingChars="350"/>
              <w:rPr>
                <w:szCs w:val="21"/>
              </w:rPr>
            </w:pPr>
            <w:r>
              <w:rPr>
                <w:szCs w:val="21"/>
                <w:lang w:bidi="ar"/>
              </w:rPr>
              <w:t>L</w:t>
            </w:r>
            <w:r>
              <w:rPr>
                <w:szCs w:val="21"/>
                <w:vertAlign w:val="subscript"/>
                <w:lang w:bidi="ar"/>
              </w:rPr>
              <w:t>p1ij</w:t>
            </w:r>
            <w:r>
              <w:rPr>
                <w:szCs w:val="21"/>
                <w:lang w:bidi="ar"/>
              </w:rPr>
              <w:t>--室内j声源i倍频带的声压级，dB；</w:t>
            </w:r>
          </w:p>
          <w:p>
            <w:pPr>
              <w:adjustRightInd w:val="0"/>
              <w:snapToGrid w:val="0"/>
              <w:ind w:firstLine="1200" w:firstLineChars="500"/>
              <w:rPr>
                <w:szCs w:val="21"/>
              </w:rPr>
            </w:pPr>
            <w:r>
              <w:rPr>
                <w:szCs w:val="21"/>
                <w:lang w:bidi="ar"/>
              </w:rPr>
              <w:t>N--室内声源总数。</w:t>
            </w:r>
          </w:p>
          <w:p>
            <w:pPr>
              <w:adjustRightInd w:val="0"/>
              <w:snapToGrid w:val="0"/>
              <w:ind w:left="12" w:leftChars="5" w:right="12" w:rightChars="5" w:firstLine="480"/>
              <w:jc w:val="left"/>
              <w:rPr>
                <w:szCs w:val="21"/>
                <w:lang w:bidi="ar"/>
              </w:rPr>
            </w:pPr>
            <w:r>
              <w:rPr>
                <w:szCs w:val="21"/>
                <w:lang w:bidi="ar"/>
              </w:rPr>
              <w:t>在室内近似为扩散声场时，按下式计算出靠近室外围护结构处的声压级：</w:t>
            </w:r>
          </w:p>
          <w:p>
            <w:pPr>
              <w:adjustRightInd w:val="0"/>
              <w:snapToGrid w:val="0"/>
              <w:ind w:firstLine="0" w:firstLineChars="0"/>
              <w:jc w:val="center"/>
              <w:rPr>
                <w:szCs w:val="21"/>
              </w:rPr>
            </w:pPr>
            <w:r>
              <w:rPr>
                <w:position w:val="-12"/>
                <w:szCs w:val="21"/>
              </w:rPr>
              <w:object>
                <v:shape id="_x0000_i1029" o:spt="75" type="#_x0000_t75" style="height:20.95pt;width:136.45pt;" o:ole="t" filled="f" o:preferrelative="t" stroked="f" coordsize="21600,21600">
                  <v:path/>
                  <v:fill on="f" focussize="0,0"/>
                  <v:stroke on="f" joinstyle="miter"/>
                  <v:imagedata r:id="rId25" o:title=""/>
                  <o:lock v:ext="edit" aspectratio="t"/>
                  <w10:wrap type="none"/>
                  <w10:anchorlock/>
                </v:shape>
                <o:OLEObject Type="Embed" ProgID="Equation.3" ShapeID="_x0000_i1029" DrawAspect="Content" ObjectID="_1468075729" r:id="rId24">
                  <o:LockedField>false</o:LockedField>
                </o:OLEObject>
              </w:object>
            </w:r>
          </w:p>
          <w:p>
            <w:pPr>
              <w:adjustRightInd w:val="0"/>
              <w:snapToGrid w:val="0"/>
              <w:ind w:firstLine="480"/>
              <w:rPr>
                <w:szCs w:val="21"/>
                <w:lang w:bidi="ar"/>
              </w:rPr>
            </w:pPr>
            <w:r>
              <w:rPr>
                <w:szCs w:val="21"/>
                <w:lang w:bidi="ar"/>
              </w:rPr>
              <w:t>式中：L</w:t>
            </w:r>
            <w:r>
              <w:rPr>
                <w:szCs w:val="21"/>
                <w:vertAlign w:val="subscript"/>
                <w:lang w:bidi="ar"/>
              </w:rPr>
              <w:t>p2i</w:t>
            </w:r>
            <w:r>
              <w:rPr>
                <w:szCs w:val="21"/>
                <w:lang w:bidi="ar"/>
              </w:rPr>
              <w:t>（T）--靠近围护结构处室外N个声源i倍频带的叠加声压级，dB；</w:t>
            </w:r>
          </w:p>
          <w:p>
            <w:pPr>
              <w:adjustRightInd w:val="0"/>
              <w:snapToGrid w:val="0"/>
              <w:ind w:firstLine="1200" w:firstLineChars="500"/>
              <w:rPr>
                <w:szCs w:val="21"/>
              </w:rPr>
            </w:pPr>
            <w:r>
              <w:rPr>
                <w:szCs w:val="21"/>
                <w:lang w:bidi="ar"/>
              </w:rPr>
              <w:t>L</w:t>
            </w:r>
            <w:r>
              <w:rPr>
                <w:szCs w:val="21"/>
                <w:vertAlign w:val="subscript"/>
                <w:lang w:bidi="ar"/>
              </w:rPr>
              <w:t>p1i</w:t>
            </w:r>
            <w:r>
              <w:rPr>
                <w:szCs w:val="21"/>
                <w:lang w:bidi="ar"/>
              </w:rPr>
              <w:t>（T）--靠近围护结构处室内N个声源i倍频带的叠加声压级，dB；</w:t>
            </w:r>
          </w:p>
          <w:p>
            <w:pPr>
              <w:ind w:right="46" w:rightChars="19" w:firstLine="1200" w:firstLineChars="500"/>
              <w:rPr>
                <w:szCs w:val="21"/>
                <w:lang w:bidi="ar"/>
              </w:rPr>
            </w:pPr>
            <w:r>
              <w:rPr>
                <w:szCs w:val="21"/>
                <w:lang w:bidi="ar"/>
              </w:rPr>
              <w:t>TL</w:t>
            </w:r>
            <w:r>
              <w:rPr>
                <w:szCs w:val="21"/>
                <w:vertAlign w:val="subscript"/>
                <w:lang w:bidi="ar"/>
              </w:rPr>
              <w:t>i</w:t>
            </w:r>
            <w:r>
              <w:rPr>
                <w:szCs w:val="21"/>
                <w:lang w:bidi="ar"/>
              </w:rPr>
              <w:t>--围护结构i倍频带的隔声量，dB。</w:t>
            </w:r>
          </w:p>
          <w:p>
            <w:pPr>
              <w:adjustRightInd w:val="0"/>
              <w:snapToGrid w:val="0"/>
              <w:ind w:left="12" w:leftChars="5" w:right="12" w:rightChars="5" w:firstLine="480"/>
              <w:jc w:val="left"/>
              <w:rPr>
                <w:szCs w:val="21"/>
                <w:lang w:bidi="ar"/>
              </w:rPr>
            </w:pPr>
            <w:r>
              <w:rPr>
                <w:szCs w:val="21"/>
                <w:lang w:bidi="ar"/>
              </w:rPr>
              <w:t>然后按下式将室外声源的声压级和透过面积换算成等效的室外声源，计算出中心位置位于透声面积（S）处的等效声源的倍频带声功率级。</w:t>
            </w:r>
          </w:p>
          <w:p>
            <w:pPr>
              <w:spacing w:line="360" w:lineRule="auto"/>
              <w:ind w:firstLine="0" w:firstLineChars="0"/>
              <w:jc w:val="center"/>
              <w:rPr>
                <w:spacing w:val="4"/>
                <w:kern w:val="0"/>
              </w:rPr>
            </w:pPr>
            <w:r>
              <w:rPr>
                <w:spacing w:val="4"/>
                <w:kern w:val="0"/>
                <w:position w:val="-12"/>
              </w:rPr>
              <w:object>
                <v:shape id="_x0000_i1030" o:spt="75" type="#_x0000_t75" style="height:20.95pt;width:96.3pt;" o:ole="t" filled="f" o:preferrelative="t" stroked="f" coordsize="21600,21600">
                  <v:path/>
                  <v:fill on="f" focussize="0,0"/>
                  <v:stroke on="f" joinstyle="miter"/>
                  <v:imagedata r:id="rId27" o:title=""/>
                  <o:lock v:ext="edit" aspectratio="t"/>
                  <w10:wrap type="none"/>
                  <w10:anchorlock/>
                </v:shape>
                <o:OLEObject Type="Embed" ProgID="Equation.3" ShapeID="_x0000_i1030" DrawAspect="Content" ObjectID="_1468075730" r:id="rId26">
                  <o:LockedField>false</o:LockedField>
                </o:OLEObject>
              </w:object>
            </w:r>
          </w:p>
          <w:p>
            <w:pPr>
              <w:adjustRightInd w:val="0"/>
              <w:snapToGrid w:val="0"/>
              <w:ind w:firstLine="480"/>
              <w:rPr>
                <w:szCs w:val="21"/>
              </w:rPr>
            </w:pPr>
            <w:r>
              <w:rPr>
                <w:szCs w:val="21"/>
                <w:lang w:bidi="ar"/>
              </w:rPr>
              <w:t>式中：L</w:t>
            </w:r>
            <w:r>
              <w:rPr>
                <w:szCs w:val="21"/>
                <w:vertAlign w:val="subscript"/>
                <w:lang w:bidi="ar"/>
              </w:rPr>
              <w:t>w</w:t>
            </w:r>
            <w:r>
              <w:rPr>
                <w:szCs w:val="21"/>
                <w:lang w:bidi="ar"/>
              </w:rPr>
              <w:t>--中心位置位于透声面积（S）处的等效声源的倍频带声功率级，dB；</w:t>
            </w:r>
          </w:p>
          <w:p>
            <w:pPr>
              <w:adjustRightInd w:val="0"/>
              <w:snapToGrid w:val="0"/>
              <w:ind w:firstLine="1200" w:firstLineChars="500"/>
              <w:rPr>
                <w:szCs w:val="21"/>
              </w:rPr>
            </w:pPr>
            <w:r>
              <w:rPr>
                <w:szCs w:val="21"/>
                <w:lang w:bidi="ar"/>
              </w:rPr>
              <w:t>L</w:t>
            </w:r>
            <w:r>
              <w:rPr>
                <w:szCs w:val="21"/>
                <w:vertAlign w:val="subscript"/>
                <w:lang w:bidi="ar"/>
              </w:rPr>
              <w:t>p2</w:t>
            </w:r>
            <w:r>
              <w:rPr>
                <w:szCs w:val="21"/>
                <w:lang w:bidi="ar"/>
              </w:rPr>
              <w:t>（T）--靠近围护结构处室外声源的声压级，dB；</w:t>
            </w:r>
          </w:p>
          <w:p>
            <w:pPr>
              <w:adjustRightInd w:val="0"/>
              <w:snapToGrid w:val="0"/>
              <w:ind w:firstLine="1200" w:firstLineChars="500"/>
              <w:rPr>
                <w:szCs w:val="21"/>
              </w:rPr>
            </w:pPr>
            <w:r>
              <w:rPr>
                <w:szCs w:val="21"/>
                <w:lang w:bidi="ar"/>
              </w:rPr>
              <w:t>S--透声面积，m</w:t>
            </w:r>
            <w:r>
              <w:rPr>
                <w:szCs w:val="21"/>
                <w:vertAlign w:val="superscript"/>
                <w:lang w:bidi="ar"/>
              </w:rPr>
              <w:t>2</w:t>
            </w:r>
            <w:r>
              <w:rPr>
                <w:szCs w:val="21"/>
                <w:lang w:bidi="ar"/>
              </w:rPr>
              <w:t>。</w:t>
            </w:r>
          </w:p>
          <w:p>
            <w:pPr>
              <w:adjustRightInd w:val="0"/>
              <w:snapToGrid w:val="0"/>
              <w:ind w:left="12" w:leftChars="5" w:right="12" w:rightChars="5" w:firstLine="480"/>
              <w:jc w:val="left"/>
              <w:rPr>
                <w:szCs w:val="21"/>
                <w:lang w:bidi="ar"/>
              </w:rPr>
            </w:pPr>
            <w:r>
              <w:rPr>
                <w:szCs w:val="21"/>
                <w:lang w:bidi="ar"/>
              </w:rPr>
              <w:t>然后按室外声源预测方法计算预测点处的A声级。</w:t>
            </w:r>
          </w:p>
          <w:p>
            <w:pPr>
              <w:adjustRightInd w:val="0"/>
              <w:snapToGrid w:val="0"/>
              <w:ind w:left="12" w:leftChars="5" w:right="12" w:rightChars="5" w:firstLine="480"/>
              <w:jc w:val="left"/>
              <w:rPr>
                <w:szCs w:val="21"/>
                <w:lang w:bidi="ar"/>
              </w:rPr>
            </w:pPr>
            <w:r>
              <w:rPr>
                <w:szCs w:val="21"/>
                <w:lang w:bidi="ar"/>
              </w:rPr>
              <w:t>户外声传播衰减包括几何发散（Adiv）、大气吸收（Aatm）、地面效应（Agr）、障碍物屏蔽（Abar）、其他多方面效应（Amisc）引起的衰减。</w:t>
            </w:r>
          </w:p>
          <w:p>
            <w:pPr>
              <w:adjustRightInd w:val="0"/>
              <w:snapToGrid w:val="0"/>
              <w:ind w:left="12" w:leftChars="5" w:right="12" w:rightChars="5" w:firstLine="480"/>
              <w:jc w:val="left"/>
              <w:rPr>
                <w:szCs w:val="21"/>
                <w:lang w:bidi="ar"/>
              </w:rPr>
            </w:pPr>
            <w:r>
              <w:rPr>
                <w:szCs w:val="21"/>
                <w:lang w:bidi="ar"/>
              </w:rPr>
              <w:t>在环境影响评价中，根据声源声功率级或参考位置处的声压级、户外声传播衰减，计算预测点的声级，分别按式（A.1）或式（A.2）计算。</w:t>
            </w:r>
          </w:p>
          <w:p>
            <w:pPr>
              <w:adjustRightInd w:val="0"/>
              <w:snapToGrid w:val="0"/>
              <w:ind w:firstLine="0" w:firstLineChars="0"/>
              <w:jc w:val="center"/>
              <w:rPr>
                <w:szCs w:val="21"/>
              </w:rPr>
            </w:pPr>
            <w:r>
              <w:rPr>
                <w:szCs w:val="21"/>
                <w:lang w:bidi="ar"/>
              </w:rPr>
              <w:t>L</w:t>
            </w:r>
            <w:r>
              <w:rPr>
                <w:szCs w:val="21"/>
                <w:vertAlign w:val="subscript"/>
                <w:lang w:bidi="ar"/>
              </w:rPr>
              <w:t>p</w:t>
            </w:r>
            <w:r>
              <w:rPr>
                <w:szCs w:val="21"/>
                <w:lang w:bidi="ar"/>
              </w:rPr>
              <w:t>（r）＝L</w:t>
            </w:r>
            <w:r>
              <w:rPr>
                <w:szCs w:val="21"/>
                <w:vertAlign w:val="subscript"/>
                <w:lang w:bidi="ar"/>
              </w:rPr>
              <w:t>w</w:t>
            </w:r>
            <w:r>
              <w:rPr>
                <w:szCs w:val="21"/>
                <w:lang w:bidi="ar"/>
              </w:rPr>
              <w:t>+D</w:t>
            </w:r>
            <w:r>
              <w:rPr>
                <w:szCs w:val="21"/>
                <w:vertAlign w:val="subscript"/>
                <w:lang w:bidi="ar"/>
              </w:rPr>
              <w:t>C</w:t>
            </w:r>
            <w:r>
              <w:rPr>
                <w:szCs w:val="21"/>
                <w:lang w:bidi="ar"/>
              </w:rPr>
              <w:t>－（A</w:t>
            </w:r>
            <w:r>
              <w:rPr>
                <w:szCs w:val="21"/>
                <w:vertAlign w:val="subscript"/>
                <w:lang w:bidi="ar"/>
              </w:rPr>
              <w:t>div</w:t>
            </w:r>
            <w:r>
              <w:rPr>
                <w:szCs w:val="21"/>
                <w:lang w:bidi="ar"/>
              </w:rPr>
              <w:t>＋A</w:t>
            </w:r>
            <w:r>
              <w:rPr>
                <w:szCs w:val="21"/>
                <w:vertAlign w:val="subscript"/>
                <w:lang w:bidi="ar"/>
              </w:rPr>
              <w:t>atm</w:t>
            </w:r>
            <w:r>
              <w:rPr>
                <w:szCs w:val="21"/>
                <w:lang w:bidi="ar"/>
              </w:rPr>
              <w:t>＋A</w:t>
            </w:r>
            <w:r>
              <w:rPr>
                <w:szCs w:val="21"/>
                <w:vertAlign w:val="subscript"/>
                <w:lang w:bidi="ar"/>
              </w:rPr>
              <w:t>gr</w:t>
            </w:r>
            <w:r>
              <w:rPr>
                <w:szCs w:val="21"/>
                <w:lang w:bidi="ar"/>
              </w:rPr>
              <w:t>＋A</w:t>
            </w:r>
            <w:r>
              <w:rPr>
                <w:szCs w:val="21"/>
                <w:vertAlign w:val="subscript"/>
                <w:lang w:bidi="ar"/>
              </w:rPr>
              <w:t>ba</w:t>
            </w:r>
            <w:r>
              <w:rPr>
                <w:szCs w:val="21"/>
                <w:lang w:bidi="ar"/>
              </w:rPr>
              <w:t>r＋A</w:t>
            </w:r>
            <w:r>
              <w:rPr>
                <w:szCs w:val="21"/>
                <w:vertAlign w:val="subscript"/>
                <w:lang w:bidi="ar"/>
              </w:rPr>
              <w:t>misc</w:t>
            </w:r>
            <w:r>
              <w:rPr>
                <w:szCs w:val="21"/>
                <w:lang w:bidi="ar"/>
              </w:rPr>
              <w:t>）（A.1）</w:t>
            </w:r>
          </w:p>
          <w:p>
            <w:pPr>
              <w:adjustRightInd w:val="0"/>
              <w:snapToGrid w:val="0"/>
              <w:ind w:firstLine="480"/>
              <w:rPr>
                <w:szCs w:val="21"/>
              </w:rPr>
            </w:pPr>
            <w:r>
              <w:rPr>
                <w:szCs w:val="21"/>
                <w:lang w:bidi="ar"/>
              </w:rPr>
              <w:t>式中：L</w:t>
            </w:r>
            <w:r>
              <w:rPr>
                <w:szCs w:val="21"/>
                <w:vertAlign w:val="subscript"/>
                <w:lang w:bidi="ar"/>
              </w:rPr>
              <w:t>p</w:t>
            </w:r>
            <w:r>
              <w:rPr>
                <w:szCs w:val="21"/>
                <w:lang w:bidi="ar"/>
              </w:rPr>
              <w:t>（r）--预测点处声压级，dB；</w:t>
            </w:r>
          </w:p>
          <w:p>
            <w:pPr>
              <w:adjustRightInd w:val="0"/>
              <w:snapToGrid w:val="0"/>
              <w:ind w:firstLine="1200" w:firstLineChars="500"/>
              <w:rPr>
                <w:kern w:val="0"/>
                <w:szCs w:val="21"/>
              </w:rPr>
            </w:pPr>
            <w:r>
              <w:rPr>
                <w:kern w:val="0"/>
                <w:szCs w:val="21"/>
                <w:lang w:bidi="ar"/>
              </w:rPr>
              <w:t>L</w:t>
            </w:r>
            <w:r>
              <w:rPr>
                <w:kern w:val="0"/>
                <w:szCs w:val="21"/>
                <w:vertAlign w:val="subscript"/>
                <w:lang w:bidi="ar"/>
              </w:rPr>
              <w:t>w</w:t>
            </w:r>
            <w:r>
              <w:rPr>
                <w:kern w:val="0"/>
                <w:szCs w:val="21"/>
                <w:lang w:bidi="ar"/>
              </w:rPr>
              <w:t>--由点声源产生的声功率级（A计权或倍频带），dB；</w:t>
            </w:r>
          </w:p>
          <w:p>
            <w:pPr>
              <w:adjustRightInd w:val="0"/>
              <w:snapToGrid w:val="0"/>
              <w:ind w:left="1680" w:leftChars="500" w:hanging="480" w:hangingChars="200"/>
              <w:rPr>
                <w:kern w:val="0"/>
                <w:szCs w:val="21"/>
              </w:rPr>
            </w:pPr>
            <w:r>
              <w:rPr>
                <w:kern w:val="0"/>
                <w:szCs w:val="21"/>
                <w:lang w:bidi="ar"/>
              </w:rPr>
              <w:t>D</w:t>
            </w:r>
            <w:r>
              <w:rPr>
                <w:kern w:val="0"/>
                <w:szCs w:val="21"/>
                <w:vertAlign w:val="subscript"/>
                <w:lang w:bidi="ar"/>
              </w:rPr>
              <w:t>C</w:t>
            </w:r>
            <w:r>
              <w:rPr>
                <w:kern w:val="0"/>
                <w:szCs w:val="21"/>
                <w:lang w:bidi="ar"/>
              </w:rPr>
              <w:t>--指向性校正，它描述点声源的等效连续声压级与产生声功率级L</w:t>
            </w:r>
            <w:r>
              <w:rPr>
                <w:kern w:val="0"/>
                <w:szCs w:val="21"/>
                <w:vertAlign w:val="subscript"/>
                <w:lang w:bidi="ar"/>
              </w:rPr>
              <w:t>w</w:t>
            </w:r>
            <w:r>
              <w:rPr>
                <w:kern w:val="0"/>
                <w:szCs w:val="21"/>
                <w:lang w:bidi="ar"/>
              </w:rPr>
              <w:t>的全向点声源在规定方向的声级的偏差程度，dB；</w:t>
            </w:r>
          </w:p>
          <w:p>
            <w:pPr>
              <w:adjustRightInd w:val="0"/>
              <w:snapToGrid w:val="0"/>
              <w:ind w:firstLine="1200" w:firstLineChars="500"/>
              <w:rPr>
                <w:kern w:val="0"/>
                <w:szCs w:val="21"/>
              </w:rPr>
            </w:pPr>
            <w:r>
              <w:rPr>
                <w:kern w:val="0"/>
                <w:szCs w:val="21"/>
                <w:lang w:bidi="ar"/>
              </w:rPr>
              <w:t>A</w:t>
            </w:r>
            <w:r>
              <w:rPr>
                <w:kern w:val="0"/>
                <w:szCs w:val="21"/>
                <w:vertAlign w:val="subscript"/>
                <w:lang w:bidi="ar"/>
              </w:rPr>
              <w:t>div</w:t>
            </w:r>
            <w:r>
              <w:rPr>
                <w:kern w:val="0"/>
                <w:szCs w:val="21"/>
                <w:lang w:bidi="ar"/>
              </w:rPr>
              <w:t>--几何发散引起的衰减，dB；</w:t>
            </w:r>
          </w:p>
          <w:p>
            <w:pPr>
              <w:adjustRightInd w:val="0"/>
              <w:snapToGrid w:val="0"/>
              <w:ind w:firstLine="1200" w:firstLineChars="500"/>
              <w:rPr>
                <w:kern w:val="0"/>
                <w:szCs w:val="21"/>
              </w:rPr>
            </w:pPr>
            <w:r>
              <w:rPr>
                <w:kern w:val="0"/>
                <w:szCs w:val="21"/>
                <w:lang w:bidi="ar"/>
              </w:rPr>
              <w:t>A</w:t>
            </w:r>
            <w:r>
              <w:rPr>
                <w:kern w:val="0"/>
                <w:szCs w:val="21"/>
                <w:vertAlign w:val="subscript"/>
                <w:lang w:bidi="ar"/>
              </w:rPr>
              <w:t>atm</w:t>
            </w:r>
            <w:r>
              <w:rPr>
                <w:kern w:val="0"/>
                <w:szCs w:val="21"/>
                <w:lang w:bidi="ar"/>
              </w:rPr>
              <w:t>--大气吸收引起的衰减，dB；</w:t>
            </w:r>
          </w:p>
          <w:p>
            <w:pPr>
              <w:adjustRightInd w:val="0"/>
              <w:snapToGrid w:val="0"/>
              <w:ind w:firstLine="1156" w:firstLineChars="482"/>
              <w:rPr>
                <w:kern w:val="0"/>
                <w:szCs w:val="21"/>
              </w:rPr>
            </w:pPr>
            <w:r>
              <w:rPr>
                <w:kern w:val="0"/>
                <w:szCs w:val="21"/>
                <w:lang w:bidi="ar"/>
              </w:rPr>
              <w:t>A</w:t>
            </w:r>
            <w:r>
              <w:rPr>
                <w:kern w:val="0"/>
                <w:szCs w:val="21"/>
                <w:vertAlign w:val="subscript"/>
                <w:lang w:bidi="ar"/>
              </w:rPr>
              <w:t>gr</w:t>
            </w:r>
            <w:r>
              <w:rPr>
                <w:kern w:val="0"/>
                <w:szCs w:val="21"/>
                <w:lang w:bidi="ar"/>
              </w:rPr>
              <w:t>--地面效应引起的衰减，dB；</w:t>
            </w:r>
          </w:p>
          <w:p>
            <w:pPr>
              <w:adjustRightInd w:val="0"/>
              <w:snapToGrid w:val="0"/>
              <w:ind w:firstLine="1200" w:firstLineChars="500"/>
              <w:rPr>
                <w:kern w:val="0"/>
                <w:szCs w:val="21"/>
              </w:rPr>
            </w:pPr>
            <w:r>
              <w:rPr>
                <w:kern w:val="0"/>
                <w:szCs w:val="21"/>
                <w:lang w:bidi="ar"/>
              </w:rPr>
              <w:t>A</w:t>
            </w:r>
            <w:r>
              <w:rPr>
                <w:kern w:val="0"/>
                <w:szCs w:val="21"/>
                <w:vertAlign w:val="subscript"/>
                <w:lang w:bidi="ar"/>
              </w:rPr>
              <w:t>bar</w:t>
            </w:r>
            <w:r>
              <w:rPr>
                <w:kern w:val="0"/>
                <w:szCs w:val="21"/>
                <w:lang w:bidi="ar"/>
              </w:rPr>
              <w:t>--障碍物屏蔽引起的衰减，dB；</w:t>
            </w:r>
          </w:p>
          <w:p>
            <w:pPr>
              <w:adjustRightInd w:val="0"/>
              <w:snapToGrid w:val="0"/>
              <w:ind w:left="24" w:leftChars="10" w:right="24" w:rightChars="10" w:firstLine="1200" w:firstLineChars="500"/>
              <w:rPr>
                <w:kern w:val="0"/>
                <w:szCs w:val="21"/>
              </w:rPr>
            </w:pPr>
            <w:r>
              <w:rPr>
                <w:kern w:val="0"/>
                <w:szCs w:val="21"/>
                <w:lang w:bidi="ar"/>
              </w:rPr>
              <w:t>A</w:t>
            </w:r>
            <w:r>
              <w:rPr>
                <w:kern w:val="0"/>
                <w:szCs w:val="21"/>
                <w:vertAlign w:val="subscript"/>
                <w:lang w:bidi="ar"/>
              </w:rPr>
              <w:t>misc</w:t>
            </w:r>
            <w:r>
              <w:rPr>
                <w:kern w:val="0"/>
                <w:szCs w:val="21"/>
                <w:lang w:bidi="ar"/>
              </w:rPr>
              <w:t>--其他多方面效应引起的衰减，dB。</w:t>
            </w:r>
          </w:p>
          <w:p>
            <w:pPr>
              <w:adjustRightInd w:val="0"/>
              <w:snapToGrid w:val="0"/>
              <w:spacing w:line="360" w:lineRule="auto"/>
              <w:ind w:left="24" w:leftChars="10" w:right="24" w:rightChars="10" w:firstLine="0" w:firstLineChars="0"/>
              <w:jc w:val="center"/>
              <w:rPr>
                <w:kern w:val="0"/>
                <w:szCs w:val="21"/>
              </w:rPr>
            </w:pPr>
            <w:r>
              <w:rPr>
                <w:kern w:val="0"/>
                <w:szCs w:val="21"/>
                <w:lang w:bidi="ar"/>
              </w:rPr>
              <w:t>L</w:t>
            </w:r>
            <w:r>
              <w:rPr>
                <w:kern w:val="0"/>
                <w:szCs w:val="21"/>
                <w:vertAlign w:val="subscript"/>
                <w:lang w:bidi="ar"/>
              </w:rPr>
              <w:t>p</w:t>
            </w:r>
            <w:r>
              <w:rPr>
                <w:kern w:val="0"/>
                <w:szCs w:val="21"/>
                <w:lang w:bidi="ar"/>
              </w:rPr>
              <w:t>（r）＝L</w:t>
            </w:r>
            <w:r>
              <w:rPr>
                <w:kern w:val="0"/>
                <w:szCs w:val="21"/>
                <w:vertAlign w:val="subscript"/>
                <w:lang w:bidi="ar"/>
              </w:rPr>
              <w:t>p</w:t>
            </w:r>
            <w:r>
              <w:rPr>
                <w:kern w:val="0"/>
                <w:szCs w:val="21"/>
                <w:lang w:bidi="ar"/>
              </w:rPr>
              <w:t>（r</w:t>
            </w:r>
            <w:r>
              <w:rPr>
                <w:kern w:val="0"/>
                <w:szCs w:val="21"/>
                <w:vertAlign w:val="subscript"/>
                <w:lang w:bidi="ar"/>
              </w:rPr>
              <w:t>0</w:t>
            </w:r>
            <w:r>
              <w:rPr>
                <w:kern w:val="0"/>
                <w:szCs w:val="21"/>
                <w:lang w:bidi="ar"/>
              </w:rPr>
              <w:t>）+D</w:t>
            </w:r>
            <w:r>
              <w:rPr>
                <w:kern w:val="0"/>
                <w:szCs w:val="21"/>
                <w:vertAlign w:val="subscript"/>
                <w:lang w:bidi="ar"/>
              </w:rPr>
              <w:t>C</w:t>
            </w:r>
            <w:r>
              <w:rPr>
                <w:kern w:val="0"/>
                <w:szCs w:val="21"/>
                <w:lang w:bidi="ar"/>
              </w:rPr>
              <w:t>－（A</w:t>
            </w:r>
            <w:r>
              <w:rPr>
                <w:kern w:val="0"/>
                <w:szCs w:val="21"/>
                <w:vertAlign w:val="subscript"/>
                <w:lang w:bidi="ar"/>
              </w:rPr>
              <w:t>div</w:t>
            </w:r>
            <w:r>
              <w:rPr>
                <w:kern w:val="0"/>
                <w:szCs w:val="21"/>
                <w:lang w:bidi="ar"/>
              </w:rPr>
              <w:t>＋A</w:t>
            </w:r>
            <w:r>
              <w:rPr>
                <w:kern w:val="0"/>
                <w:szCs w:val="21"/>
                <w:vertAlign w:val="subscript"/>
                <w:lang w:bidi="ar"/>
              </w:rPr>
              <w:t>atm</w:t>
            </w:r>
            <w:r>
              <w:rPr>
                <w:kern w:val="0"/>
                <w:szCs w:val="21"/>
                <w:lang w:bidi="ar"/>
              </w:rPr>
              <w:t>＋A</w:t>
            </w:r>
            <w:r>
              <w:rPr>
                <w:kern w:val="0"/>
                <w:szCs w:val="21"/>
                <w:vertAlign w:val="subscript"/>
                <w:lang w:bidi="ar"/>
              </w:rPr>
              <w:t>gr</w:t>
            </w:r>
            <w:r>
              <w:rPr>
                <w:kern w:val="0"/>
                <w:szCs w:val="21"/>
                <w:lang w:bidi="ar"/>
              </w:rPr>
              <w:t>＋A</w:t>
            </w:r>
            <w:r>
              <w:rPr>
                <w:kern w:val="0"/>
                <w:szCs w:val="21"/>
                <w:vertAlign w:val="subscript"/>
                <w:lang w:bidi="ar"/>
              </w:rPr>
              <w:t>bar</w:t>
            </w:r>
            <w:r>
              <w:rPr>
                <w:kern w:val="0"/>
                <w:szCs w:val="21"/>
                <w:lang w:bidi="ar"/>
              </w:rPr>
              <w:t>＋A</w:t>
            </w:r>
            <w:r>
              <w:rPr>
                <w:kern w:val="0"/>
                <w:szCs w:val="21"/>
                <w:vertAlign w:val="subscript"/>
                <w:lang w:bidi="ar"/>
              </w:rPr>
              <w:t>misc</w:t>
            </w:r>
            <w:r>
              <w:rPr>
                <w:kern w:val="0"/>
                <w:szCs w:val="21"/>
                <w:lang w:bidi="ar"/>
              </w:rPr>
              <w:t>）（A.2）</w:t>
            </w:r>
          </w:p>
          <w:p>
            <w:pPr>
              <w:adjustRightInd w:val="0"/>
              <w:snapToGrid w:val="0"/>
              <w:spacing w:line="360" w:lineRule="auto"/>
              <w:ind w:left="24" w:leftChars="10" w:right="24" w:rightChars="10" w:firstLine="480"/>
              <w:rPr>
                <w:kern w:val="0"/>
                <w:szCs w:val="21"/>
              </w:rPr>
            </w:pPr>
            <w:r>
              <w:rPr>
                <w:kern w:val="0"/>
                <w:szCs w:val="21"/>
                <w:lang w:bidi="ar"/>
              </w:rPr>
              <w:t>式中：L</w:t>
            </w:r>
            <w:r>
              <w:rPr>
                <w:kern w:val="0"/>
                <w:szCs w:val="21"/>
                <w:vertAlign w:val="subscript"/>
                <w:lang w:bidi="ar"/>
              </w:rPr>
              <w:t>p</w:t>
            </w:r>
            <w:r>
              <w:rPr>
                <w:kern w:val="0"/>
                <w:szCs w:val="21"/>
                <w:lang w:bidi="ar"/>
              </w:rPr>
              <w:t>（r）--预测点处声压级，dB；</w:t>
            </w:r>
          </w:p>
          <w:p>
            <w:pPr>
              <w:adjustRightInd w:val="0"/>
              <w:snapToGrid w:val="0"/>
              <w:spacing w:line="360" w:lineRule="auto"/>
              <w:ind w:left="24" w:leftChars="10" w:right="24" w:rightChars="10" w:firstLine="1200" w:firstLineChars="500"/>
              <w:rPr>
                <w:kern w:val="0"/>
                <w:szCs w:val="21"/>
              </w:rPr>
            </w:pPr>
            <w:r>
              <w:rPr>
                <w:kern w:val="0"/>
                <w:szCs w:val="21"/>
                <w:lang w:bidi="ar"/>
              </w:rPr>
              <w:t>L</w:t>
            </w:r>
            <w:r>
              <w:rPr>
                <w:kern w:val="0"/>
                <w:szCs w:val="21"/>
                <w:vertAlign w:val="subscript"/>
                <w:lang w:bidi="ar"/>
              </w:rPr>
              <w:t>p</w:t>
            </w:r>
            <w:r>
              <w:rPr>
                <w:kern w:val="0"/>
                <w:szCs w:val="21"/>
                <w:lang w:bidi="ar"/>
              </w:rPr>
              <w:t>（r</w:t>
            </w:r>
            <w:r>
              <w:rPr>
                <w:kern w:val="0"/>
                <w:szCs w:val="21"/>
                <w:vertAlign w:val="subscript"/>
                <w:lang w:bidi="ar"/>
              </w:rPr>
              <w:t>0</w:t>
            </w:r>
            <w:r>
              <w:rPr>
                <w:kern w:val="0"/>
                <w:szCs w:val="21"/>
                <w:lang w:bidi="ar"/>
              </w:rPr>
              <w:t>）--参考位置r0处的声压级，dB；</w:t>
            </w:r>
          </w:p>
          <w:p>
            <w:pPr>
              <w:adjustRightInd w:val="0"/>
              <w:snapToGrid w:val="0"/>
              <w:spacing w:line="360" w:lineRule="auto"/>
              <w:ind w:left="504" w:leftChars="10" w:right="24" w:rightChars="10" w:hanging="480" w:hangingChars="200"/>
              <w:rPr>
                <w:kern w:val="0"/>
                <w:szCs w:val="21"/>
              </w:rPr>
            </w:pPr>
            <w:r>
              <w:rPr>
                <w:kern w:val="0"/>
                <w:szCs w:val="21"/>
                <w:lang w:bidi="ar"/>
              </w:rPr>
              <w:t>D</w:t>
            </w:r>
            <w:r>
              <w:rPr>
                <w:kern w:val="0"/>
                <w:szCs w:val="21"/>
                <w:vertAlign w:val="subscript"/>
                <w:lang w:bidi="ar"/>
              </w:rPr>
              <w:t>C</w:t>
            </w:r>
            <w:r>
              <w:rPr>
                <w:kern w:val="0"/>
                <w:szCs w:val="21"/>
                <w:lang w:bidi="ar"/>
              </w:rPr>
              <w:t>--指向性校正，它描述点声源的等效连续声压级与产生声功率级L</w:t>
            </w:r>
            <w:r>
              <w:rPr>
                <w:kern w:val="0"/>
                <w:szCs w:val="21"/>
                <w:vertAlign w:val="subscript"/>
                <w:lang w:bidi="ar"/>
              </w:rPr>
              <w:t>w</w:t>
            </w:r>
            <w:r>
              <w:rPr>
                <w:kern w:val="0"/>
                <w:szCs w:val="21"/>
                <w:lang w:bidi="ar"/>
              </w:rPr>
              <w:t>的全向点声源在规定方向的声级的偏差程度，dB；</w:t>
            </w:r>
          </w:p>
          <w:p>
            <w:pPr>
              <w:adjustRightInd w:val="0"/>
              <w:snapToGrid w:val="0"/>
              <w:spacing w:line="360" w:lineRule="auto"/>
              <w:ind w:left="24" w:leftChars="10" w:right="24" w:rightChars="10" w:firstLine="1200" w:firstLineChars="500"/>
              <w:rPr>
                <w:kern w:val="0"/>
                <w:szCs w:val="21"/>
              </w:rPr>
            </w:pPr>
            <w:r>
              <w:rPr>
                <w:kern w:val="0"/>
                <w:szCs w:val="21"/>
                <w:lang w:bidi="ar"/>
              </w:rPr>
              <w:t>A</w:t>
            </w:r>
            <w:r>
              <w:rPr>
                <w:kern w:val="0"/>
                <w:szCs w:val="21"/>
                <w:vertAlign w:val="subscript"/>
                <w:lang w:bidi="ar"/>
              </w:rPr>
              <w:t>div</w:t>
            </w:r>
            <w:r>
              <w:rPr>
                <w:kern w:val="0"/>
                <w:szCs w:val="21"/>
                <w:lang w:bidi="ar"/>
              </w:rPr>
              <w:t>--几何发散引起的衰减，dB；</w:t>
            </w:r>
          </w:p>
          <w:p>
            <w:pPr>
              <w:adjustRightInd w:val="0"/>
              <w:snapToGrid w:val="0"/>
              <w:spacing w:line="360" w:lineRule="auto"/>
              <w:ind w:left="24" w:leftChars="10" w:right="24" w:rightChars="10" w:firstLine="1200" w:firstLineChars="500"/>
              <w:rPr>
                <w:kern w:val="0"/>
                <w:szCs w:val="21"/>
              </w:rPr>
            </w:pPr>
            <w:r>
              <w:rPr>
                <w:kern w:val="0"/>
                <w:szCs w:val="21"/>
                <w:lang w:bidi="ar"/>
              </w:rPr>
              <w:t>A</w:t>
            </w:r>
            <w:r>
              <w:rPr>
                <w:kern w:val="0"/>
                <w:szCs w:val="21"/>
                <w:vertAlign w:val="subscript"/>
                <w:lang w:bidi="ar"/>
              </w:rPr>
              <w:t>atm</w:t>
            </w:r>
            <w:r>
              <w:rPr>
                <w:kern w:val="0"/>
                <w:szCs w:val="21"/>
                <w:lang w:bidi="ar"/>
              </w:rPr>
              <w:t>--大气吸收引起的衰减，dB；</w:t>
            </w:r>
          </w:p>
          <w:p>
            <w:pPr>
              <w:adjustRightInd w:val="0"/>
              <w:snapToGrid w:val="0"/>
              <w:spacing w:line="360" w:lineRule="auto"/>
              <w:ind w:left="24" w:leftChars="10" w:right="24" w:rightChars="10" w:firstLine="1200" w:firstLineChars="500"/>
              <w:rPr>
                <w:kern w:val="0"/>
                <w:szCs w:val="21"/>
              </w:rPr>
            </w:pPr>
            <w:r>
              <w:rPr>
                <w:kern w:val="0"/>
                <w:szCs w:val="21"/>
                <w:lang w:bidi="ar"/>
              </w:rPr>
              <w:t>A</w:t>
            </w:r>
            <w:r>
              <w:rPr>
                <w:kern w:val="0"/>
                <w:szCs w:val="21"/>
                <w:vertAlign w:val="subscript"/>
                <w:lang w:bidi="ar"/>
              </w:rPr>
              <w:t>gr</w:t>
            </w:r>
            <w:r>
              <w:rPr>
                <w:kern w:val="0"/>
                <w:szCs w:val="21"/>
                <w:lang w:bidi="ar"/>
              </w:rPr>
              <w:t>--地面效应引起的衰减，dB；</w:t>
            </w:r>
          </w:p>
          <w:p>
            <w:pPr>
              <w:adjustRightInd w:val="0"/>
              <w:snapToGrid w:val="0"/>
              <w:spacing w:line="360" w:lineRule="auto"/>
              <w:ind w:left="24" w:leftChars="10" w:right="24" w:rightChars="10" w:firstLine="1200" w:firstLineChars="500"/>
              <w:rPr>
                <w:kern w:val="0"/>
                <w:szCs w:val="21"/>
              </w:rPr>
            </w:pPr>
            <w:r>
              <w:rPr>
                <w:kern w:val="0"/>
                <w:szCs w:val="21"/>
                <w:lang w:bidi="ar"/>
              </w:rPr>
              <w:t>A</w:t>
            </w:r>
            <w:r>
              <w:rPr>
                <w:kern w:val="0"/>
                <w:szCs w:val="21"/>
                <w:vertAlign w:val="subscript"/>
                <w:lang w:bidi="ar"/>
              </w:rPr>
              <w:t>bar</w:t>
            </w:r>
            <w:r>
              <w:rPr>
                <w:kern w:val="0"/>
                <w:szCs w:val="21"/>
                <w:lang w:bidi="ar"/>
              </w:rPr>
              <w:t>--障碍物屏蔽引起的衰减，dB；</w:t>
            </w:r>
          </w:p>
          <w:p>
            <w:pPr>
              <w:adjustRightInd w:val="0"/>
              <w:snapToGrid w:val="0"/>
              <w:spacing w:line="360" w:lineRule="auto"/>
              <w:ind w:left="24" w:leftChars="10" w:right="24" w:rightChars="10" w:firstLine="1200" w:firstLineChars="500"/>
              <w:rPr>
                <w:kern w:val="0"/>
                <w:szCs w:val="21"/>
              </w:rPr>
            </w:pPr>
            <w:r>
              <w:rPr>
                <w:kern w:val="0"/>
                <w:szCs w:val="21"/>
                <w:lang w:bidi="ar"/>
              </w:rPr>
              <w:t>A</w:t>
            </w:r>
            <w:r>
              <w:rPr>
                <w:kern w:val="0"/>
                <w:szCs w:val="21"/>
                <w:vertAlign w:val="subscript"/>
                <w:lang w:bidi="ar"/>
              </w:rPr>
              <w:t>misc</w:t>
            </w:r>
            <w:r>
              <w:rPr>
                <w:kern w:val="0"/>
                <w:szCs w:val="21"/>
                <w:lang w:bidi="ar"/>
              </w:rPr>
              <w:t>--其他多方面效应引起的衰减，dB</w:t>
            </w:r>
          </w:p>
          <w:p>
            <w:pPr>
              <w:adjustRightInd w:val="0"/>
              <w:snapToGrid w:val="0"/>
              <w:ind w:left="24" w:leftChars="10" w:right="24" w:rightChars="10" w:firstLine="480"/>
              <w:jc w:val="left"/>
              <w:rPr>
                <w:szCs w:val="21"/>
                <w:lang w:bidi="ar"/>
              </w:rPr>
            </w:pPr>
            <w:r>
              <w:rPr>
                <w:szCs w:val="21"/>
                <w:lang w:bidi="ar"/>
              </w:rPr>
              <w:t>预测点的A声级LA（r）可按式（A.3）计算，即将8个倍频带声压级合成，计算出预测点的A声级[LA（r）]</w:t>
            </w:r>
          </w:p>
          <w:p>
            <w:pPr>
              <w:adjustRightInd w:val="0"/>
              <w:snapToGrid w:val="0"/>
              <w:spacing w:line="360" w:lineRule="auto"/>
              <w:ind w:left="24" w:leftChars="10" w:right="24" w:rightChars="10" w:firstLine="0" w:firstLineChars="0"/>
              <w:jc w:val="center"/>
              <w:rPr>
                <w:szCs w:val="21"/>
                <w:lang w:bidi="ar"/>
              </w:rPr>
            </w:pPr>
            <w:r>
              <w:rPr>
                <w:position w:val="-30"/>
                <w:szCs w:val="21"/>
                <w:lang w:bidi="ar"/>
              </w:rPr>
              <w:object>
                <v:shape id="_x0000_i1031" o:spt="75" type="#_x0000_t75" style="height:37.65pt;width:144pt;" o:ole="t" filled="f" o:preferrelative="t" stroked="f" coordsize="21600,21600">
                  <v:path/>
                  <v:fill on="f" focussize="0,0"/>
                  <v:stroke on="f" joinstyle="miter"/>
                  <v:imagedata r:id="rId29" o:title=""/>
                  <o:lock v:ext="edit" aspectratio="t"/>
                  <w10:wrap type="none"/>
                  <w10:anchorlock/>
                </v:shape>
                <o:OLEObject Type="Embed" ProgID="Equation.3" ShapeID="_x0000_i1031" DrawAspect="Content" ObjectID="_1468075731" r:id="rId28">
                  <o:LockedField>false</o:LockedField>
                </o:OLEObject>
              </w:object>
            </w:r>
          </w:p>
          <w:p>
            <w:pPr>
              <w:adjustRightInd w:val="0"/>
              <w:snapToGrid w:val="0"/>
              <w:ind w:left="24" w:leftChars="10" w:right="24" w:rightChars="10" w:firstLine="480"/>
              <w:jc w:val="left"/>
              <w:rPr>
                <w:kern w:val="0"/>
                <w:szCs w:val="21"/>
                <w:lang w:bidi="ar"/>
              </w:rPr>
            </w:pPr>
            <w:r>
              <w:rPr>
                <w:kern w:val="0"/>
                <w:szCs w:val="21"/>
                <w:lang w:bidi="ar"/>
              </w:rPr>
              <w:t>式中：LA（r）--距声源r处的A声级，dB（A）；</w:t>
            </w:r>
          </w:p>
          <w:p>
            <w:pPr>
              <w:adjustRightInd w:val="0"/>
              <w:snapToGrid w:val="0"/>
              <w:ind w:left="24" w:leftChars="10" w:right="24" w:rightChars="10" w:firstLine="1200" w:firstLineChars="500"/>
              <w:jc w:val="left"/>
              <w:rPr>
                <w:kern w:val="0"/>
                <w:szCs w:val="21"/>
                <w:lang w:bidi="ar"/>
              </w:rPr>
            </w:pPr>
            <w:r>
              <w:rPr>
                <w:kern w:val="0"/>
                <w:szCs w:val="21"/>
                <w:lang w:bidi="ar"/>
              </w:rPr>
              <w:t>Lpi（r）--预测点（r）处，第i倍频带声压级，dB；</w:t>
            </w:r>
          </w:p>
          <w:p>
            <w:pPr>
              <w:adjustRightInd w:val="0"/>
              <w:snapToGrid w:val="0"/>
              <w:ind w:left="24" w:leftChars="10" w:right="24" w:rightChars="10" w:firstLine="1200" w:firstLineChars="500"/>
              <w:jc w:val="left"/>
              <w:rPr>
                <w:kern w:val="0"/>
                <w:szCs w:val="21"/>
                <w:lang w:bidi="ar"/>
              </w:rPr>
            </w:pPr>
            <w:r>
              <w:rPr>
                <w:rFonts w:hint="eastAsia"/>
                <w:kern w:val="0"/>
                <w:szCs w:val="21"/>
                <w:lang w:bidi="ar"/>
              </w:rPr>
              <w:t>△</w:t>
            </w:r>
            <w:r>
              <w:rPr>
                <w:kern w:val="0"/>
                <w:szCs w:val="21"/>
                <w:lang w:bidi="ar"/>
              </w:rPr>
              <w:t>Li----第i倍频带的A计权网络修正值，dB</w:t>
            </w:r>
          </w:p>
          <w:p>
            <w:pPr>
              <w:adjustRightInd w:val="0"/>
              <w:snapToGrid w:val="0"/>
              <w:ind w:left="24" w:leftChars="10" w:right="24" w:rightChars="10" w:firstLine="480"/>
              <w:jc w:val="left"/>
              <w:rPr>
                <w:szCs w:val="21"/>
                <w:lang w:bidi="ar"/>
              </w:rPr>
            </w:pPr>
            <w:r>
              <w:rPr>
                <w:rFonts w:hint="eastAsia"/>
                <w:szCs w:val="21"/>
                <w:lang w:bidi="ar"/>
              </w:rPr>
              <w:t>③预测内容</w:t>
            </w:r>
          </w:p>
          <w:p>
            <w:pPr>
              <w:adjustRightInd w:val="0"/>
              <w:snapToGrid w:val="0"/>
              <w:ind w:left="24" w:leftChars="10" w:right="24" w:rightChars="10" w:firstLine="480"/>
              <w:rPr>
                <w:szCs w:val="21"/>
                <w:lang w:bidi="ar"/>
              </w:rPr>
            </w:pPr>
            <w:r>
              <w:rPr>
                <w:rFonts w:hint="eastAsia"/>
                <w:szCs w:val="21"/>
                <w:lang w:bidi="ar"/>
              </w:rPr>
              <w:t>主要预测和评价内容：正常工况下，噪声源对厂界声环境的影响，预测厂界贡献值及达标情况。</w:t>
            </w:r>
          </w:p>
          <w:p>
            <w:pPr>
              <w:adjustRightInd w:val="0"/>
              <w:snapToGrid w:val="0"/>
              <w:ind w:left="24" w:leftChars="10" w:right="24" w:rightChars="10" w:firstLine="480"/>
              <w:rPr>
                <w:szCs w:val="21"/>
              </w:rPr>
            </w:pPr>
            <w:r>
              <w:rPr>
                <w:rFonts w:hint="eastAsia"/>
                <w:szCs w:val="21"/>
              </w:rPr>
              <w:t>④预测结果</w:t>
            </w:r>
          </w:p>
          <w:p>
            <w:pPr>
              <w:adjustRightInd w:val="0"/>
              <w:snapToGrid w:val="0"/>
              <w:ind w:left="24" w:leftChars="10" w:right="24" w:rightChars="10" w:firstLine="480"/>
              <w:rPr>
                <w:szCs w:val="21"/>
              </w:rPr>
            </w:pPr>
            <w:r>
              <w:rPr>
                <w:rFonts w:hint="eastAsia"/>
                <w:szCs w:val="21"/>
              </w:rPr>
              <w:t>根据工程主要噪声源参数，按上述模式进行噪声影响值预测计算，结果见下表。</w:t>
            </w:r>
          </w:p>
          <w:p>
            <w:pPr>
              <w:pStyle w:val="14"/>
            </w:pPr>
          </w:p>
          <w:p>
            <w:pPr>
              <w:pStyle w:val="14"/>
            </w:pPr>
          </w:p>
          <w:p>
            <w:pPr>
              <w:pStyle w:val="14"/>
            </w:pPr>
          </w:p>
          <w:p>
            <w:pPr>
              <w:pStyle w:val="14"/>
            </w:pPr>
          </w:p>
          <w:p>
            <w:pPr>
              <w:pStyle w:val="14"/>
            </w:pPr>
          </w:p>
          <w:p>
            <w:pPr>
              <w:pStyle w:val="14"/>
            </w:pPr>
          </w:p>
          <w:p>
            <w:pPr>
              <w:pStyle w:val="14"/>
            </w:pPr>
            <w:r>
              <w:rPr>
                <w:rFonts w:hint="eastAsia"/>
              </w:rPr>
              <w:t xml:space="preserve">表33  噪声预测结果一览表   </w:t>
            </w:r>
            <w:r>
              <w:rPr>
                <w:rFonts w:hint="eastAsia"/>
                <w:sz w:val="21"/>
              </w:rPr>
              <w:t>单位：dB（A）</w:t>
            </w:r>
          </w:p>
          <w:tbl>
            <w:tblPr>
              <w:tblStyle w:val="16"/>
              <w:tblW w:w="494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1361"/>
              <w:gridCol w:w="1404"/>
              <w:gridCol w:w="1666"/>
              <w:gridCol w:w="1666"/>
              <w:gridCol w:w="1345"/>
              <w:gridCol w:w="134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774" w:type="pct"/>
                  <w:vAlign w:val="center"/>
                </w:tcPr>
                <w:p>
                  <w:pPr>
                    <w:pStyle w:val="32"/>
                    <w:spacing w:line="240" w:lineRule="auto"/>
                    <w:ind w:right="46" w:rightChars="19" w:firstLine="0" w:firstLineChars="0"/>
                    <w:jc w:val="center"/>
                    <w:rPr>
                      <w:sz w:val="21"/>
                      <w:szCs w:val="21"/>
                    </w:rPr>
                  </w:pPr>
                  <w:r>
                    <w:rPr>
                      <w:sz w:val="21"/>
                      <w:szCs w:val="21"/>
                    </w:rPr>
                    <w:t>名称</w:t>
                  </w:r>
                </w:p>
              </w:tc>
              <w:tc>
                <w:tcPr>
                  <w:tcW w:w="799" w:type="pct"/>
                  <w:vAlign w:val="center"/>
                </w:tcPr>
                <w:p>
                  <w:pPr>
                    <w:pStyle w:val="32"/>
                    <w:spacing w:line="240" w:lineRule="auto"/>
                    <w:ind w:right="46" w:rightChars="19" w:firstLine="0" w:firstLineChars="0"/>
                    <w:jc w:val="center"/>
                    <w:rPr>
                      <w:sz w:val="21"/>
                      <w:szCs w:val="21"/>
                    </w:rPr>
                  </w:pPr>
                  <w:r>
                    <w:rPr>
                      <w:sz w:val="21"/>
                      <w:szCs w:val="21"/>
                    </w:rPr>
                    <w:t>时间</w:t>
                  </w:r>
                </w:p>
              </w:tc>
              <w:tc>
                <w:tcPr>
                  <w:tcW w:w="948" w:type="pct"/>
                </w:tcPr>
                <w:p>
                  <w:pPr>
                    <w:pStyle w:val="32"/>
                    <w:spacing w:line="240" w:lineRule="auto"/>
                    <w:ind w:right="46" w:rightChars="19" w:firstLine="0" w:firstLineChars="0"/>
                    <w:jc w:val="center"/>
                    <w:rPr>
                      <w:sz w:val="21"/>
                      <w:szCs w:val="21"/>
                      <w:lang w:eastAsia="zh-CN"/>
                    </w:rPr>
                  </w:pPr>
                  <w:r>
                    <w:rPr>
                      <w:rFonts w:hint="eastAsia"/>
                      <w:sz w:val="21"/>
                      <w:szCs w:val="21"/>
                      <w:lang w:eastAsia="zh-CN"/>
                    </w:rPr>
                    <w:t>昼间贡献值</w:t>
                  </w:r>
                </w:p>
              </w:tc>
              <w:tc>
                <w:tcPr>
                  <w:tcW w:w="948" w:type="pct"/>
                  <w:vAlign w:val="center"/>
                </w:tcPr>
                <w:p>
                  <w:pPr>
                    <w:pStyle w:val="32"/>
                    <w:spacing w:line="240" w:lineRule="auto"/>
                    <w:ind w:right="46" w:rightChars="19" w:firstLine="0" w:firstLineChars="0"/>
                    <w:jc w:val="center"/>
                    <w:rPr>
                      <w:sz w:val="21"/>
                      <w:szCs w:val="21"/>
                    </w:rPr>
                  </w:pPr>
                  <w:r>
                    <w:rPr>
                      <w:rFonts w:hint="eastAsia"/>
                      <w:sz w:val="21"/>
                      <w:szCs w:val="21"/>
                      <w:lang w:eastAsia="zh-CN"/>
                    </w:rPr>
                    <w:t>夜间</w:t>
                  </w:r>
                  <w:r>
                    <w:rPr>
                      <w:sz w:val="21"/>
                      <w:szCs w:val="21"/>
                    </w:rPr>
                    <w:t>贡献值</w:t>
                  </w:r>
                </w:p>
              </w:tc>
              <w:tc>
                <w:tcPr>
                  <w:tcW w:w="765" w:type="pct"/>
                  <w:vAlign w:val="center"/>
                </w:tcPr>
                <w:p>
                  <w:pPr>
                    <w:pStyle w:val="32"/>
                    <w:spacing w:line="240" w:lineRule="auto"/>
                    <w:ind w:right="46" w:rightChars="19" w:firstLine="0" w:firstLineChars="0"/>
                    <w:jc w:val="center"/>
                    <w:rPr>
                      <w:sz w:val="21"/>
                      <w:szCs w:val="21"/>
                    </w:rPr>
                  </w:pPr>
                  <w:r>
                    <w:rPr>
                      <w:sz w:val="21"/>
                      <w:szCs w:val="21"/>
                    </w:rPr>
                    <w:t>标准值</w:t>
                  </w:r>
                </w:p>
              </w:tc>
              <w:tc>
                <w:tcPr>
                  <w:tcW w:w="767" w:type="pct"/>
                  <w:vAlign w:val="center"/>
                </w:tcPr>
                <w:p>
                  <w:pPr>
                    <w:pStyle w:val="32"/>
                    <w:spacing w:line="240" w:lineRule="auto"/>
                    <w:ind w:right="46" w:rightChars="19" w:firstLine="0" w:firstLineChars="0"/>
                    <w:jc w:val="center"/>
                    <w:rPr>
                      <w:sz w:val="21"/>
                      <w:szCs w:val="21"/>
                    </w:rPr>
                  </w:pPr>
                  <w:r>
                    <w:rPr>
                      <w:sz w:val="21"/>
                      <w:szCs w:val="21"/>
                    </w:rPr>
                    <w:t>达标分析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74" w:type="pct"/>
                  <w:vAlign w:val="center"/>
                </w:tcPr>
                <w:p>
                  <w:pPr>
                    <w:pStyle w:val="32"/>
                    <w:spacing w:line="240" w:lineRule="auto"/>
                    <w:ind w:right="46" w:rightChars="19" w:firstLine="0" w:firstLineChars="0"/>
                    <w:jc w:val="center"/>
                    <w:rPr>
                      <w:sz w:val="21"/>
                      <w:szCs w:val="21"/>
                    </w:rPr>
                  </w:pPr>
                  <w:r>
                    <w:rPr>
                      <w:sz w:val="21"/>
                      <w:szCs w:val="21"/>
                    </w:rPr>
                    <w:t>东厂界</w:t>
                  </w:r>
                </w:p>
              </w:tc>
              <w:tc>
                <w:tcPr>
                  <w:tcW w:w="799" w:type="pct"/>
                  <w:vAlign w:val="center"/>
                </w:tcPr>
                <w:p>
                  <w:pPr>
                    <w:pStyle w:val="32"/>
                    <w:spacing w:line="240" w:lineRule="auto"/>
                    <w:ind w:right="46" w:rightChars="19" w:firstLine="0" w:firstLineChars="0"/>
                    <w:jc w:val="center"/>
                    <w:rPr>
                      <w:sz w:val="21"/>
                      <w:szCs w:val="21"/>
                      <w:lang w:eastAsia="zh-CN"/>
                    </w:rPr>
                  </w:pPr>
                  <w:r>
                    <w:rPr>
                      <w:sz w:val="21"/>
                      <w:szCs w:val="21"/>
                    </w:rPr>
                    <w:t>昼间</w:t>
                  </w:r>
                  <w:r>
                    <w:rPr>
                      <w:rFonts w:hint="eastAsia"/>
                      <w:sz w:val="21"/>
                      <w:szCs w:val="21"/>
                      <w:lang w:eastAsia="zh-CN"/>
                    </w:rPr>
                    <w:t>/夜间</w:t>
                  </w:r>
                </w:p>
              </w:tc>
              <w:tc>
                <w:tcPr>
                  <w:tcW w:w="948" w:type="pct"/>
                </w:tcPr>
                <w:p>
                  <w:pPr>
                    <w:pStyle w:val="28"/>
                    <w:spacing w:line="240" w:lineRule="auto"/>
                    <w:rPr>
                      <w:szCs w:val="21"/>
                    </w:rPr>
                  </w:pPr>
                  <w:r>
                    <w:rPr>
                      <w:rFonts w:hint="eastAsia"/>
                      <w:szCs w:val="21"/>
                    </w:rPr>
                    <w:t>44.13</w:t>
                  </w:r>
                </w:p>
              </w:tc>
              <w:tc>
                <w:tcPr>
                  <w:tcW w:w="948" w:type="pct"/>
                  <w:vAlign w:val="center"/>
                </w:tcPr>
                <w:p>
                  <w:pPr>
                    <w:pStyle w:val="28"/>
                    <w:spacing w:line="240" w:lineRule="auto"/>
                    <w:rPr>
                      <w:szCs w:val="21"/>
                    </w:rPr>
                  </w:pPr>
                  <w:r>
                    <w:rPr>
                      <w:rFonts w:hint="eastAsia"/>
                      <w:szCs w:val="21"/>
                    </w:rPr>
                    <w:t>43.47</w:t>
                  </w:r>
                </w:p>
              </w:tc>
              <w:tc>
                <w:tcPr>
                  <w:tcW w:w="765" w:type="pct"/>
                  <w:vAlign w:val="center"/>
                </w:tcPr>
                <w:p>
                  <w:pPr>
                    <w:pStyle w:val="32"/>
                    <w:spacing w:line="240" w:lineRule="auto"/>
                    <w:ind w:right="46" w:rightChars="19" w:firstLine="0" w:firstLineChars="0"/>
                    <w:jc w:val="center"/>
                    <w:rPr>
                      <w:sz w:val="21"/>
                      <w:szCs w:val="21"/>
                      <w:lang w:eastAsia="zh-CN"/>
                    </w:rPr>
                  </w:pPr>
                  <w:r>
                    <w:rPr>
                      <w:rFonts w:hint="eastAsia"/>
                      <w:sz w:val="21"/>
                      <w:szCs w:val="21"/>
                      <w:lang w:eastAsia="zh-CN"/>
                    </w:rPr>
                    <w:t>55/45</w:t>
                  </w:r>
                </w:p>
              </w:tc>
              <w:tc>
                <w:tcPr>
                  <w:tcW w:w="767" w:type="pct"/>
                  <w:vAlign w:val="center"/>
                </w:tcPr>
                <w:p>
                  <w:pPr>
                    <w:pStyle w:val="32"/>
                    <w:spacing w:line="240" w:lineRule="auto"/>
                    <w:ind w:right="46" w:rightChars="19" w:firstLine="0" w:firstLineChars="0"/>
                    <w:jc w:val="center"/>
                    <w:rPr>
                      <w:sz w:val="21"/>
                      <w:szCs w:val="21"/>
                    </w:rPr>
                  </w:pPr>
                  <w:r>
                    <w:rPr>
                      <w:sz w:val="21"/>
                      <w:szCs w:val="21"/>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774" w:type="pct"/>
                  <w:vAlign w:val="center"/>
                </w:tcPr>
                <w:p>
                  <w:pPr>
                    <w:pStyle w:val="32"/>
                    <w:spacing w:line="240" w:lineRule="auto"/>
                    <w:ind w:right="46" w:rightChars="19" w:firstLine="0" w:firstLineChars="0"/>
                    <w:jc w:val="center"/>
                    <w:rPr>
                      <w:sz w:val="21"/>
                      <w:szCs w:val="21"/>
                    </w:rPr>
                  </w:pPr>
                  <w:r>
                    <w:rPr>
                      <w:sz w:val="21"/>
                      <w:szCs w:val="21"/>
                    </w:rPr>
                    <w:t>南厂界</w:t>
                  </w:r>
                </w:p>
              </w:tc>
              <w:tc>
                <w:tcPr>
                  <w:tcW w:w="799" w:type="pct"/>
                  <w:vAlign w:val="center"/>
                </w:tcPr>
                <w:p>
                  <w:pPr>
                    <w:pStyle w:val="32"/>
                    <w:spacing w:line="240" w:lineRule="auto"/>
                    <w:ind w:right="46" w:rightChars="19" w:firstLine="0" w:firstLineChars="0"/>
                    <w:jc w:val="center"/>
                    <w:rPr>
                      <w:sz w:val="21"/>
                      <w:szCs w:val="21"/>
                    </w:rPr>
                  </w:pPr>
                  <w:r>
                    <w:rPr>
                      <w:sz w:val="21"/>
                      <w:szCs w:val="21"/>
                    </w:rPr>
                    <w:t>昼间</w:t>
                  </w:r>
                  <w:r>
                    <w:rPr>
                      <w:rFonts w:hint="eastAsia"/>
                      <w:sz w:val="21"/>
                      <w:szCs w:val="21"/>
                      <w:lang w:eastAsia="zh-CN"/>
                    </w:rPr>
                    <w:t>/夜间</w:t>
                  </w:r>
                </w:p>
              </w:tc>
              <w:tc>
                <w:tcPr>
                  <w:tcW w:w="948" w:type="pct"/>
                </w:tcPr>
                <w:p>
                  <w:pPr>
                    <w:pStyle w:val="28"/>
                    <w:spacing w:line="240" w:lineRule="auto"/>
                    <w:rPr>
                      <w:szCs w:val="21"/>
                    </w:rPr>
                  </w:pPr>
                  <w:r>
                    <w:rPr>
                      <w:rFonts w:hint="eastAsia"/>
                      <w:szCs w:val="21"/>
                    </w:rPr>
                    <w:t>43.57</w:t>
                  </w:r>
                </w:p>
              </w:tc>
              <w:tc>
                <w:tcPr>
                  <w:tcW w:w="948" w:type="pct"/>
                  <w:vAlign w:val="center"/>
                </w:tcPr>
                <w:p>
                  <w:pPr>
                    <w:pStyle w:val="28"/>
                    <w:spacing w:line="240" w:lineRule="auto"/>
                    <w:rPr>
                      <w:szCs w:val="21"/>
                    </w:rPr>
                  </w:pPr>
                  <w:r>
                    <w:rPr>
                      <w:rFonts w:hint="eastAsia"/>
                      <w:szCs w:val="21"/>
                    </w:rPr>
                    <w:t>42.92</w:t>
                  </w:r>
                </w:p>
              </w:tc>
              <w:tc>
                <w:tcPr>
                  <w:tcW w:w="765" w:type="pct"/>
                  <w:vAlign w:val="center"/>
                </w:tcPr>
                <w:p>
                  <w:pPr>
                    <w:pStyle w:val="32"/>
                    <w:spacing w:line="240" w:lineRule="auto"/>
                    <w:ind w:right="46" w:rightChars="19" w:firstLine="0" w:firstLineChars="0"/>
                    <w:jc w:val="center"/>
                    <w:rPr>
                      <w:sz w:val="21"/>
                      <w:szCs w:val="21"/>
                      <w:lang w:eastAsia="zh-CN"/>
                    </w:rPr>
                  </w:pPr>
                  <w:r>
                    <w:rPr>
                      <w:rFonts w:hint="eastAsia"/>
                      <w:sz w:val="21"/>
                      <w:szCs w:val="21"/>
                      <w:lang w:eastAsia="zh-CN"/>
                    </w:rPr>
                    <w:t>55/45</w:t>
                  </w:r>
                </w:p>
              </w:tc>
              <w:tc>
                <w:tcPr>
                  <w:tcW w:w="767" w:type="pct"/>
                  <w:vAlign w:val="center"/>
                </w:tcPr>
                <w:p>
                  <w:pPr>
                    <w:pStyle w:val="32"/>
                    <w:spacing w:line="240" w:lineRule="auto"/>
                    <w:ind w:right="46" w:rightChars="19" w:firstLine="0" w:firstLineChars="0"/>
                    <w:jc w:val="center"/>
                    <w:rPr>
                      <w:sz w:val="21"/>
                      <w:szCs w:val="21"/>
                    </w:rPr>
                  </w:pPr>
                  <w:r>
                    <w:rPr>
                      <w:sz w:val="21"/>
                      <w:szCs w:val="21"/>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74" w:type="pct"/>
                  <w:vAlign w:val="center"/>
                </w:tcPr>
                <w:p>
                  <w:pPr>
                    <w:pStyle w:val="32"/>
                    <w:spacing w:line="240" w:lineRule="auto"/>
                    <w:ind w:right="46" w:rightChars="19" w:firstLine="0" w:firstLineChars="0"/>
                    <w:jc w:val="center"/>
                    <w:rPr>
                      <w:sz w:val="21"/>
                      <w:szCs w:val="21"/>
                    </w:rPr>
                  </w:pPr>
                  <w:r>
                    <w:rPr>
                      <w:sz w:val="21"/>
                      <w:szCs w:val="21"/>
                    </w:rPr>
                    <w:t>西厂界</w:t>
                  </w:r>
                </w:p>
              </w:tc>
              <w:tc>
                <w:tcPr>
                  <w:tcW w:w="799" w:type="pct"/>
                  <w:vAlign w:val="center"/>
                </w:tcPr>
                <w:p>
                  <w:pPr>
                    <w:pStyle w:val="32"/>
                    <w:spacing w:line="240" w:lineRule="auto"/>
                    <w:ind w:right="46" w:rightChars="19" w:firstLine="0" w:firstLineChars="0"/>
                    <w:jc w:val="center"/>
                    <w:rPr>
                      <w:sz w:val="21"/>
                      <w:szCs w:val="21"/>
                    </w:rPr>
                  </w:pPr>
                  <w:r>
                    <w:rPr>
                      <w:sz w:val="21"/>
                      <w:szCs w:val="21"/>
                    </w:rPr>
                    <w:t>昼间</w:t>
                  </w:r>
                  <w:r>
                    <w:rPr>
                      <w:rFonts w:hint="eastAsia"/>
                      <w:sz w:val="21"/>
                      <w:szCs w:val="21"/>
                      <w:lang w:eastAsia="zh-CN"/>
                    </w:rPr>
                    <w:t>/夜间</w:t>
                  </w:r>
                </w:p>
              </w:tc>
              <w:tc>
                <w:tcPr>
                  <w:tcW w:w="948" w:type="pct"/>
                </w:tcPr>
                <w:p>
                  <w:pPr>
                    <w:pStyle w:val="28"/>
                    <w:spacing w:line="240" w:lineRule="auto"/>
                    <w:rPr>
                      <w:szCs w:val="21"/>
                    </w:rPr>
                  </w:pPr>
                  <w:r>
                    <w:rPr>
                      <w:rFonts w:hint="eastAsia"/>
                      <w:szCs w:val="21"/>
                    </w:rPr>
                    <w:t>44.78</w:t>
                  </w:r>
                </w:p>
              </w:tc>
              <w:tc>
                <w:tcPr>
                  <w:tcW w:w="948" w:type="pct"/>
                  <w:vAlign w:val="center"/>
                </w:tcPr>
                <w:p>
                  <w:pPr>
                    <w:pStyle w:val="28"/>
                    <w:spacing w:line="240" w:lineRule="auto"/>
                    <w:rPr>
                      <w:szCs w:val="21"/>
                    </w:rPr>
                  </w:pPr>
                  <w:r>
                    <w:rPr>
                      <w:rFonts w:hint="eastAsia"/>
                      <w:szCs w:val="21"/>
                    </w:rPr>
                    <w:t>44.13</w:t>
                  </w:r>
                </w:p>
              </w:tc>
              <w:tc>
                <w:tcPr>
                  <w:tcW w:w="765" w:type="pct"/>
                  <w:vAlign w:val="center"/>
                </w:tcPr>
                <w:p>
                  <w:pPr>
                    <w:pStyle w:val="32"/>
                    <w:spacing w:line="240" w:lineRule="auto"/>
                    <w:ind w:right="46" w:rightChars="19" w:firstLine="0" w:firstLineChars="0"/>
                    <w:jc w:val="center"/>
                    <w:rPr>
                      <w:sz w:val="21"/>
                      <w:szCs w:val="21"/>
                      <w:lang w:eastAsia="zh-CN"/>
                    </w:rPr>
                  </w:pPr>
                  <w:r>
                    <w:rPr>
                      <w:rFonts w:hint="eastAsia"/>
                      <w:sz w:val="21"/>
                      <w:szCs w:val="21"/>
                      <w:lang w:eastAsia="zh-CN"/>
                    </w:rPr>
                    <w:t>55/45</w:t>
                  </w:r>
                </w:p>
              </w:tc>
              <w:tc>
                <w:tcPr>
                  <w:tcW w:w="767" w:type="pct"/>
                  <w:vAlign w:val="center"/>
                </w:tcPr>
                <w:p>
                  <w:pPr>
                    <w:pStyle w:val="32"/>
                    <w:spacing w:line="240" w:lineRule="auto"/>
                    <w:ind w:right="46" w:rightChars="19" w:firstLine="0" w:firstLineChars="0"/>
                    <w:jc w:val="center"/>
                    <w:rPr>
                      <w:sz w:val="21"/>
                      <w:szCs w:val="21"/>
                    </w:rPr>
                  </w:pPr>
                  <w:r>
                    <w:rPr>
                      <w:sz w:val="21"/>
                      <w:szCs w:val="21"/>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774" w:type="pct"/>
                  <w:vAlign w:val="center"/>
                </w:tcPr>
                <w:p>
                  <w:pPr>
                    <w:pStyle w:val="32"/>
                    <w:spacing w:line="240" w:lineRule="auto"/>
                    <w:ind w:right="46" w:rightChars="19" w:firstLine="0" w:firstLineChars="0"/>
                    <w:jc w:val="center"/>
                    <w:rPr>
                      <w:sz w:val="21"/>
                      <w:szCs w:val="21"/>
                    </w:rPr>
                  </w:pPr>
                  <w:r>
                    <w:rPr>
                      <w:sz w:val="21"/>
                      <w:szCs w:val="21"/>
                    </w:rPr>
                    <w:t>北厂界</w:t>
                  </w:r>
                </w:p>
              </w:tc>
              <w:tc>
                <w:tcPr>
                  <w:tcW w:w="799" w:type="pct"/>
                  <w:vAlign w:val="center"/>
                </w:tcPr>
                <w:p>
                  <w:pPr>
                    <w:pStyle w:val="32"/>
                    <w:spacing w:line="240" w:lineRule="auto"/>
                    <w:ind w:right="46" w:rightChars="19" w:firstLine="0" w:firstLineChars="0"/>
                    <w:jc w:val="center"/>
                    <w:rPr>
                      <w:sz w:val="21"/>
                      <w:szCs w:val="21"/>
                    </w:rPr>
                  </w:pPr>
                  <w:r>
                    <w:rPr>
                      <w:sz w:val="21"/>
                      <w:szCs w:val="21"/>
                    </w:rPr>
                    <w:t>昼间</w:t>
                  </w:r>
                  <w:r>
                    <w:rPr>
                      <w:rFonts w:hint="eastAsia"/>
                      <w:sz w:val="21"/>
                      <w:szCs w:val="21"/>
                      <w:lang w:eastAsia="zh-CN"/>
                    </w:rPr>
                    <w:t>/夜间</w:t>
                  </w:r>
                </w:p>
              </w:tc>
              <w:tc>
                <w:tcPr>
                  <w:tcW w:w="948" w:type="pct"/>
                </w:tcPr>
                <w:p>
                  <w:pPr>
                    <w:pStyle w:val="28"/>
                    <w:spacing w:line="240" w:lineRule="auto"/>
                    <w:rPr>
                      <w:szCs w:val="21"/>
                    </w:rPr>
                  </w:pPr>
                  <w:r>
                    <w:rPr>
                      <w:rFonts w:hint="eastAsia"/>
                      <w:szCs w:val="21"/>
                    </w:rPr>
                    <w:t>43.00</w:t>
                  </w:r>
                </w:p>
              </w:tc>
              <w:tc>
                <w:tcPr>
                  <w:tcW w:w="948" w:type="pct"/>
                  <w:vAlign w:val="center"/>
                </w:tcPr>
                <w:p>
                  <w:pPr>
                    <w:pStyle w:val="28"/>
                    <w:spacing w:line="240" w:lineRule="auto"/>
                    <w:rPr>
                      <w:szCs w:val="21"/>
                    </w:rPr>
                  </w:pPr>
                  <w:r>
                    <w:rPr>
                      <w:rFonts w:hint="eastAsia"/>
                      <w:szCs w:val="21"/>
                    </w:rPr>
                    <w:t>42.35</w:t>
                  </w:r>
                </w:p>
              </w:tc>
              <w:tc>
                <w:tcPr>
                  <w:tcW w:w="765" w:type="pct"/>
                  <w:vAlign w:val="center"/>
                </w:tcPr>
                <w:p>
                  <w:pPr>
                    <w:pStyle w:val="32"/>
                    <w:spacing w:line="240" w:lineRule="auto"/>
                    <w:ind w:right="46" w:rightChars="19" w:firstLine="0" w:firstLineChars="0"/>
                    <w:jc w:val="center"/>
                    <w:rPr>
                      <w:sz w:val="21"/>
                      <w:szCs w:val="21"/>
                      <w:lang w:eastAsia="zh-CN"/>
                    </w:rPr>
                  </w:pPr>
                  <w:r>
                    <w:rPr>
                      <w:rFonts w:hint="eastAsia"/>
                      <w:sz w:val="21"/>
                      <w:szCs w:val="21"/>
                      <w:lang w:eastAsia="zh-CN"/>
                    </w:rPr>
                    <w:t>55/45</w:t>
                  </w:r>
                </w:p>
              </w:tc>
              <w:tc>
                <w:tcPr>
                  <w:tcW w:w="767" w:type="pct"/>
                  <w:vAlign w:val="center"/>
                </w:tcPr>
                <w:p>
                  <w:pPr>
                    <w:pStyle w:val="32"/>
                    <w:spacing w:line="240" w:lineRule="auto"/>
                    <w:ind w:right="46" w:rightChars="19" w:firstLine="0" w:firstLineChars="0"/>
                    <w:jc w:val="center"/>
                    <w:rPr>
                      <w:sz w:val="21"/>
                      <w:szCs w:val="21"/>
                    </w:rPr>
                  </w:pPr>
                  <w:r>
                    <w:rPr>
                      <w:sz w:val="21"/>
                      <w:szCs w:val="21"/>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74" w:type="pct"/>
                  <w:vAlign w:val="center"/>
                </w:tcPr>
                <w:p>
                  <w:pPr>
                    <w:pStyle w:val="32"/>
                    <w:spacing w:line="240" w:lineRule="auto"/>
                    <w:ind w:right="46" w:rightChars="19" w:firstLine="0" w:firstLineChars="0"/>
                    <w:jc w:val="center"/>
                    <w:rPr>
                      <w:sz w:val="21"/>
                      <w:szCs w:val="21"/>
                      <w:lang w:eastAsia="zh-CN"/>
                    </w:rPr>
                  </w:pPr>
                  <w:r>
                    <w:rPr>
                      <w:rFonts w:hint="eastAsia"/>
                      <w:sz w:val="21"/>
                      <w:szCs w:val="21"/>
                      <w:lang w:eastAsia="zh-CN"/>
                    </w:rPr>
                    <w:t>西北厂界</w:t>
                  </w:r>
                </w:p>
              </w:tc>
              <w:tc>
                <w:tcPr>
                  <w:tcW w:w="799" w:type="pct"/>
                  <w:vAlign w:val="center"/>
                </w:tcPr>
                <w:p>
                  <w:pPr>
                    <w:pStyle w:val="32"/>
                    <w:spacing w:line="240" w:lineRule="auto"/>
                    <w:ind w:right="46" w:rightChars="19" w:firstLine="0" w:firstLineChars="0"/>
                    <w:jc w:val="center"/>
                    <w:rPr>
                      <w:sz w:val="21"/>
                      <w:szCs w:val="21"/>
                    </w:rPr>
                  </w:pPr>
                  <w:r>
                    <w:rPr>
                      <w:sz w:val="21"/>
                      <w:szCs w:val="21"/>
                    </w:rPr>
                    <w:t>昼间</w:t>
                  </w:r>
                  <w:r>
                    <w:rPr>
                      <w:rFonts w:hint="eastAsia"/>
                      <w:sz w:val="21"/>
                      <w:szCs w:val="21"/>
                      <w:lang w:eastAsia="zh-CN"/>
                    </w:rPr>
                    <w:t>/夜间</w:t>
                  </w:r>
                </w:p>
              </w:tc>
              <w:tc>
                <w:tcPr>
                  <w:tcW w:w="948" w:type="pct"/>
                </w:tcPr>
                <w:p>
                  <w:pPr>
                    <w:pStyle w:val="28"/>
                    <w:spacing w:line="240" w:lineRule="auto"/>
                    <w:rPr>
                      <w:szCs w:val="21"/>
                    </w:rPr>
                  </w:pPr>
                  <w:r>
                    <w:rPr>
                      <w:rFonts w:hint="eastAsia"/>
                      <w:szCs w:val="21"/>
                    </w:rPr>
                    <w:t>42.79</w:t>
                  </w:r>
                </w:p>
              </w:tc>
              <w:tc>
                <w:tcPr>
                  <w:tcW w:w="948" w:type="pct"/>
                  <w:vAlign w:val="center"/>
                </w:tcPr>
                <w:p>
                  <w:pPr>
                    <w:pStyle w:val="28"/>
                    <w:spacing w:line="240" w:lineRule="auto"/>
                    <w:rPr>
                      <w:szCs w:val="21"/>
                    </w:rPr>
                  </w:pPr>
                  <w:r>
                    <w:rPr>
                      <w:rFonts w:hint="eastAsia"/>
                      <w:szCs w:val="21"/>
                    </w:rPr>
                    <w:t>42.14</w:t>
                  </w:r>
                </w:p>
              </w:tc>
              <w:tc>
                <w:tcPr>
                  <w:tcW w:w="765" w:type="pct"/>
                  <w:vAlign w:val="center"/>
                </w:tcPr>
                <w:p>
                  <w:pPr>
                    <w:pStyle w:val="32"/>
                    <w:spacing w:line="240" w:lineRule="auto"/>
                    <w:ind w:right="46" w:rightChars="19" w:firstLine="0" w:firstLineChars="0"/>
                    <w:jc w:val="center"/>
                    <w:rPr>
                      <w:sz w:val="21"/>
                      <w:szCs w:val="21"/>
                      <w:lang w:eastAsia="zh-CN"/>
                    </w:rPr>
                  </w:pPr>
                  <w:r>
                    <w:rPr>
                      <w:rFonts w:hint="eastAsia"/>
                      <w:sz w:val="21"/>
                      <w:szCs w:val="21"/>
                      <w:lang w:eastAsia="zh-CN"/>
                    </w:rPr>
                    <w:t>55/45</w:t>
                  </w:r>
                </w:p>
              </w:tc>
              <w:tc>
                <w:tcPr>
                  <w:tcW w:w="767" w:type="pct"/>
                  <w:vAlign w:val="center"/>
                </w:tcPr>
                <w:p>
                  <w:pPr>
                    <w:pStyle w:val="32"/>
                    <w:spacing w:line="240" w:lineRule="auto"/>
                    <w:ind w:right="46" w:rightChars="19" w:firstLine="0" w:firstLineChars="0"/>
                    <w:jc w:val="center"/>
                    <w:rPr>
                      <w:sz w:val="21"/>
                      <w:szCs w:val="21"/>
                    </w:rPr>
                  </w:pPr>
                  <w:r>
                    <w:rPr>
                      <w:sz w:val="21"/>
                      <w:szCs w:val="21"/>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774" w:type="pct"/>
                  <w:vAlign w:val="center"/>
                </w:tcPr>
                <w:p>
                  <w:pPr>
                    <w:pStyle w:val="32"/>
                    <w:spacing w:line="240" w:lineRule="auto"/>
                    <w:ind w:right="46" w:rightChars="19" w:firstLine="0" w:firstLineChars="0"/>
                    <w:jc w:val="center"/>
                    <w:rPr>
                      <w:sz w:val="21"/>
                      <w:szCs w:val="21"/>
                      <w:lang w:eastAsia="zh-CN"/>
                    </w:rPr>
                  </w:pPr>
                  <w:r>
                    <w:rPr>
                      <w:rFonts w:hint="eastAsia"/>
                      <w:sz w:val="21"/>
                      <w:szCs w:val="21"/>
                      <w:lang w:eastAsia="zh-CN"/>
                    </w:rPr>
                    <w:t>傲湖小区</w:t>
                  </w:r>
                </w:p>
              </w:tc>
              <w:tc>
                <w:tcPr>
                  <w:tcW w:w="799" w:type="pct"/>
                  <w:vAlign w:val="center"/>
                </w:tcPr>
                <w:p>
                  <w:pPr>
                    <w:pStyle w:val="32"/>
                    <w:spacing w:line="240" w:lineRule="auto"/>
                    <w:ind w:right="46" w:rightChars="19" w:firstLine="0" w:firstLineChars="0"/>
                    <w:jc w:val="center"/>
                    <w:rPr>
                      <w:sz w:val="21"/>
                      <w:szCs w:val="21"/>
                    </w:rPr>
                  </w:pPr>
                  <w:r>
                    <w:rPr>
                      <w:sz w:val="21"/>
                      <w:szCs w:val="21"/>
                    </w:rPr>
                    <w:t>昼间</w:t>
                  </w:r>
                  <w:r>
                    <w:rPr>
                      <w:rFonts w:hint="eastAsia"/>
                      <w:sz w:val="21"/>
                      <w:szCs w:val="21"/>
                      <w:lang w:eastAsia="zh-CN"/>
                    </w:rPr>
                    <w:t>/夜间</w:t>
                  </w:r>
                </w:p>
              </w:tc>
              <w:tc>
                <w:tcPr>
                  <w:tcW w:w="948" w:type="pct"/>
                </w:tcPr>
                <w:p>
                  <w:pPr>
                    <w:pStyle w:val="28"/>
                    <w:spacing w:line="240" w:lineRule="auto"/>
                    <w:rPr>
                      <w:szCs w:val="21"/>
                    </w:rPr>
                  </w:pPr>
                  <w:r>
                    <w:rPr>
                      <w:rFonts w:hint="eastAsia"/>
                      <w:szCs w:val="21"/>
                    </w:rPr>
                    <w:t>41.90</w:t>
                  </w:r>
                </w:p>
              </w:tc>
              <w:tc>
                <w:tcPr>
                  <w:tcW w:w="948" w:type="pct"/>
                  <w:vAlign w:val="center"/>
                </w:tcPr>
                <w:p>
                  <w:pPr>
                    <w:pStyle w:val="28"/>
                    <w:spacing w:line="240" w:lineRule="auto"/>
                    <w:rPr>
                      <w:szCs w:val="21"/>
                    </w:rPr>
                  </w:pPr>
                  <w:r>
                    <w:rPr>
                      <w:rFonts w:hint="eastAsia"/>
                      <w:szCs w:val="21"/>
                    </w:rPr>
                    <w:t>40.46</w:t>
                  </w:r>
                </w:p>
              </w:tc>
              <w:tc>
                <w:tcPr>
                  <w:tcW w:w="765" w:type="pct"/>
                  <w:vAlign w:val="center"/>
                </w:tcPr>
                <w:p>
                  <w:pPr>
                    <w:pStyle w:val="32"/>
                    <w:spacing w:line="240" w:lineRule="auto"/>
                    <w:ind w:right="46" w:rightChars="19" w:firstLine="0" w:firstLineChars="0"/>
                    <w:jc w:val="center"/>
                    <w:rPr>
                      <w:sz w:val="21"/>
                      <w:szCs w:val="21"/>
                      <w:lang w:eastAsia="zh-CN"/>
                    </w:rPr>
                  </w:pPr>
                  <w:r>
                    <w:rPr>
                      <w:rFonts w:hint="eastAsia"/>
                      <w:sz w:val="21"/>
                      <w:szCs w:val="21"/>
                      <w:lang w:eastAsia="zh-CN"/>
                    </w:rPr>
                    <w:t>55/45</w:t>
                  </w:r>
                </w:p>
              </w:tc>
              <w:tc>
                <w:tcPr>
                  <w:tcW w:w="767" w:type="pct"/>
                  <w:vAlign w:val="center"/>
                </w:tcPr>
                <w:p>
                  <w:pPr>
                    <w:pStyle w:val="32"/>
                    <w:spacing w:line="240" w:lineRule="auto"/>
                    <w:ind w:right="46" w:rightChars="19" w:firstLine="0" w:firstLineChars="0"/>
                    <w:jc w:val="center"/>
                    <w:rPr>
                      <w:sz w:val="21"/>
                      <w:szCs w:val="21"/>
                    </w:rPr>
                  </w:pPr>
                  <w:r>
                    <w:rPr>
                      <w:sz w:val="21"/>
                      <w:szCs w:val="21"/>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74" w:type="pct"/>
                  <w:vAlign w:val="center"/>
                </w:tcPr>
                <w:p>
                  <w:pPr>
                    <w:pStyle w:val="32"/>
                    <w:spacing w:line="240" w:lineRule="auto"/>
                    <w:ind w:right="46" w:rightChars="19" w:firstLine="0" w:firstLineChars="0"/>
                    <w:jc w:val="center"/>
                    <w:rPr>
                      <w:sz w:val="21"/>
                      <w:szCs w:val="21"/>
                      <w:lang w:eastAsia="zh-CN"/>
                    </w:rPr>
                  </w:pPr>
                  <w:r>
                    <w:rPr>
                      <w:rFonts w:hint="eastAsia"/>
                      <w:sz w:val="21"/>
                      <w:szCs w:val="21"/>
                      <w:lang w:eastAsia="zh-CN"/>
                    </w:rPr>
                    <w:t>润都荣园</w:t>
                  </w:r>
                </w:p>
              </w:tc>
              <w:tc>
                <w:tcPr>
                  <w:tcW w:w="799" w:type="pct"/>
                  <w:vAlign w:val="center"/>
                </w:tcPr>
                <w:p>
                  <w:pPr>
                    <w:pStyle w:val="32"/>
                    <w:spacing w:line="240" w:lineRule="auto"/>
                    <w:ind w:right="46" w:rightChars="19" w:firstLine="0" w:firstLineChars="0"/>
                    <w:jc w:val="center"/>
                    <w:rPr>
                      <w:sz w:val="21"/>
                      <w:szCs w:val="21"/>
                    </w:rPr>
                  </w:pPr>
                  <w:r>
                    <w:rPr>
                      <w:sz w:val="21"/>
                      <w:szCs w:val="21"/>
                    </w:rPr>
                    <w:t>昼间</w:t>
                  </w:r>
                  <w:r>
                    <w:rPr>
                      <w:rFonts w:hint="eastAsia"/>
                      <w:sz w:val="21"/>
                      <w:szCs w:val="21"/>
                      <w:lang w:eastAsia="zh-CN"/>
                    </w:rPr>
                    <w:t>/夜间</w:t>
                  </w:r>
                </w:p>
              </w:tc>
              <w:tc>
                <w:tcPr>
                  <w:tcW w:w="948" w:type="pct"/>
                </w:tcPr>
                <w:p>
                  <w:pPr>
                    <w:pStyle w:val="28"/>
                    <w:spacing w:line="240" w:lineRule="auto"/>
                    <w:rPr>
                      <w:szCs w:val="21"/>
                    </w:rPr>
                  </w:pPr>
                  <w:r>
                    <w:rPr>
                      <w:rFonts w:hint="eastAsia"/>
                      <w:szCs w:val="21"/>
                    </w:rPr>
                    <w:t>31.63</w:t>
                  </w:r>
                </w:p>
              </w:tc>
              <w:tc>
                <w:tcPr>
                  <w:tcW w:w="948" w:type="pct"/>
                  <w:vAlign w:val="center"/>
                </w:tcPr>
                <w:p>
                  <w:pPr>
                    <w:pStyle w:val="28"/>
                    <w:spacing w:line="240" w:lineRule="auto"/>
                    <w:rPr>
                      <w:szCs w:val="21"/>
                    </w:rPr>
                  </w:pPr>
                  <w:r>
                    <w:rPr>
                      <w:rFonts w:hint="eastAsia"/>
                      <w:szCs w:val="21"/>
                    </w:rPr>
                    <w:t>30.57</w:t>
                  </w:r>
                </w:p>
              </w:tc>
              <w:tc>
                <w:tcPr>
                  <w:tcW w:w="765" w:type="pct"/>
                  <w:vAlign w:val="center"/>
                </w:tcPr>
                <w:p>
                  <w:pPr>
                    <w:pStyle w:val="32"/>
                    <w:spacing w:line="240" w:lineRule="auto"/>
                    <w:ind w:right="46" w:rightChars="19" w:firstLine="0" w:firstLineChars="0"/>
                    <w:jc w:val="center"/>
                    <w:rPr>
                      <w:sz w:val="21"/>
                      <w:szCs w:val="21"/>
                      <w:lang w:eastAsia="zh-CN"/>
                    </w:rPr>
                  </w:pPr>
                  <w:r>
                    <w:rPr>
                      <w:rFonts w:hint="eastAsia"/>
                      <w:sz w:val="21"/>
                      <w:szCs w:val="21"/>
                      <w:lang w:eastAsia="zh-CN"/>
                    </w:rPr>
                    <w:t>55/45</w:t>
                  </w:r>
                </w:p>
              </w:tc>
              <w:tc>
                <w:tcPr>
                  <w:tcW w:w="767" w:type="pct"/>
                  <w:vAlign w:val="center"/>
                </w:tcPr>
                <w:p>
                  <w:pPr>
                    <w:pStyle w:val="32"/>
                    <w:spacing w:line="240" w:lineRule="auto"/>
                    <w:ind w:right="46" w:rightChars="19" w:firstLine="0" w:firstLineChars="0"/>
                    <w:jc w:val="center"/>
                    <w:rPr>
                      <w:sz w:val="21"/>
                      <w:szCs w:val="21"/>
                    </w:rPr>
                  </w:pPr>
                  <w:r>
                    <w:rPr>
                      <w:sz w:val="21"/>
                      <w:szCs w:val="21"/>
                    </w:rPr>
                    <w:t>达标</w:t>
                  </w:r>
                </w:p>
              </w:tc>
            </w:tr>
          </w:tbl>
          <w:p>
            <w:pPr>
              <w:ind w:left="12" w:leftChars="5" w:right="12" w:rightChars="5" w:firstLine="480"/>
              <w:jc w:val="left"/>
            </w:pPr>
            <w:r>
              <w:rPr>
                <w:rFonts w:hint="eastAsia"/>
              </w:rPr>
              <w:t>由上表可知，项目运行对东、南、北厂界贡献值满足</w:t>
            </w:r>
            <w:r>
              <w:t>《工业企业厂界环境噪声排放标准》（GB12348-2008）中</w:t>
            </w:r>
            <w:r>
              <w:rPr>
                <w:rFonts w:hint="eastAsia"/>
              </w:rPr>
              <w:t>1</w:t>
            </w:r>
            <w:r>
              <w:t>类功能区标准</w:t>
            </w:r>
            <w:r>
              <w:rPr>
                <w:rFonts w:hint="eastAsia"/>
              </w:rPr>
              <w:t>，西厂界贡献值满足</w:t>
            </w:r>
            <w:r>
              <w:t>《工业企业厂界环境噪声排放标准》（GB12348-2008）中</w:t>
            </w:r>
            <w:r>
              <w:rPr>
                <w:rFonts w:hint="eastAsia"/>
              </w:rPr>
              <w:t>4</w:t>
            </w:r>
            <w:r>
              <w:t>类功能区标准</w:t>
            </w:r>
            <w:r>
              <w:rPr>
                <w:rFonts w:hint="eastAsia"/>
              </w:rPr>
              <w:t>，项目对傲湖小区居民楼和润都荣园小区最近居民楼贡献值满足</w:t>
            </w:r>
            <w:r>
              <w:t>《工业企业厂界环境噪声排放标准》（GB12348-2008）中</w:t>
            </w:r>
            <w:r>
              <w:rPr>
                <w:rFonts w:hint="eastAsia"/>
              </w:rPr>
              <w:t>1</w:t>
            </w:r>
            <w:r>
              <w:t>类功能区标准</w:t>
            </w:r>
            <w:r>
              <w:rPr>
                <w:rFonts w:hint="eastAsia"/>
              </w:rPr>
              <w:t>，最大项目建成后对周边声环境影响较小。</w:t>
            </w:r>
          </w:p>
          <w:p>
            <w:pPr>
              <w:ind w:left="12" w:leftChars="5" w:right="12" w:rightChars="5" w:firstLine="480"/>
              <w:jc w:val="left"/>
              <w:rPr>
                <w:lang w:val="zh-CN"/>
              </w:rPr>
            </w:pPr>
            <w:r>
              <w:rPr>
                <w:rFonts w:hint="eastAsia"/>
                <w:lang w:val="zh-CN"/>
              </w:rPr>
              <w:t>（3）监测计划</w:t>
            </w:r>
          </w:p>
          <w:p>
            <w:pPr>
              <w:ind w:left="12" w:leftChars="5" w:right="12" w:rightChars="5" w:firstLine="480"/>
              <w:jc w:val="left"/>
              <w:rPr>
                <w:lang w:val="zh-CN"/>
              </w:rPr>
            </w:pPr>
            <w:r>
              <w:rPr>
                <w:rFonts w:hint="eastAsia"/>
                <w:lang w:val="zh-CN"/>
              </w:rPr>
              <w:t>依据《排污单位自行监测技术指南总则》（HJ819-2017），建议项目运营期噪声监测计划如下表。</w:t>
            </w:r>
          </w:p>
          <w:p>
            <w:pPr>
              <w:pStyle w:val="14"/>
            </w:pPr>
            <w:r>
              <w:rPr>
                <w:rFonts w:hint="eastAsia"/>
              </w:rPr>
              <w:t>表34   噪声监测计划</w:t>
            </w:r>
          </w:p>
          <w:tbl>
            <w:tblPr>
              <w:tblStyle w:val="1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2481"/>
              <w:gridCol w:w="1843"/>
              <w:gridCol w:w="1204"/>
              <w:gridCol w:w="321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2481" w:type="dxa"/>
                  <w:vAlign w:val="center"/>
                </w:tcPr>
                <w:p>
                  <w:pPr>
                    <w:spacing w:line="240" w:lineRule="auto"/>
                    <w:ind w:right="120" w:rightChars="50" w:firstLine="0" w:firstLineChars="0"/>
                    <w:jc w:val="center"/>
                    <w:rPr>
                      <w:sz w:val="21"/>
                      <w:szCs w:val="21"/>
                      <w:lang w:val="zh-CN"/>
                    </w:rPr>
                  </w:pPr>
                  <w:r>
                    <w:rPr>
                      <w:rFonts w:hint="eastAsia"/>
                      <w:sz w:val="21"/>
                      <w:szCs w:val="21"/>
                      <w:lang w:val="zh-CN"/>
                    </w:rPr>
                    <w:t>监测点位</w:t>
                  </w:r>
                </w:p>
              </w:tc>
              <w:tc>
                <w:tcPr>
                  <w:tcW w:w="1843" w:type="dxa"/>
                  <w:vAlign w:val="center"/>
                </w:tcPr>
                <w:p>
                  <w:pPr>
                    <w:spacing w:line="240" w:lineRule="auto"/>
                    <w:ind w:right="120" w:rightChars="50" w:firstLine="0" w:firstLineChars="0"/>
                    <w:jc w:val="center"/>
                    <w:rPr>
                      <w:sz w:val="21"/>
                      <w:szCs w:val="21"/>
                      <w:lang w:val="zh-CN"/>
                    </w:rPr>
                  </w:pPr>
                  <w:r>
                    <w:rPr>
                      <w:rFonts w:hint="eastAsia"/>
                      <w:sz w:val="21"/>
                      <w:szCs w:val="21"/>
                      <w:lang w:val="zh-CN"/>
                    </w:rPr>
                    <w:t>监测因子</w:t>
                  </w:r>
                </w:p>
              </w:tc>
              <w:tc>
                <w:tcPr>
                  <w:tcW w:w="1204" w:type="dxa"/>
                  <w:vAlign w:val="center"/>
                </w:tcPr>
                <w:p>
                  <w:pPr>
                    <w:spacing w:line="240" w:lineRule="auto"/>
                    <w:ind w:right="120" w:rightChars="50" w:firstLine="0" w:firstLineChars="0"/>
                    <w:jc w:val="center"/>
                    <w:rPr>
                      <w:sz w:val="21"/>
                      <w:szCs w:val="21"/>
                      <w:lang w:val="zh-CN"/>
                    </w:rPr>
                  </w:pPr>
                  <w:r>
                    <w:rPr>
                      <w:rFonts w:hint="eastAsia"/>
                      <w:sz w:val="21"/>
                      <w:szCs w:val="21"/>
                      <w:lang w:val="zh-CN"/>
                    </w:rPr>
                    <w:t>监测频次</w:t>
                  </w:r>
                </w:p>
              </w:tc>
              <w:tc>
                <w:tcPr>
                  <w:tcW w:w="3215" w:type="dxa"/>
                  <w:vAlign w:val="center"/>
                </w:tcPr>
                <w:p>
                  <w:pPr>
                    <w:spacing w:line="240" w:lineRule="auto"/>
                    <w:ind w:right="120" w:rightChars="50" w:firstLine="0" w:firstLineChars="0"/>
                    <w:jc w:val="center"/>
                    <w:rPr>
                      <w:sz w:val="21"/>
                      <w:szCs w:val="21"/>
                      <w:lang w:val="zh-CN"/>
                    </w:rPr>
                  </w:pPr>
                  <w:r>
                    <w:rPr>
                      <w:rFonts w:hint="eastAsia"/>
                      <w:sz w:val="21"/>
                      <w:szCs w:val="21"/>
                      <w:lang w:val="zh-CN"/>
                    </w:rPr>
                    <w:t>执行标准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481" w:type="dxa"/>
                  <w:vAlign w:val="center"/>
                </w:tcPr>
                <w:p>
                  <w:pPr>
                    <w:spacing w:line="240" w:lineRule="auto"/>
                    <w:ind w:right="120" w:rightChars="50" w:firstLine="0" w:firstLineChars="0"/>
                    <w:jc w:val="center"/>
                    <w:rPr>
                      <w:sz w:val="21"/>
                      <w:szCs w:val="21"/>
                      <w:lang w:val="zh-CN"/>
                    </w:rPr>
                  </w:pPr>
                  <w:r>
                    <w:rPr>
                      <w:rFonts w:hint="eastAsia"/>
                      <w:sz w:val="21"/>
                      <w:szCs w:val="21"/>
                      <w:lang w:val="zh-CN"/>
                    </w:rPr>
                    <w:t>医院东、南、北边界外1m</w:t>
                  </w:r>
                </w:p>
              </w:tc>
              <w:tc>
                <w:tcPr>
                  <w:tcW w:w="1843" w:type="dxa"/>
                  <w:vMerge w:val="restart"/>
                  <w:vAlign w:val="center"/>
                </w:tcPr>
                <w:p>
                  <w:pPr>
                    <w:spacing w:line="240" w:lineRule="auto"/>
                    <w:ind w:right="120" w:rightChars="50" w:firstLine="0" w:firstLineChars="0"/>
                    <w:jc w:val="center"/>
                    <w:rPr>
                      <w:sz w:val="21"/>
                      <w:szCs w:val="21"/>
                      <w:lang w:val="zh-CN"/>
                    </w:rPr>
                  </w:pPr>
                  <w:r>
                    <w:rPr>
                      <w:rFonts w:hint="eastAsia"/>
                      <w:sz w:val="21"/>
                      <w:szCs w:val="21"/>
                      <w:lang w:val="zh-CN"/>
                    </w:rPr>
                    <w:t>等效连续A声级</w:t>
                  </w:r>
                </w:p>
              </w:tc>
              <w:tc>
                <w:tcPr>
                  <w:tcW w:w="1204" w:type="dxa"/>
                  <w:vMerge w:val="restart"/>
                  <w:vAlign w:val="center"/>
                </w:tcPr>
                <w:p>
                  <w:pPr>
                    <w:spacing w:line="240" w:lineRule="auto"/>
                    <w:ind w:right="120" w:rightChars="50" w:firstLine="0" w:firstLineChars="0"/>
                    <w:jc w:val="center"/>
                    <w:rPr>
                      <w:sz w:val="21"/>
                      <w:szCs w:val="21"/>
                      <w:lang w:val="zh-CN"/>
                    </w:rPr>
                  </w:pPr>
                  <w:r>
                    <w:rPr>
                      <w:rFonts w:hint="eastAsia"/>
                      <w:sz w:val="21"/>
                      <w:szCs w:val="21"/>
                      <w:lang w:val="zh-CN"/>
                    </w:rPr>
                    <w:t>1次/季度</w:t>
                  </w:r>
                </w:p>
              </w:tc>
              <w:tc>
                <w:tcPr>
                  <w:tcW w:w="3215" w:type="dxa"/>
                  <w:vAlign w:val="center"/>
                </w:tcPr>
                <w:p>
                  <w:pPr>
                    <w:spacing w:line="240" w:lineRule="auto"/>
                    <w:ind w:right="120" w:rightChars="50" w:firstLine="0" w:firstLineChars="0"/>
                    <w:jc w:val="center"/>
                    <w:rPr>
                      <w:sz w:val="21"/>
                      <w:szCs w:val="21"/>
                      <w:lang w:val="zh-CN"/>
                    </w:rPr>
                  </w:pPr>
                  <w:r>
                    <w:rPr>
                      <w:rFonts w:hint="eastAsia"/>
                      <w:sz w:val="21"/>
                      <w:szCs w:val="21"/>
                      <w:lang w:val="zh-CN"/>
                    </w:rPr>
                    <w:t>《工业企业厂界环境噪声排放标准》（GB12348-2008）1类标准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2481" w:type="dxa"/>
                  <w:vAlign w:val="center"/>
                </w:tcPr>
                <w:p>
                  <w:pPr>
                    <w:spacing w:line="240" w:lineRule="auto"/>
                    <w:ind w:right="120" w:rightChars="50" w:firstLine="0" w:firstLineChars="0"/>
                    <w:jc w:val="center"/>
                    <w:rPr>
                      <w:sz w:val="21"/>
                      <w:szCs w:val="21"/>
                      <w:lang w:val="zh-CN"/>
                    </w:rPr>
                  </w:pPr>
                  <w:r>
                    <w:rPr>
                      <w:rFonts w:hint="eastAsia"/>
                      <w:sz w:val="21"/>
                      <w:szCs w:val="21"/>
                      <w:lang w:val="zh-CN"/>
                    </w:rPr>
                    <w:t>医院西边界外1m</w:t>
                  </w:r>
                </w:p>
              </w:tc>
              <w:tc>
                <w:tcPr>
                  <w:tcW w:w="1843" w:type="dxa"/>
                  <w:vMerge w:val="continue"/>
                  <w:vAlign w:val="center"/>
                </w:tcPr>
                <w:p>
                  <w:pPr>
                    <w:spacing w:line="240" w:lineRule="auto"/>
                    <w:ind w:right="120" w:rightChars="50" w:firstLine="0" w:firstLineChars="0"/>
                    <w:jc w:val="center"/>
                    <w:rPr>
                      <w:sz w:val="21"/>
                      <w:szCs w:val="21"/>
                      <w:lang w:val="zh-CN"/>
                    </w:rPr>
                  </w:pPr>
                </w:p>
              </w:tc>
              <w:tc>
                <w:tcPr>
                  <w:tcW w:w="1204" w:type="dxa"/>
                  <w:vMerge w:val="continue"/>
                  <w:vAlign w:val="center"/>
                </w:tcPr>
                <w:p>
                  <w:pPr>
                    <w:spacing w:line="240" w:lineRule="auto"/>
                    <w:ind w:right="120" w:rightChars="50" w:firstLine="0" w:firstLineChars="0"/>
                    <w:jc w:val="center"/>
                    <w:rPr>
                      <w:sz w:val="21"/>
                      <w:szCs w:val="21"/>
                      <w:lang w:val="zh-CN"/>
                    </w:rPr>
                  </w:pPr>
                </w:p>
              </w:tc>
              <w:tc>
                <w:tcPr>
                  <w:tcW w:w="3215" w:type="dxa"/>
                  <w:vAlign w:val="center"/>
                </w:tcPr>
                <w:p>
                  <w:pPr>
                    <w:spacing w:line="240" w:lineRule="auto"/>
                    <w:ind w:right="120" w:rightChars="50" w:firstLine="0" w:firstLineChars="0"/>
                    <w:jc w:val="center"/>
                    <w:rPr>
                      <w:sz w:val="21"/>
                      <w:szCs w:val="21"/>
                      <w:lang w:val="zh-CN"/>
                    </w:rPr>
                  </w:pPr>
                  <w:r>
                    <w:rPr>
                      <w:rFonts w:hint="eastAsia"/>
                      <w:sz w:val="21"/>
                      <w:szCs w:val="21"/>
                      <w:lang w:val="zh-CN"/>
                    </w:rPr>
                    <w:t>《工业企业厂界环境噪声排放标准》（GB12348-2008）4类标准</w:t>
                  </w:r>
                </w:p>
              </w:tc>
            </w:tr>
          </w:tbl>
          <w:p>
            <w:pPr>
              <w:ind w:right="46" w:rightChars="19" w:firstLine="0" w:firstLineChars="0"/>
              <w:jc w:val="left"/>
              <w:rPr>
                <w:b/>
                <w:lang w:val="zh-CN"/>
              </w:rPr>
            </w:pPr>
            <w:r>
              <w:rPr>
                <w:rFonts w:hint="eastAsia"/>
                <w:b/>
                <w:lang w:val="zh-CN"/>
              </w:rPr>
              <w:t>4、固体废物</w:t>
            </w:r>
          </w:p>
          <w:p>
            <w:pPr>
              <w:ind w:left="120" w:leftChars="50" w:right="120" w:rightChars="50" w:firstLine="480"/>
              <w:jc w:val="left"/>
              <w:rPr>
                <w:lang w:val="zh-CN"/>
              </w:rPr>
            </w:pPr>
            <w:r>
              <w:rPr>
                <w:rFonts w:hint="eastAsia"/>
                <w:lang w:val="zh-CN"/>
              </w:rPr>
              <w:t>（1）固体废物产生及处置情况</w:t>
            </w:r>
          </w:p>
          <w:p>
            <w:pPr>
              <w:ind w:left="120" w:leftChars="50" w:right="120" w:rightChars="50" w:firstLine="480"/>
              <w:jc w:val="left"/>
              <w:rPr>
                <w:rFonts w:hAnsi="宋体"/>
                <w:kern w:val="0"/>
              </w:rPr>
            </w:pPr>
            <w:r>
              <w:rPr>
                <w:rFonts w:hint="eastAsia"/>
                <w:lang w:val="zh-CN"/>
              </w:rPr>
              <w:t>本项目产生的固废主要有生活垃圾、</w:t>
            </w:r>
            <w:r>
              <w:rPr>
                <w:rFonts w:hint="eastAsia"/>
              </w:rPr>
              <w:t>医疗废物（含废药品）、中药渣、医疗耗材和药品外包装、污水处理污泥和栅渣（含化粪池污泥、栅渣）、废活性炭、软水制备废树脂、污水处理等过程使用的药剂废包装、污水处理在线监测废液</w:t>
            </w:r>
            <w:r>
              <w:rPr>
                <w:rFonts w:hint="eastAsia"/>
                <w:szCs w:val="21"/>
              </w:rPr>
              <w:t>。</w:t>
            </w:r>
          </w:p>
          <w:p>
            <w:pPr>
              <w:ind w:left="120" w:leftChars="50" w:right="120" w:rightChars="50" w:firstLine="480"/>
              <w:jc w:val="left"/>
              <w:rPr>
                <w:rFonts w:hAnsi="宋体"/>
                <w:kern w:val="0"/>
              </w:rPr>
            </w:pPr>
            <w:r>
              <w:rPr>
                <w:rFonts w:hint="eastAsia" w:hAnsi="宋体"/>
                <w:kern w:val="0"/>
              </w:rPr>
              <w:t>①</w:t>
            </w:r>
            <w:r>
              <w:rPr>
                <w:rFonts w:hint="eastAsia"/>
                <w:lang w:val="zh-CN"/>
              </w:rPr>
              <w:t>生活垃圾</w:t>
            </w:r>
          </w:p>
          <w:p>
            <w:pPr>
              <w:ind w:left="120" w:leftChars="50" w:right="120" w:rightChars="50" w:firstLine="480"/>
              <w:jc w:val="left"/>
            </w:pPr>
            <w:r>
              <w:rPr>
                <w:rFonts w:hint="eastAsia" w:hAnsi="宋体"/>
                <w:kern w:val="0"/>
              </w:rPr>
              <w:t>项目医务人员</w:t>
            </w:r>
            <w:r>
              <w:rPr>
                <w:rFonts w:hint="eastAsia"/>
              </w:rPr>
              <w:t>劳动定员26人，全年工作365天，按照0.5kg/人·d计算，医务人员生活垃圾产生量约为4.745t/a。生活垃圾由环卫部门统一清运处理。</w:t>
            </w:r>
          </w:p>
          <w:p>
            <w:pPr>
              <w:ind w:left="120" w:leftChars="50" w:right="120" w:rightChars="50" w:firstLine="480"/>
              <w:jc w:val="left"/>
            </w:pPr>
            <w:r>
              <w:rPr>
                <w:rFonts w:hint="eastAsia" w:hAnsi="宋体"/>
                <w:kern w:val="0"/>
              </w:rPr>
              <w:t>项目设置床位30张，</w:t>
            </w:r>
            <w:r>
              <w:rPr>
                <w:rFonts w:hint="eastAsia"/>
              </w:rPr>
              <w:t>生活垃圾按每床产生量0.5kg/d计算，则生活垃圾产生量约5.475t/a。</w:t>
            </w:r>
          </w:p>
          <w:p>
            <w:pPr>
              <w:ind w:left="120" w:leftChars="50" w:right="120" w:rightChars="50" w:firstLine="480"/>
              <w:jc w:val="left"/>
            </w:pPr>
            <w:r>
              <w:rPr>
                <w:rFonts w:hint="eastAsia"/>
              </w:rPr>
              <w:t>项目预计日门诊就诊人数50人，就诊人员生活垃圾产生量按照0.5kg/人·d计算，则门诊就诊人员生活垃圾产生量约9.125t/a。</w:t>
            </w:r>
          </w:p>
          <w:p>
            <w:pPr>
              <w:ind w:left="120" w:leftChars="50" w:right="120" w:rightChars="50" w:firstLine="480"/>
              <w:jc w:val="left"/>
              <w:rPr>
                <w:rFonts w:hAnsi="宋体"/>
                <w:kern w:val="0"/>
              </w:rPr>
            </w:pPr>
            <w:r>
              <w:rPr>
                <w:rFonts w:hint="eastAsia"/>
              </w:rPr>
              <w:t>综上，项目生活垃圾产生量为19.345t/a，收集后由环卫部门每日清运。</w:t>
            </w:r>
          </w:p>
          <w:p>
            <w:pPr>
              <w:ind w:left="120" w:leftChars="50" w:right="120" w:rightChars="50" w:firstLine="480"/>
              <w:jc w:val="left"/>
            </w:pPr>
            <w:r>
              <w:rPr>
                <w:rFonts w:hint="eastAsia" w:hAnsi="宋体"/>
                <w:kern w:val="0"/>
              </w:rPr>
              <w:t>②</w:t>
            </w:r>
            <w:r>
              <w:rPr>
                <w:rFonts w:hint="eastAsia"/>
              </w:rPr>
              <w:t>中药渣</w:t>
            </w:r>
          </w:p>
          <w:p>
            <w:pPr>
              <w:ind w:left="120" w:leftChars="50" w:right="120" w:rightChars="50" w:firstLine="480"/>
              <w:jc w:val="left"/>
            </w:pPr>
            <w:r>
              <w:rPr>
                <w:rFonts w:hint="eastAsia"/>
              </w:rPr>
              <w:t>煎药室煎煮中药将产生中药渣，产生量约20t/a，属于一般固体废物，集中收集至密闭塑料桶内，定期由肥料生产企业定期拉运制作肥料。</w:t>
            </w:r>
          </w:p>
          <w:p>
            <w:pPr>
              <w:ind w:left="120" w:leftChars="50" w:right="120" w:rightChars="50" w:firstLine="480"/>
              <w:jc w:val="left"/>
            </w:pPr>
            <w:r>
              <w:rPr>
                <w:rFonts w:hint="eastAsia"/>
              </w:rPr>
              <w:t>③医疗耗材和药品的外包装</w:t>
            </w:r>
          </w:p>
          <w:p>
            <w:pPr>
              <w:ind w:left="120" w:leftChars="50" w:right="120" w:rightChars="50" w:firstLine="480"/>
              <w:jc w:val="left"/>
            </w:pPr>
            <w:r>
              <w:rPr>
                <w:rFonts w:hint="eastAsia"/>
              </w:rPr>
              <w:t>项目产生的废外包装物主要有药品、器材使用的各种废塑料容器、废纸箱等，年产生量约1t/a，集中收集后交物资回收部门回收。</w:t>
            </w:r>
          </w:p>
          <w:p>
            <w:pPr>
              <w:ind w:left="120" w:leftChars="50" w:right="120" w:rightChars="50" w:firstLine="480"/>
              <w:jc w:val="left"/>
            </w:pPr>
            <w:r>
              <w:rPr>
                <w:rFonts w:hint="eastAsia" w:hAnsi="宋体"/>
                <w:kern w:val="0"/>
              </w:rPr>
              <w:t>④</w:t>
            </w:r>
            <w:r>
              <w:rPr>
                <w:rFonts w:hint="eastAsia"/>
              </w:rPr>
              <w:t>软水制备废树脂</w:t>
            </w:r>
          </w:p>
          <w:p>
            <w:pPr>
              <w:ind w:left="120" w:leftChars="50" w:right="120" w:rightChars="50" w:firstLine="480"/>
              <w:jc w:val="left"/>
            </w:pPr>
            <w:r>
              <w:rPr>
                <w:rFonts w:hint="eastAsia"/>
              </w:rPr>
              <w:t>软水制备系统需定期对离子交换树脂进行更换，产生废离子交换树脂。更换周期1次/年，产生量约0.1t/a，属于一般固体废物，由厂家更换回收带走。</w:t>
            </w:r>
          </w:p>
          <w:p>
            <w:pPr>
              <w:ind w:left="120" w:leftChars="50" w:right="120" w:rightChars="50" w:firstLine="480"/>
              <w:jc w:val="left"/>
              <w:rPr>
                <w:rFonts w:hAnsi="宋体"/>
                <w:kern w:val="0"/>
              </w:rPr>
            </w:pPr>
            <w:r>
              <w:rPr>
                <w:rFonts w:hint="eastAsia"/>
              </w:rPr>
              <w:t>⑤医疗废物（含废药品）</w:t>
            </w:r>
          </w:p>
          <w:p>
            <w:pPr>
              <w:pStyle w:val="15"/>
              <w:spacing w:after="0" w:line="520" w:lineRule="exact"/>
              <w:ind w:left="0" w:leftChars="0" w:firstLine="480"/>
              <w:rPr>
                <w:rFonts w:ascii="Times New Roman" w:hAnsi="Times New Roman" w:cs="Times New Roman"/>
                <w:sz w:val="24"/>
                <w:szCs w:val="24"/>
              </w:rPr>
            </w:pPr>
            <w:r>
              <w:rPr>
                <w:rFonts w:hint="eastAsia" w:ascii="Times New Roman" w:hAnsi="Times New Roman" w:cs="Times New Roman"/>
                <w:sz w:val="24"/>
                <w:szCs w:val="24"/>
              </w:rPr>
              <w:t>医疗废物一般可分为感染型废弃物和非感染型废弃物两大类。感染型废弃物主要指临床废弃物，如病菌的培养废弃物、损伤性废弃物（如针头）、血浆及血液粘附的废弃物、病理废弃物（如人体脏器）、药物废物（如过期药物等）、化学性废物（如各种检验试剂等）等医疗废弃物。非感染型废物一般指输液瓶等未被玷污的医疗废物及普通医疗垃圾，医院垃圾成份包括金属、玻璃、塑料、纸类、纱布、药品、试剂等，往往还带有大量病毒、细菌，具有较高的感染性。根据《医疗废物分类目录》，医疗废物主要分为：感染性、损伤性、药物性、化学性和病理性医疗废物。根据《国家危险废物名录》（2025年版），感染性废物、损伤性废物、病理性废物、化学性废物、药物性废物全部属于危险废物，废物类别为HW01 医疗废物，废物代码分别为841-001-01、841-002-01、841-003-01、841-004-01、841-005-01。常见医疗废物分类情况见下表。</w:t>
            </w:r>
          </w:p>
          <w:p>
            <w:pPr>
              <w:pStyle w:val="14"/>
            </w:pPr>
          </w:p>
          <w:p>
            <w:pPr>
              <w:pStyle w:val="14"/>
            </w:pPr>
          </w:p>
          <w:p>
            <w:pPr>
              <w:pStyle w:val="14"/>
            </w:pPr>
          </w:p>
          <w:p>
            <w:pPr>
              <w:pStyle w:val="14"/>
            </w:pPr>
          </w:p>
          <w:p>
            <w:pPr>
              <w:pStyle w:val="14"/>
            </w:pPr>
            <w:r>
              <w:rPr>
                <w:rFonts w:hint="eastAsia"/>
              </w:rPr>
              <w:t>表35   本项目涉及的医疗废物分类情况一览表</w:t>
            </w:r>
          </w:p>
          <w:tbl>
            <w:tblPr>
              <w:tblStyle w:val="17"/>
              <w:tblW w:w="494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518"/>
              <w:gridCol w:w="851"/>
              <w:gridCol w:w="4111"/>
              <w:gridCol w:w="2319"/>
              <w:gridCol w:w="9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295" w:type="pct"/>
                  <w:vAlign w:val="center"/>
                </w:tcPr>
                <w:p>
                  <w:pPr>
                    <w:pStyle w:val="15"/>
                    <w:spacing w:after="0"/>
                    <w:ind w:left="0" w:leftChars="0" w:firstLine="0" w:firstLineChars="0"/>
                    <w:jc w:val="center"/>
                    <w:rPr>
                      <w:rFonts w:ascii="Times New Roman" w:hAnsi="Times New Roman" w:cs="Times New Roman"/>
                      <w:szCs w:val="21"/>
                      <w:lang w:val="zh-CN"/>
                    </w:rPr>
                  </w:pPr>
                  <w:r>
                    <w:rPr>
                      <w:rFonts w:hint="eastAsia" w:ascii="Times New Roman" w:hAnsi="Times New Roman" w:cs="Times New Roman"/>
                      <w:szCs w:val="21"/>
                      <w:lang w:val="zh-CN"/>
                    </w:rPr>
                    <w:t>类别</w:t>
                  </w:r>
                </w:p>
              </w:tc>
              <w:tc>
                <w:tcPr>
                  <w:tcW w:w="484" w:type="pct"/>
                  <w:vAlign w:val="center"/>
                </w:tcPr>
                <w:p>
                  <w:pPr>
                    <w:pStyle w:val="15"/>
                    <w:spacing w:after="0"/>
                    <w:ind w:left="0" w:leftChars="0" w:firstLine="0" w:firstLineChars="0"/>
                    <w:jc w:val="center"/>
                    <w:rPr>
                      <w:rFonts w:ascii="Times New Roman" w:hAnsi="Times New Roman" w:cs="Times New Roman"/>
                      <w:szCs w:val="21"/>
                      <w:lang w:val="zh-CN"/>
                    </w:rPr>
                  </w:pPr>
                  <w:r>
                    <w:rPr>
                      <w:rFonts w:hint="eastAsia" w:ascii="Times New Roman" w:hAnsi="Times New Roman" w:cs="Times New Roman"/>
                      <w:szCs w:val="21"/>
                      <w:lang w:val="zh-CN"/>
                    </w:rPr>
                    <w:t>特征</w:t>
                  </w:r>
                </w:p>
              </w:tc>
              <w:tc>
                <w:tcPr>
                  <w:tcW w:w="2339" w:type="pct"/>
                  <w:vAlign w:val="center"/>
                </w:tcPr>
                <w:p>
                  <w:pPr>
                    <w:pStyle w:val="15"/>
                    <w:spacing w:after="0"/>
                    <w:ind w:left="0" w:leftChars="0" w:firstLine="0" w:firstLineChars="0"/>
                    <w:jc w:val="center"/>
                    <w:rPr>
                      <w:rFonts w:ascii="Times New Roman" w:hAnsi="Times New Roman" w:cs="Times New Roman"/>
                      <w:szCs w:val="21"/>
                      <w:lang w:val="zh-CN"/>
                    </w:rPr>
                  </w:pPr>
                  <w:r>
                    <w:rPr>
                      <w:rFonts w:hint="eastAsia" w:ascii="Times New Roman" w:hAnsi="Times New Roman" w:cs="Times New Roman"/>
                      <w:szCs w:val="21"/>
                      <w:lang w:val="zh-CN"/>
                    </w:rPr>
                    <w:t>常见组分或废物名称</w:t>
                  </w:r>
                </w:p>
              </w:tc>
              <w:tc>
                <w:tcPr>
                  <w:tcW w:w="1319" w:type="pct"/>
                  <w:vAlign w:val="center"/>
                </w:tcPr>
                <w:p>
                  <w:pPr>
                    <w:pStyle w:val="15"/>
                    <w:spacing w:after="0"/>
                    <w:ind w:left="0" w:leftChars="0" w:firstLine="0" w:firstLineChars="0"/>
                    <w:jc w:val="center"/>
                    <w:rPr>
                      <w:rFonts w:ascii="Times New Roman" w:hAnsi="Times New Roman" w:cs="Times New Roman"/>
                      <w:szCs w:val="21"/>
                      <w:lang w:val="zh-CN"/>
                    </w:rPr>
                  </w:pPr>
                  <w:r>
                    <w:rPr>
                      <w:rFonts w:hint="eastAsia" w:ascii="Times New Roman" w:hAnsi="Times New Roman" w:cs="Times New Roman"/>
                      <w:szCs w:val="21"/>
                      <w:lang w:val="zh-CN"/>
                    </w:rPr>
                    <w:t>污染防治措施</w:t>
                  </w:r>
                </w:p>
              </w:tc>
              <w:tc>
                <w:tcPr>
                  <w:tcW w:w="563" w:type="pct"/>
                  <w:vAlign w:val="center"/>
                </w:tcPr>
                <w:p>
                  <w:pPr>
                    <w:pStyle w:val="15"/>
                    <w:spacing w:after="0"/>
                    <w:ind w:left="0" w:leftChars="0" w:firstLine="0" w:firstLineChars="0"/>
                    <w:jc w:val="center"/>
                    <w:rPr>
                      <w:rFonts w:ascii="Times New Roman" w:hAnsi="Times New Roman" w:cs="Times New Roman"/>
                      <w:szCs w:val="21"/>
                      <w:lang w:val="zh-CN"/>
                    </w:rPr>
                  </w:pPr>
                  <w:r>
                    <w:rPr>
                      <w:rFonts w:hint="eastAsia" w:ascii="Times New Roman" w:hAnsi="Times New Roman" w:cs="Times New Roman"/>
                      <w:szCs w:val="21"/>
                      <w:lang w:val="zh-CN"/>
                    </w:rPr>
                    <w:t>类别及代码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295" w:type="pct"/>
                  <w:vMerge w:val="restart"/>
                  <w:vAlign w:val="center"/>
                </w:tcPr>
                <w:p>
                  <w:pPr>
                    <w:pStyle w:val="15"/>
                    <w:spacing w:after="0"/>
                    <w:ind w:left="0" w:leftChars="0" w:firstLine="0" w:firstLineChars="0"/>
                    <w:jc w:val="center"/>
                    <w:rPr>
                      <w:rFonts w:ascii="Times New Roman" w:hAnsi="Times New Roman" w:cs="Times New Roman"/>
                      <w:szCs w:val="21"/>
                      <w:lang w:val="zh-CN"/>
                    </w:rPr>
                  </w:pPr>
                  <w:r>
                    <w:rPr>
                      <w:rFonts w:hint="eastAsia" w:ascii="Times New Roman" w:hAnsi="Times New Roman" w:cs="Times New Roman"/>
                      <w:szCs w:val="21"/>
                      <w:lang w:val="zh-CN"/>
                    </w:rPr>
                    <w:t>感染性废物</w:t>
                  </w:r>
                </w:p>
              </w:tc>
              <w:tc>
                <w:tcPr>
                  <w:tcW w:w="484" w:type="pct"/>
                  <w:vMerge w:val="restart"/>
                  <w:vAlign w:val="center"/>
                </w:tcPr>
                <w:p>
                  <w:pPr>
                    <w:pStyle w:val="15"/>
                    <w:spacing w:after="0"/>
                    <w:ind w:left="0" w:leftChars="0" w:firstLine="0" w:firstLineChars="0"/>
                    <w:jc w:val="left"/>
                    <w:rPr>
                      <w:rFonts w:ascii="Times New Roman" w:hAnsi="Times New Roman" w:cs="Times New Roman"/>
                      <w:szCs w:val="21"/>
                      <w:lang w:val="zh-CN"/>
                    </w:rPr>
                  </w:pPr>
                  <w:r>
                    <w:rPr>
                      <w:rFonts w:hint="eastAsia" w:ascii="Times New Roman" w:hAnsi="Times New Roman" w:cs="Times New Roman"/>
                      <w:szCs w:val="21"/>
                      <w:lang w:val="zh-CN"/>
                    </w:rPr>
                    <w:t>携带病原微生物具有引发感染性疾病传播危险的医疗废物</w:t>
                  </w:r>
                </w:p>
              </w:tc>
              <w:tc>
                <w:tcPr>
                  <w:tcW w:w="2339" w:type="pct"/>
                  <w:vAlign w:val="center"/>
                </w:tcPr>
                <w:p>
                  <w:pPr>
                    <w:pStyle w:val="15"/>
                    <w:spacing w:after="0"/>
                    <w:ind w:left="0" w:leftChars="0" w:firstLine="0" w:firstLineChars="0"/>
                    <w:jc w:val="left"/>
                    <w:rPr>
                      <w:rFonts w:ascii="Times New Roman" w:hAnsi="Times New Roman" w:cs="Times New Roman"/>
                      <w:szCs w:val="21"/>
                      <w:lang w:val="zh-CN"/>
                    </w:rPr>
                  </w:pPr>
                  <w:r>
                    <w:rPr>
                      <w:rFonts w:hint="eastAsia" w:ascii="Times New Roman" w:hAnsi="Times New Roman" w:cs="Times New Roman"/>
                      <w:szCs w:val="21"/>
                      <w:lang w:val="zh-CN"/>
                    </w:rPr>
                    <w:t>1被病人血液、体液、排泄物污染的物品，包括：棉球、棉签、引流棉条、纱布及其他各种敷料；一次性使用卫生用品、一次性使用医疗用品及一次性医疗器械；废弃的被服；其他被病人血液、体液、排泄物污染的物品</w:t>
                  </w:r>
                </w:p>
              </w:tc>
              <w:tc>
                <w:tcPr>
                  <w:tcW w:w="1319" w:type="pct"/>
                  <w:vMerge w:val="restart"/>
                  <w:vAlign w:val="center"/>
                </w:tcPr>
                <w:p>
                  <w:pPr>
                    <w:pStyle w:val="15"/>
                    <w:spacing w:after="0"/>
                    <w:ind w:left="0" w:leftChars="0" w:firstLine="0" w:firstLineChars="0"/>
                    <w:jc w:val="left"/>
                    <w:rPr>
                      <w:rFonts w:ascii="Times New Roman" w:hAnsi="Times New Roman" w:cs="Times New Roman"/>
                      <w:szCs w:val="21"/>
                      <w:lang w:val="zh-CN"/>
                    </w:rPr>
                  </w:pPr>
                  <w:r>
                    <w:rPr>
                      <w:rFonts w:hint="eastAsia" w:ascii="Times New Roman" w:hAnsi="Times New Roman" w:cs="Times New Roman"/>
                      <w:szCs w:val="21"/>
                      <w:lang w:val="zh-CN"/>
                    </w:rPr>
                    <w:t>1收集于符合《医疗废物专用包装袋、容器和警示标志标准》（HJ421）医疗废物包装袋中；2废弃血液血清分泌物在产生地点进行压力蒸汽灭菌或者使用其他方式消毒，然后按感染性废物收集处理；3隔离/疑似传染病患者产生的医疗废物应当使用双层医疗废物包装袋盛装</w:t>
                  </w:r>
                </w:p>
              </w:tc>
              <w:tc>
                <w:tcPr>
                  <w:tcW w:w="563" w:type="pct"/>
                  <w:vMerge w:val="restart"/>
                  <w:vAlign w:val="center"/>
                </w:tcPr>
                <w:p>
                  <w:pPr>
                    <w:pStyle w:val="15"/>
                    <w:spacing w:after="0"/>
                    <w:ind w:left="0" w:leftChars="0" w:firstLine="0" w:firstLineChars="0"/>
                    <w:jc w:val="center"/>
                    <w:rPr>
                      <w:rFonts w:ascii="Times New Roman" w:hAnsi="Times New Roman" w:cs="Times New Roman"/>
                      <w:szCs w:val="21"/>
                      <w:lang w:val="zh-CN"/>
                    </w:rPr>
                  </w:pPr>
                  <w:r>
                    <w:rPr>
                      <w:rFonts w:ascii="Times New Roman" w:hAnsi="Times New Roman" w:cs="Times New Roman"/>
                      <w:szCs w:val="21"/>
                      <w:lang w:val="zh-CN"/>
                    </w:rPr>
                    <w:t>HW01</w:t>
                  </w:r>
                </w:p>
                <w:p>
                  <w:pPr>
                    <w:pStyle w:val="15"/>
                    <w:spacing w:after="0"/>
                    <w:ind w:left="0" w:leftChars="0" w:firstLine="0" w:firstLineChars="0"/>
                    <w:jc w:val="center"/>
                    <w:rPr>
                      <w:rFonts w:ascii="Times New Roman" w:hAnsi="Times New Roman" w:cs="Times New Roman"/>
                      <w:szCs w:val="21"/>
                      <w:lang w:val="zh-CN"/>
                    </w:rPr>
                  </w:pPr>
                  <w:r>
                    <w:rPr>
                      <w:rFonts w:ascii="Times New Roman" w:hAnsi="Times New Roman" w:cs="Times New Roman"/>
                      <w:szCs w:val="21"/>
                      <w:lang w:val="zh-CN"/>
                    </w:rPr>
                    <w:t>841-001-01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95" w:type="pct"/>
                  <w:vMerge w:val="continue"/>
                  <w:vAlign w:val="center"/>
                </w:tcPr>
                <w:p>
                  <w:pPr>
                    <w:pStyle w:val="15"/>
                    <w:spacing w:after="0"/>
                    <w:ind w:left="0" w:leftChars="0" w:firstLine="0" w:firstLineChars="0"/>
                    <w:jc w:val="center"/>
                    <w:rPr>
                      <w:rFonts w:ascii="Times New Roman" w:hAnsi="Times New Roman" w:cs="Times New Roman"/>
                      <w:szCs w:val="21"/>
                      <w:lang w:val="zh-CN"/>
                    </w:rPr>
                  </w:pPr>
                </w:p>
              </w:tc>
              <w:tc>
                <w:tcPr>
                  <w:tcW w:w="484" w:type="pct"/>
                  <w:vMerge w:val="continue"/>
                  <w:vAlign w:val="center"/>
                </w:tcPr>
                <w:p>
                  <w:pPr>
                    <w:pStyle w:val="15"/>
                    <w:spacing w:after="0"/>
                    <w:ind w:left="0" w:leftChars="0" w:firstLine="0" w:firstLineChars="0"/>
                    <w:jc w:val="center"/>
                    <w:rPr>
                      <w:rFonts w:ascii="Times New Roman" w:hAnsi="Times New Roman" w:cs="Times New Roman"/>
                      <w:szCs w:val="21"/>
                      <w:lang w:val="zh-CN"/>
                    </w:rPr>
                  </w:pPr>
                </w:p>
              </w:tc>
              <w:tc>
                <w:tcPr>
                  <w:tcW w:w="2339" w:type="pct"/>
                  <w:vAlign w:val="center"/>
                </w:tcPr>
                <w:p>
                  <w:pPr>
                    <w:pStyle w:val="15"/>
                    <w:spacing w:after="0"/>
                    <w:ind w:left="0" w:leftChars="0" w:firstLine="0" w:firstLineChars="0"/>
                    <w:jc w:val="left"/>
                    <w:rPr>
                      <w:rFonts w:ascii="Times New Roman" w:hAnsi="Times New Roman" w:cs="Times New Roman"/>
                      <w:szCs w:val="21"/>
                      <w:lang w:val="zh-CN"/>
                    </w:rPr>
                  </w:pPr>
                  <w:r>
                    <w:rPr>
                      <w:rFonts w:hint="eastAsia" w:ascii="Times New Roman" w:hAnsi="Times New Roman" w:cs="Times New Roman"/>
                      <w:szCs w:val="21"/>
                      <w:lang w:val="zh-CN"/>
                    </w:rPr>
                    <w:t>2医疗机构收治的隔离传染病病人或者疑似传染病病人产生的生活垃圾</w:t>
                  </w:r>
                </w:p>
              </w:tc>
              <w:tc>
                <w:tcPr>
                  <w:tcW w:w="1319" w:type="pct"/>
                  <w:vMerge w:val="continue"/>
                  <w:vAlign w:val="center"/>
                </w:tcPr>
                <w:p>
                  <w:pPr>
                    <w:pStyle w:val="15"/>
                    <w:spacing w:after="0"/>
                    <w:ind w:left="0" w:leftChars="0" w:firstLine="0" w:firstLineChars="0"/>
                    <w:jc w:val="center"/>
                    <w:rPr>
                      <w:rFonts w:ascii="Times New Roman" w:hAnsi="Times New Roman" w:cs="Times New Roman"/>
                      <w:szCs w:val="21"/>
                      <w:lang w:val="zh-CN"/>
                    </w:rPr>
                  </w:pPr>
                </w:p>
              </w:tc>
              <w:tc>
                <w:tcPr>
                  <w:tcW w:w="563" w:type="pct"/>
                  <w:vMerge w:val="continue"/>
                  <w:vAlign w:val="center"/>
                </w:tcPr>
                <w:p>
                  <w:pPr>
                    <w:pStyle w:val="15"/>
                    <w:spacing w:after="0"/>
                    <w:ind w:left="0" w:leftChars="0" w:firstLine="0" w:firstLineChars="0"/>
                    <w:jc w:val="center"/>
                    <w:rPr>
                      <w:rFonts w:ascii="Times New Roman" w:hAnsi="Times New Roman" w:cs="Times New Roman"/>
                      <w:szCs w:val="21"/>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295" w:type="pct"/>
                  <w:vMerge w:val="continue"/>
                  <w:vAlign w:val="center"/>
                </w:tcPr>
                <w:p>
                  <w:pPr>
                    <w:pStyle w:val="15"/>
                    <w:spacing w:after="0"/>
                    <w:ind w:left="0" w:leftChars="0" w:firstLine="0" w:firstLineChars="0"/>
                    <w:jc w:val="center"/>
                    <w:rPr>
                      <w:rFonts w:ascii="Times New Roman" w:hAnsi="Times New Roman" w:cs="Times New Roman"/>
                      <w:szCs w:val="21"/>
                      <w:lang w:val="zh-CN"/>
                    </w:rPr>
                  </w:pPr>
                </w:p>
              </w:tc>
              <w:tc>
                <w:tcPr>
                  <w:tcW w:w="484" w:type="pct"/>
                  <w:vMerge w:val="continue"/>
                  <w:vAlign w:val="center"/>
                </w:tcPr>
                <w:p>
                  <w:pPr>
                    <w:pStyle w:val="15"/>
                    <w:spacing w:after="0"/>
                    <w:ind w:left="0" w:leftChars="0" w:firstLine="0" w:firstLineChars="0"/>
                    <w:jc w:val="center"/>
                    <w:rPr>
                      <w:rFonts w:ascii="Times New Roman" w:hAnsi="Times New Roman" w:cs="Times New Roman"/>
                      <w:szCs w:val="21"/>
                      <w:lang w:val="zh-CN"/>
                    </w:rPr>
                  </w:pPr>
                </w:p>
              </w:tc>
              <w:tc>
                <w:tcPr>
                  <w:tcW w:w="2339" w:type="pct"/>
                  <w:vAlign w:val="center"/>
                </w:tcPr>
                <w:p>
                  <w:pPr>
                    <w:pStyle w:val="15"/>
                    <w:spacing w:after="0"/>
                    <w:ind w:left="0" w:leftChars="0" w:firstLine="0" w:firstLineChars="0"/>
                    <w:jc w:val="left"/>
                    <w:rPr>
                      <w:rFonts w:ascii="Times New Roman" w:hAnsi="Times New Roman" w:cs="Times New Roman"/>
                      <w:szCs w:val="21"/>
                      <w:lang w:val="zh-CN"/>
                    </w:rPr>
                  </w:pPr>
                  <w:r>
                    <w:rPr>
                      <w:rFonts w:hint="eastAsia" w:ascii="Times New Roman" w:hAnsi="Times New Roman" w:cs="Times New Roman"/>
                      <w:szCs w:val="21"/>
                      <w:lang w:val="zh-CN"/>
                    </w:rPr>
                    <w:t>3病原体的培养基、标本和菌种、毒种保存液</w:t>
                  </w:r>
                </w:p>
              </w:tc>
              <w:tc>
                <w:tcPr>
                  <w:tcW w:w="1319" w:type="pct"/>
                  <w:vMerge w:val="continue"/>
                  <w:vAlign w:val="center"/>
                </w:tcPr>
                <w:p>
                  <w:pPr>
                    <w:pStyle w:val="15"/>
                    <w:spacing w:after="0"/>
                    <w:ind w:left="0" w:leftChars="0" w:firstLine="0" w:firstLineChars="0"/>
                    <w:jc w:val="center"/>
                    <w:rPr>
                      <w:rFonts w:ascii="Times New Roman" w:hAnsi="Times New Roman" w:cs="Times New Roman"/>
                      <w:szCs w:val="21"/>
                      <w:lang w:val="zh-CN"/>
                    </w:rPr>
                  </w:pPr>
                </w:p>
              </w:tc>
              <w:tc>
                <w:tcPr>
                  <w:tcW w:w="563" w:type="pct"/>
                  <w:vMerge w:val="continue"/>
                  <w:vAlign w:val="center"/>
                </w:tcPr>
                <w:p>
                  <w:pPr>
                    <w:pStyle w:val="15"/>
                    <w:spacing w:after="0"/>
                    <w:ind w:left="0" w:leftChars="0" w:firstLine="0" w:firstLineChars="0"/>
                    <w:jc w:val="center"/>
                    <w:rPr>
                      <w:rFonts w:ascii="Times New Roman" w:hAnsi="Times New Roman" w:cs="Times New Roman"/>
                      <w:szCs w:val="21"/>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295" w:type="pct"/>
                  <w:vMerge w:val="continue"/>
                  <w:vAlign w:val="center"/>
                </w:tcPr>
                <w:p>
                  <w:pPr>
                    <w:pStyle w:val="15"/>
                    <w:spacing w:after="0"/>
                    <w:ind w:left="0" w:leftChars="0" w:firstLine="0" w:firstLineChars="0"/>
                    <w:jc w:val="center"/>
                    <w:rPr>
                      <w:rFonts w:ascii="Times New Roman" w:hAnsi="Times New Roman" w:cs="Times New Roman"/>
                      <w:szCs w:val="21"/>
                      <w:lang w:val="zh-CN"/>
                    </w:rPr>
                  </w:pPr>
                </w:p>
              </w:tc>
              <w:tc>
                <w:tcPr>
                  <w:tcW w:w="484" w:type="pct"/>
                  <w:vMerge w:val="continue"/>
                  <w:vAlign w:val="center"/>
                </w:tcPr>
                <w:p>
                  <w:pPr>
                    <w:pStyle w:val="15"/>
                    <w:spacing w:after="0"/>
                    <w:ind w:left="0" w:leftChars="0" w:firstLine="0" w:firstLineChars="0"/>
                    <w:jc w:val="center"/>
                    <w:rPr>
                      <w:rFonts w:ascii="Times New Roman" w:hAnsi="Times New Roman" w:cs="Times New Roman"/>
                      <w:szCs w:val="21"/>
                      <w:lang w:val="zh-CN"/>
                    </w:rPr>
                  </w:pPr>
                </w:p>
              </w:tc>
              <w:tc>
                <w:tcPr>
                  <w:tcW w:w="2339" w:type="pct"/>
                  <w:vAlign w:val="center"/>
                </w:tcPr>
                <w:p>
                  <w:pPr>
                    <w:pStyle w:val="15"/>
                    <w:spacing w:after="0"/>
                    <w:ind w:left="0" w:leftChars="0" w:firstLine="0" w:firstLineChars="0"/>
                    <w:jc w:val="left"/>
                    <w:rPr>
                      <w:rFonts w:ascii="Times New Roman" w:hAnsi="Times New Roman" w:cs="Times New Roman"/>
                      <w:szCs w:val="21"/>
                      <w:lang w:val="zh-CN"/>
                    </w:rPr>
                  </w:pPr>
                  <w:r>
                    <w:rPr>
                      <w:rFonts w:hint="eastAsia" w:ascii="Times New Roman" w:hAnsi="Times New Roman" w:cs="Times New Roman"/>
                      <w:szCs w:val="21"/>
                      <w:lang w:val="zh-CN"/>
                    </w:rPr>
                    <w:t>4废弃的血液、血清</w:t>
                  </w:r>
                </w:p>
              </w:tc>
              <w:tc>
                <w:tcPr>
                  <w:tcW w:w="1319" w:type="pct"/>
                  <w:vMerge w:val="continue"/>
                  <w:vAlign w:val="center"/>
                </w:tcPr>
                <w:p>
                  <w:pPr>
                    <w:pStyle w:val="15"/>
                    <w:spacing w:after="0"/>
                    <w:ind w:left="0" w:leftChars="0" w:firstLine="0" w:firstLineChars="0"/>
                    <w:jc w:val="center"/>
                    <w:rPr>
                      <w:rFonts w:ascii="Times New Roman" w:hAnsi="Times New Roman" w:cs="Times New Roman"/>
                      <w:szCs w:val="21"/>
                      <w:lang w:val="zh-CN"/>
                    </w:rPr>
                  </w:pPr>
                </w:p>
              </w:tc>
              <w:tc>
                <w:tcPr>
                  <w:tcW w:w="563" w:type="pct"/>
                  <w:vMerge w:val="continue"/>
                  <w:vAlign w:val="center"/>
                </w:tcPr>
                <w:p>
                  <w:pPr>
                    <w:pStyle w:val="15"/>
                    <w:spacing w:after="0"/>
                    <w:ind w:left="0" w:leftChars="0" w:firstLine="0" w:firstLineChars="0"/>
                    <w:jc w:val="center"/>
                    <w:rPr>
                      <w:rFonts w:ascii="Times New Roman" w:hAnsi="Times New Roman" w:cs="Times New Roman"/>
                      <w:szCs w:val="21"/>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95" w:type="pct"/>
                  <w:vMerge w:val="continue"/>
                  <w:vAlign w:val="center"/>
                </w:tcPr>
                <w:p>
                  <w:pPr>
                    <w:pStyle w:val="15"/>
                    <w:spacing w:after="0"/>
                    <w:ind w:left="0" w:leftChars="0" w:firstLine="0" w:firstLineChars="0"/>
                    <w:jc w:val="center"/>
                    <w:rPr>
                      <w:rFonts w:ascii="Times New Roman" w:hAnsi="Times New Roman" w:cs="Times New Roman"/>
                      <w:szCs w:val="21"/>
                      <w:lang w:val="zh-CN"/>
                    </w:rPr>
                  </w:pPr>
                </w:p>
              </w:tc>
              <w:tc>
                <w:tcPr>
                  <w:tcW w:w="484" w:type="pct"/>
                  <w:vMerge w:val="continue"/>
                  <w:vAlign w:val="center"/>
                </w:tcPr>
                <w:p>
                  <w:pPr>
                    <w:pStyle w:val="15"/>
                    <w:spacing w:after="0"/>
                    <w:ind w:left="0" w:leftChars="0" w:firstLine="0" w:firstLineChars="0"/>
                    <w:jc w:val="center"/>
                    <w:rPr>
                      <w:rFonts w:ascii="Times New Roman" w:hAnsi="Times New Roman" w:cs="Times New Roman"/>
                      <w:szCs w:val="21"/>
                      <w:lang w:val="zh-CN"/>
                    </w:rPr>
                  </w:pPr>
                </w:p>
              </w:tc>
              <w:tc>
                <w:tcPr>
                  <w:tcW w:w="2339" w:type="pct"/>
                  <w:vAlign w:val="center"/>
                </w:tcPr>
                <w:p>
                  <w:pPr>
                    <w:pStyle w:val="15"/>
                    <w:spacing w:after="0"/>
                    <w:ind w:left="0" w:leftChars="0" w:firstLine="0" w:firstLineChars="0"/>
                    <w:jc w:val="left"/>
                    <w:rPr>
                      <w:rFonts w:ascii="Times New Roman" w:hAnsi="Times New Roman" w:cs="Times New Roman"/>
                      <w:szCs w:val="21"/>
                      <w:lang w:val="zh-CN"/>
                    </w:rPr>
                  </w:pPr>
                  <w:r>
                    <w:rPr>
                      <w:rFonts w:hint="eastAsia" w:ascii="Times New Roman" w:hAnsi="Times New Roman" w:cs="Times New Roman"/>
                      <w:szCs w:val="21"/>
                      <w:lang w:val="zh-CN"/>
                    </w:rPr>
                    <w:t>5使用后一次性使用医疗用品及一次性医疗器械视为感染性废物</w:t>
                  </w:r>
                </w:p>
              </w:tc>
              <w:tc>
                <w:tcPr>
                  <w:tcW w:w="1319" w:type="pct"/>
                  <w:vMerge w:val="continue"/>
                  <w:vAlign w:val="center"/>
                </w:tcPr>
                <w:p>
                  <w:pPr>
                    <w:pStyle w:val="15"/>
                    <w:spacing w:after="0"/>
                    <w:ind w:left="0" w:leftChars="0" w:firstLine="0" w:firstLineChars="0"/>
                    <w:jc w:val="center"/>
                    <w:rPr>
                      <w:rFonts w:ascii="Times New Roman" w:hAnsi="Times New Roman" w:cs="Times New Roman"/>
                      <w:szCs w:val="21"/>
                      <w:lang w:val="zh-CN"/>
                    </w:rPr>
                  </w:pPr>
                </w:p>
              </w:tc>
              <w:tc>
                <w:tcPr>
                  <w:tcW w:w="563" w:type="pct"/>
                  <w:vMerge w:val="continue"/>
                  <w:vAlign w:val="center"/>
                </w:tcPr>
                <w:p>
                  <w:pPr>
                    <w:pStyle w:val="15"/>
                    <w:spacing w:after="0"/>
                    <w:ind w:left="0" w:leftChars="0" w:firstLine="0" w:firstLineChars="0"/>
                    <w:jc w:val="center"/>
                    <w:rPr>
                      <w:rFonts w:ascii="Times New Roman" w:hAnsi="Times New Roman" w:cs="Times New Roman"/>
                      <w:szCs w:val="21"/>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295" w:type="pct"/>
                  <w:vAlign w:val="center"/>
                </w:tcPr>
                <w:p>
                  <w:pPr>
                    <w:pStyle w:val="15"/>
                    <w:spacing w:after="0"/>
                    <w:ind w:left="0" w:leftChars="0" w:firstLine="0" w:firstLineChars="0"/>
                    <w:jc w:val="center"/>
                    <w:rPr>
                      <w:rFonts w:ascii="Times New Roman" w:hAnsi="Times New Roman" w:cs="Times New Roman"/>
                      <w:szCs w:val="21"/>
                      <w:lang w:val="zh-CN"/>
                    </w:rPr>
                  </w:pPr>
                  <w:r>
                    <w:rPr>
                      <w:rFonts w:hint="eastAsia" w:ascii="Times New Roman" w:hAnsi="Times New Roman" w:cs="Times New Roman"/>
                      <w:szCs w:val="21"/>
                      <w:lang w:val="zh-CN"/>
                    </w:rPr>
                    <w:t>病理性废物</w:t>
                  </w:r>
                </w:p>
              </w:tc>
              <w:tc>
                <w:tcPr>
                  <w:tcW w:w="484" w:type="pct"/>
                  <w:vAlign w:val="center"/>
                </w:tcPr>
                <w:p>
                  <w:pPr>
                    <w:pStyle w:val="15"/>
                    <w:spacing w:after="0"/>
                    <w:ind w:left="0" w:leftChars="0" w:firstLine="0" w:firstLineChars="0"/>
                    <w:jc w:val="left"/>
                    <w:rPr>
                      <w:rFonts w:ascii="Times New Roman" w:hAnsi="Times New Roman" w:cs="Times New Roman"/>
                      <w:szCs w:val="21"/>
                      <w:lang w:val="zh-CN"/>
                    </w:rPr>
                  </w:pPr>
                  <w:r>
                    <w:rPr>
                      <w:rFonts w:hint="eastAsia" w:ascii="Times New Roman" w:hAnsi="Times New Roman" w:cs="Times New Roman"/>
                      <w:szCs w:val="21"/>
                      <w:lang w:val="zh-CN"/>
                    </w:rPr>
                    <w:t>诊疗过程中产生的人体废弃物等</w:t>
                  </w:r>
                </w:p>
              </w:tc>
              <w:tc>
                <w:tcPr>
                  <w:tcW w:w="2339" w:type="pct"/>
                  <w:vAlign w:val="center"/>
                </w:tcPr>
                <w:p>
                  <w:pPr>
                    <w:pStyle w:val="15"/>
                    <w:spacing w:after="0"/>
                    <w:ind w:left="0" w:leftChars="0" w:firstLine="0" w:firstLineChars="0"/>
                    <w:jc w:val="left"/>
                    <w:rPr>
                      <w:rFonts w:ascii="Times New Roman" w:hAnsi="Times New Roman" w:cs="Times New Roman"/>
                      <w:szCs w:val="21"/>
                      <w:lang w:val="zh-CN"/>
                    </w:rPr>
                  </w:pPr>
                  <w:r>
                    <w:rPr>
                      <w:rFonts w:hint="eastAsia" w:ascii="Times New Roman" w:hAnsi="Times New Roman" w:cs="Times New Roman"/>
                      <w:szCs w:val="21"/>
                      <w:lang w:val="zh-CN"/>
                    </w:rPr>
                    <w:t>主要为废弃的人体组织、器官，医学实验动物的组织、尸体，病理切片后废弃的人体组织、病理腊块等</w:t>
                  </w:r>
                </w:p>
                <w:p>
                  <w:pPr>
                    <w:pStyle w:val="15"/>
                    <w:spacing w:after="0"/>
                    <w:ind w:left="0" w:leftChars="0" w:firstLine="0" w:firstLineChars="0"/>
                    <w:jc w:val="center"/>
                    <w:rPr>
                      <w:rFonts w:ascii="Times New Roman" w:hAnsi="Times New Roman" w:cs="Times New Roman"/>
                      <w:szCs w:val="21"/>
                      <w:lang w:val="zh-CN"/>
                    </w:rPr>
                  </w:pPr>
                  <w:r>
                    <w:rPr>
                      <w:rFonts w:hint="eastAsia" w:ascii="Times New Roman" w:hAnsi="Times New Roman" w:cs="Times New Roman"/>
                      <w:szCs w:val="21"/>
                      <w:lang w:val="zh-CN"/>
                    </w:rPr>
                    <w:t>本项目不涉及此类</w:t>
                  </w:r>
                </w:p>
              </w:tc>
              <w:tc>
                <w:tcPr>
                  <w:tcW w:w="1319" w:type="pct"/>
                  <w:vAlign w:val="center"/>
                </w:tcPr>
                <w:p>
                  <w:pPr>
                    <w:pStyle w:val="15"/>
                    <w:spacing w:after="0"/>
                    <w:ind w:left="0" w:leftChars="0" w:firstLine="0" w:firstLineChars="0"/>
                    <w:jc w:val="center"/>
                    <w:rPr>
                      <w:rFonts w:ascii="Times New Roman" w:hAnsi="Times New Roman" w:cs="Times New Roman"/>
                      <w:szCs w:val="21"/>
                      <w:lang w:val="zh-CN"/>
                    </w:rPr>
                  </w:pPr>
                  <w:r>
                    <w:rPr>
                      <w:rFonts w:hint="eastAsia" w:ascii="Times New Roman" w:hAnsi="Times New Roman" w:cs="Times New Roman"/>
                      <w:szCs w:val="21"/>
                      <w:lang w:val="zh-CN"/>
                    </w:rPr>
                    <w:t>/</w:t>
                  </w:r>
                </w:p>
              </w:tc>
              <w:tc>
                <w:tcPr>
                  <w:tcW w:w="563" w:type="pct"/>
                  <w:vAlign w:val="center"/>
                </w:tcPr>
                <w:p>
                  <w:pPr>
                    <w:pStyle w:val="15"/>
                    <w:spacing w:after="0"/>
                    <w:ind w:left="0" w:leftChars="0" w:firstLine="0" w:firstLineChars="0"/>
                    <w:jc w:val="center"/>
                    <w:rPr>
                      <w:rFonts w:ascii="Times New Roman" w:hAnsi="Times New Roman" w:cs="Times New Roman"/>
                      <w:szCs w:val="21"/>
                      <w:lang w:val="zh-CN"/>
                    </w:rPr>
                  </w:pPr>
                  <w:r>
                    <w:rPr>
                      <w:rFonts w:hint="eastAsia" w:ascii="Times New Roman" w:hAnsi="Times New Roman" w:cs="Times New Roman"/>
                      <w:szCs w:val="21"/>
                      <w:lang w:val="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295" w:type="pct"/>
                  <w:vMerge w:val="restart"/>
                  <w:vAlign w:val="center"/>
                </w:tcPr>
                <w:p>
                  <w:pPr>
                    <w:pStyle w:val="15"/>
                    <w:spacing w:after="0"/>
                    <w:ind w:left="0" w:leftChars="0" w:firstLine="0" w:firstLineChars="0"/>
                    <w:jc w:val="center"/>
                    <w:rPr>
                      <w:rFonts w:ascii="Times New Roman" w:hAnsi="Times New Roman" w:cs="Times New Roman"/>
                      <w:szCs w:val="21"/>
                      <w:lang w:val="zh-CN"/>
                    </w:rPr>
                  </w:pPr>
                  <w:r>
                    <w:rPr>
                      <w:rFonts w:hint="eastAsia" w:ascii="Times New Roman" w:hAnsi="Times New Roman" w:cs="Times New Roman"/>
                      <w:szCs w:val="21"/>
                      <w:lang w:val="zh-CN"/>
                    </w:rPr>
                    <w:t>损伤性废物</w:t>
                  </w:r>
                </w:p>
              </w:tc>
              <w:tc>
                <w:tcPr>
                  <w:tcW w:w="484" w:type="pct"/>
                  <w:vMerge w:val="restart"/>
                  <w:vAlign w:val="center"/>
                </w:tcPr>
                <w:p>
                  <w:pPr>
                    <w:pStyle w:val="15"/>
                    <w:spacing w:after="0"/>
                    <w:ind w:left="0" w:leftChars="0" w:firstLine="0" w:firstLineChars="0"/>
                    <w:jc w:val="left"/>
                    <w:rPr>
                      <w:rFonts w:ascii="Times New Roman" w:hAnsi="Times New Roman" w:cs="Times New Roman"/>
                      <w:szCs w:val="21"/>
                      <w:lang w:val="zh-CN"/>
                    </w:rPr>
                  </w:pPr>
                  <w:r>
                    <w:rPr>
                      <w:rFonts w:hint="eastAsia" w:ascii="Times New Roman" w:hAnsi="Times New Roman" w:cs="Times New Roman"/>
                      <w:szCs w:val="21"/>
                      <w:lang w:val="zh-CN"/>
                    </w:rPr>
                    <w:t>能够刺伤或者割伤人体的废弃的医用锐器</w:t>
                  </w:r>
                </w:p>
              </w:tc>
              <w:tc>
                <w:tcPr>
                  <w:tcW w:w="2339" w:type="pct"/>
                  <w:vAlign w:val="center"/>
                </w:tcPr>
                <w:p>
                  <w:pPr>
                    <w:pStyle w:val="15"/>
                    <w:spacing w:after="0"/>
                    <w:ind w:left="0" w:leftChars="0" w:firstLine="0" w:firstLineChars="0"/>
                    <w:jc w:val="left"/>
                    <w:rPr>
                      <w:rFonts w:ascii="Times New Roman" w:hAnsi="Times New Roman" w:cs="Times New Roman"/>
                      <w:szCs w:val="21"/>
                      <w:lang w:val="zh-CN"/>
                    </w:rPr>
                  </w:pPr>
                  <w:r>
                    <w:rPr>
                      <w:rFonts w:hint="eastAsia" w:ascii="Times New Roman" w:hAnsi="Times New Roman" w:cs="Times New Roman"/>
                      <w:szCs w:val="21"/>
                      <w:lang w:val="zh-CN"/>
                    </w:rPr>
                    <w:t>1医用针头、缝合针</w:t>
                  </w:r>
                </w:p>
              </w:tc>
              <w:tc>
                <w:tcPr>
                  <w:tcW w:w="1319" w:type="pct"/>
                  <w:vMerge w:val="restart"/>
                  <w:vAlign w:val="center"/>
                </w:tcPr>
                <w:p>
                  <w:pPr>
                    <w:pStyle w:val="15"/>
                    <w:spacing w:after="0"/>
                    <w:ind w:left="0" w:leftChars="0" w:firstLine="0" w:firstLineChars="0"/>
                    <w:jc w:val="left"/>
                    <w:rPr>
                      <w:rFonts w:ascii="Times New Roman" w:hAnsi="Times New Roman" w:cs="Times New Roman"/>
                      <w:szCs w:val="21"/>
                      <w:lang w:val="zh-CN"/>
                    </w:rPr>
                  </w:pPr>
                  <w:r>
                    <w:rPr>
                      <w:rFonts w:hint="eastAsia" w:ascii="Times New Roman" w:hAnsi="Times New Roman" w:cs="Times New Roman"/>
                      <w:szCs w:val="21"/>
                      <w:lang w:val="zh-CN"/>
                    </w:rPr>
                    <w:t>1收集于符合《医疗废物专用包装袋、容器和警示标志标准》（HJ421）的利器盒中；2利器盒达到3/4满时，应当封闭严密，按流程运送、贮存</w:t>
                  </w:r>
                </w:p>
              </w:tc>
              <w:tc>
                <w:tcPr>
                  <w:tcW w:w="563" w:type="pct"/>
                  <w:vMerge w:val="restart"/>
                  <w:vAlign w:val="center"/>
                </w:tcPr>
                <w:p>
                  <w:pPr>
                    <w:pStyle w:val="15"/>
                    <w:spacing w:after="0"/>
                    <w:ind w:left="0" w:leftChars="0" w:firstLine="0" w:firstLineChars="0"/>
                    <w:jc w:val="center"/>
                    <w:rPr>
                      <w:rFonts w:ascii="Times New Roman" w:hAnsi="Times New Roman" w:cs="Times New Roman"/>
                      <w:szCs w:val="21"/>
                      <w:lang w:val="zh-CN"/>
                    </w:rPr>
                  </w:pPr>
                  <w:r>
                    <w:rPr>
                      <w:rFonts w:ascii="Times New Roman" w:hAnsi="Times New Roman" w:cs="Times New Roman"/>
                      <w:szCs w:val="21"/>
                      <w:lang w:val="zh-CN"/>
                    </w:rPr>
                    <w:t>HW01</w:t>
                  </w:r>
                </w:p>
                <w:p>
                  <w:pPr>
                    <w:pStyle w:val="15"/>
                    <w:spacing w:after="0"/>
                    <w:ind w:left="0" w:leftChars="0" w:firstLine="0" w:firstLineChars="0"/>
                    <w:jc w:val="center"/>
                    <w:rPr>
                      <w:rFonts w:ascii="Times New Roman" w:hAnsi="Times New Roman" w:cs="Times New Roman"/>
                      <w:szCs w:val="21"/>
                      <w:lang w:val="zh-CN"/>
                    </w:rPr>
                  </w:pPr>
                  <w:r>
                    <w:rPr>
                      <w:rFonts w:ascii="Times New Roman" w:hAnsi="Times New Roman" w:cs="Times New Roman"/>
                      <w:szCs w:val="21"/>
                      <w:lang w:val="zh-CN"/>
                    </w:rPr>
                    <w:t>841-00</w:t>
                  </w:r>
                  <w:r>
                    <w:rPr>
                      <w:rFonts w:hint="eastAsia" w:ascii="Times New Roman" w:hAnsi="Times New Roman" w:cs="Times New Roman"/>
                      <w:szCs w:val="21"/>
                      <w:lang w:val="zh-CN"/>
                    </w:rPr>
                    <w:t>2</w:t>
                  </w:r>
                  <w:r>
                    <w:rPr>
                      <w:rFonts w:ascii="Times New Roman" w:hAnsi="Times New Roman" w:cs="Times New Roman"/>
                      <w:szCs w:val="21"/>
                      <w:lang w:val="zh-CN"/>
                    </w:rPr>
                    <w:t>-01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95" w:type="pct"/>
                  <w:vMerge w:val="continue"/>
                  <w:vAlign w:val="center"/>
                </w:tcPr>
                <w:p>
                  <w:pPr>
                    <w:pStyle w:val="15"/>
                    <w:spacing w:after="0"/>
                    <w:ind w:left="0" w:leftChars="0" w:firstLine="0" w:firstLineChars="0"/>
                    <w:jc w:val="center"/>
                    <w:rPr>
                      <w:rFonts w:ascii="Times New Roman" w:hAnsi="Times New Roman" w:cs="Times New Roman"/>
                      <w:szCs w:val="21"/>
                      <w:lang w:val="zh-CN"/>
                    </w:rPr>
                  </w:pPr>
                </w:p>
              </w:tc>
              <w:tc>
                <w:tcPr>
                  <w:tcW w:w="484" w:type="pct"/>
                  <w:vMerge w:val="continue"/>
                  <w:vAlign w:val="center"/>
                </w:tcPr>
                <w:p>
                  <w:pPr>
                    <w:pStyle w:val="15"/>
                    <w:spacing w:after="0"/>
                    <w:ind w:left="0" w:leftChars="0" w:firstLine="0" w:firstLineChars="0"/>
                    <w:jc w:val="center"/>
                    <w:rPr>
                      <w:rFonts w:ascii="Times New Roman" w:hAnsi="Times New Roman" w:cs="Times New Roman"/>
                      <w:szCs w:val="21"/>
                      <w:lang w:val="zh-CN"/>
                    </w:rPr>
                  </w:pPr>
                </w:p>
              </w:tc>
              <w:tc>
                <w:tcPr>
                  <w:tcW w:w="2339" w:type="pct"/>
                  <w:vAlign w:val="center"/>
                </w:tcPr>
                <w:p>
                  <w:pPr>
                    <w:pStyle w:val="15"/>
                    <w:spacing w:after="0"/>
                    <w:ind w:left="0" w:leftChars="0" w:firstLine="0" w:firstLineChars="0"/>
                    <w:jc w:val="left"/>
                    <w:rPr>
                      <w:rFonts w:ascii="Times New Roman" w:hAnsi="Times New Roman" w:cs="Times New Roman"/>
                      <w:szCs w:val="21"/>
                      <w:lang w:val="zh-CN"/>
                    </w:rPr>
                  </w:pPr>
                  <w:r>
                    <w:rPr>
                      <w:rFonts w:hint="eastAsia" w:ascii="Times New Roman" w:hAnsi="Times New Roman" w:cs="Times New Roman"/>
                      <w:szCs w:val="21"/>
                      <w:lang w:val="zh-CN"/>
                    </w:rPr>
                    <w:t>2各类医用锐器，包括：解剖刀、手术刀、备皮刀、手术锯等</w:t>
                  </w:r>
                </w:p>
              </w:tc>
              <w:tc>
                <w:tcPr>
                  <w:tcW w:w="1319" w:type="pct"/>
                  <w:vMerge w:val="continue"/>
                  <w:vAlign w:val="center"/>
                </w:tcPr>
                <w:p>
                  <w:pPr>
                    <w:pStyle w:val="15"/>
                    <w:spacing w:after="0"/>
                    <w:ind w:left="0" w:leftChars="0" w:firstLine="0" w:firstLineChars="0"/>
                    <w:jc w:val="center"/>
                    <w:rPr>
                      <w:rFonts w:ascii="Times New Roman" w:hAnsi="Times New Roman" w:cs="Times New Roman"/>
                      <w:szCs w:val="21"/>
                      <w:lang w:val="zh-CN"/>
                    </w:rPr>
                  </w:pPr>
                </w:p>
              </w:tc>
              <w:tc>
                <w:tcPr>
                  <w:tcW w:w="563" w:type="pct"/>
                  <w:vMerge w:val="continue"/>
                  <w:vAlign w:val="center"/>
                </w:tcPr>
                <w:p>
                  <w:pPr>
                    <w:pStyle w:val="15"/>
                    <w:spacing w:after="0"/>
                    <w:ind w:left="0" w:leftChars="0" w:firstLine="0" w:firstLineChars="0"/>
                    <w:jc w:val="center"/>
                    <w:rPr>
                      <w:rFonts w:ascii="Times New Roman" w:hAnsi="Times New Roman" w:cs="Times New Roman"/>
                      <w:szCs w:val="21"/>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295" w:type="pct"/>
                  <w:vMerge w:val="continue"/>
                  <w:vAlign w:val="center"/>
                </w:tcPr>
                <w:p>
                  <w:pPr>
                    <w:pStyle w:val="15"/>
                    <w:spacing w:after="0"/>
                    <w:ind w:left="0" w:leftChars="0" w:firstLine="0" w:firstLineChars="0"/>
                    <w:jc w:val="center"/>
                    <w:rPr>
                      <w:rFonts w:ascii="Times New Roman" w:hAnsi="Times New Roman" w:cs="Times New Roman"/>
                      <w:szCs w:val="21"/>
                      <w:lang w:val="zh-CN"/>
                    </w:rPr>
                  </w:pPr>
                </w:p>
              </w:tc>
              <w:tc>
                <w:tcPr>
                  <w:tcW w:w="484" w:type="pct"/>
                  <w:vMerge w:val="continue"/>
                  <w:vAlign w:val="center"/>
                </w:tcPr>
                <w:p>
                  <w:pPr>
                    <w:pStyle w:val="15"/>
                    <w:spacing w:after="0"/>
                    <w:ind w:left="0" w:leftChars="0" w:firstLine="0" w:firstLineChars="0"/>
                    <w:jc w:val="center"/>
                    <w:rPr>
                      <w:rFonts w:ascii="Times New Roman" w:hAnsi="Times New Roman" w:cs="Times New Roman"/>
                      <w:szCs w:val="21"/>
                      <w:lang w:val="zh-CN"/>
                    </w:rPr>
                  </w:pPr>
                </w:p>
              </w:tc>
              <w:tc>
                <w:tcPr>
                  <w:tcW w:w="2339" w:type="pct"/>
                  <w:vAlign w:val="center"/>
                </w:tcPr>
                <w:p>
                  <w:pPr>
                    <w:pStyle w:val="15"/>
                    <w:spacing w:after="0"/>
                    <w:ind w:left="0" w:leftChars="0" w:firstLine="0" w:firstLineChars="0"/>
                    <w:jc w:val="left"/>
                    <w:rPr>
                      <w:rFonts w:ascii="Times New Roman" w:hAnsi="Times New Roman" w:cs="Times New Roman"/>
                      <w:szCs w:val="21"/>
                      <w:lang w:val="zh-CN"/>
                    </w:rPr>
                  </w:pPr>
                  <w:r>
                    <w:rPr>
                      <w:rFonts w:hint="eastAsia" w:ascii="Times New Roman" w:hAnsi="Times New Roman" w:cs="Times New Roman"/>
                      <w:szCs w:val="21"/>
                      <w:lang w:val="zh-CN"/>
                    </w:rPr>
                    <w:t>3载玻片、玻璃试管、玻璃安瓿等</w:t>
                  </w:r>
                </w:p>
              </w:tc>
              <w:tc>
                <w:tcPr>
                  <w:tcW w:w="1319" w:type="pct"/>
                  <w:vMerge w:val="continue"/>
                  <w:vAlign w:val="center"/>
                </w:tcPr>
                <w:p>
                  <w:pPr>
                    <w:pStyle w:val="15"/>
                    <w:spacing w:after="0"/>
                    <w:ind w:left="0" w:leftChars="0" w:firstLine="0" w:firstLineChars="0"/>
                    <w:jc w:val="center"/>
                    <w:rPr>
                      <w:rFonts w:ascii="Times New Roman" w:hAnsi="Times New Roman" w:cs="Times New Roman"/>
                      <w:szCs w:val="21"/>
                      <w:lang w:val="zh-CN"/>
                    </w:rPr>
                  </w:pPr>
                </w:p>
              </w:tc>
              <w:tc>
                <w:tcPr>
                  <w:tcW w:w="563" w:type="pct"/>
                  <w:vMerge w:val="continue"/>
                  <w:vAlign w:val="center"/>
                </w:tcPr>
                <w:p>
                  <w:pPr>
                    <w:pStyle w:val="15"/>
                    <w:spacing w:after="0"/>
                    <w:ind w:left="0" w:leftChars="0" w:firstLine="0" w:firstLineChars="0"/>
                    <w:jc w:val="center"/>
                    <w:rPr>
                      <w:rFonts w:ascii="Times New Roman" w:hAnsi="Times New Roman" w:cs="Times New Roman"/>
                      <w:szCs w:val="21"/>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295" w:type="pct"/>
                  <w:vMerge w:val="restart"/>
                  <w:vAlign w:val="center"/>
                </w:tcPr>
                <w:p>
                  <w:pPr>
                    <w:pStyle w:val="15"/>
                    <w:spacing w:after="0"/>
                    <w:ind w:left="0" w:leftChars="0" w:firstLine="0" w:firstLineChars="0"/>
                    <w:jc w:val="center"/>
                    <w:rPr>
                      <w:rFonts w:ascii="Times New Roman" w:hAnsi="Times New Roman" w:cs="Times New Roman"/>
                      <w:szCs w:val="21"/>
                      <w:lang w:val="zh-CN"/>
                    </w:rPr>
                  </w:pPr>
                  <w:r>
                    <w:rPr>
                      <w:rFonts w:hint="eastAsia" w:ascii="Times New Roman" w:hAnsi="Times New Roman" w:cs="Times New Roman"/>
                      <w:szCs w:val="21"/>
                      <w:lang w:val="zh-CN"/>
                    </w:rPr>
                    <w:t>药物性废物</w:t>
                  </w:r>
                </w:p>
              </w:tc>
              <w:tc>
                <w:tcPr>
                  <w:tcW w:w="484" w:type="pct"/>
                  <w:vMerge w:val="restart"/>
                  <w:vAlign w:val="center"/>
                </w:tcPr>
                <w:p>
                  <w:pPr>
                    <w:pStyle w:val="15"/>
                    <w:spacing w:after="0"/>
                    <w:ind w:left="0" w:leftChars="0" w:firstLine="0" w:firstLineChars="0"/>
                    <w:jc w:val="left"/>
                    <w:rPr>
                      <w:rFonts w:ascii="Times New Roman" w:hAnsi="Times New Roman" w:cs="Times New Roman"/>
                      <w:szCs w:val="21"/>
                      <w:lang w:val="zh-CN"/>
                    </w:rPr>
                  </w:pPr>
                  <w:r>
                    <w:rPr>
                      <w:rFonts w:hint="eastAsia" w:ascii="Times New Roman" w:hAnsi="Times New Roman" w:cs="Times New Roman"/>
                      <w:szCs w:val="21"/>
                      <w:lang w:val="zh-CN"/>
                    </w:rPr>
                    <w:t>过期、淘汰、变质或者被污染的废弃的药品</w:t>
                  </w:r>
                </w:p>
              </w:tc>
              <w:tc>
                <w:tcPr>
                  <w:tcW w:w="2339" w:type="pct"/>
                  <w:vAlign w:val="center"/>
                </w:tcPr>
                <w:p>
                  <w:pPr>
                    <w:pStyle w:val="15"/>
                    <w:spacing w:after="0"/>
                    <w:ind w:left="0" w:leftChars="0" w:firstLine="0" w:firstLineChars="0"/>
                    <w:jc w:val="left"/>
                    <w:rPr>
                      <w:rFonts w:ascii="Times New Roman" w:hAnsi="Times New Roman" w:cs="Times New Roman"/>
                      <w:szCs w:val="21"/>
                      <w:lang w:val="zh-CN"/>
                    </w:rPr>
                  </w:pPr>
                  <w:r>
                    <w:rPr>
                      <w:rFonts w:hint="eastAsia" w:ascii="Times New Roman" w:hAnsi="Times New Roman" w:cs="Times New Roman"/>
                      <w:szCs w:val="21"/>
                      <w:lang w:val="zh-CN"/>
                    </w:rPr>
                    <w:t>1废弃的一般性药品，如：抗生素、非处方类药品等</w:t>
                  </w:r>
                </w:p>
              </w:tc>
              <w:tc>
                <w:tcPr>
                  <w:tcW w:w="1319" w:type="pct"/>
                  <w:vMerge w:val="restart"/>
                  <w:vAlign w:val="center"/>
                </w:tcPr>
                <w:p>
                  <w:pPr>
                    <w:pStyle w:val="15"/>
                    <w:spacing w:after="0"/>
                    <w:ind w:left="0" w:leftChars="0" w:firstLine="0" w:firstLineChars="0"/>
                    <w:jc w:val="left"/>
                    <w:rPr>
                      <w:rFonts w:ascii="Times New Roman" w:hAnsi="Times New Roman" w:cs="Times New Roman"/>
                      <w:szCs w:val="21"/>
                      <w:lang w:val="zh-CN"/>
                    </w:rPr>
                  </w:pPr>
                  <w:r>
                    <w:rPr>
                      <w:rFonts w:hint="eastAsia" w:ascii="Times New Roman" w:hAnsi="Times New Roman" w:cs="Times New Roman"/>
                      <w:szCs w:val="21"/>
                      <w:lang w:val="zh-CN"/>
                    </w:rPr>
                    <w:t>1少量的药物性废物可以并入感染性废物中，但应在标签中注明；2批量废弃的药物性废物，收集后应交由具备相应资质的医疗废物处置单位或者危险废物处置单位等进行处置</w:t>
                  </w:r>
                </w:p>
              </w:tc>
              <w:tc>
                <w:tcPr>
                  <w:tcW w:w="563" w:type="pct"/>
                  <w:vMerge w:val="restart"/>
                  <w:vAlign w:val="center"/>
                </w:tcPr>
                <w:p>
                  <w:pPr>
                    <w:pStyle w:val="15"/>
                    <w:spacing w:after="0"/>
                    <w:ind w:left="0" w:leftChars="0" w:firstLine="0" w:firstLineChars="0"/>
                    <w:jc w:val="center"/>
                    <w:rPr>
                      <w:rFonts w:ascii="Times New Roman" w:hAnsi="Times New Roman" w:cs="Times New Roman"/>
                      <w:szCs w:val="21"/>
                      <w:lang w:val="zh-CN"/>
                    </w:rPr>
                  </w:pPr>
                  <w:r>
                    <w:rPr>
                      <w:rFonts w:ascii="Times New Roman" w:hAnsi="Times New Roman" w:cs="Times New Roman"/>
                      <w:szCs w:val="21"/>
                      <w:lang w:val="zh-CN"/>
                    </w:rPr>
                    <w:t>HW01</w:t>
                  </w:r>
                </w:p>
                <w:p>
                  <w:pPr>
                    <w:pStyle w:val="15"/>
                    <w:spacing w:after="0"/>
                    <w:ind w:left="0" w:leftChars="0" w:firstLine="0" w:firstLineChars="0"/>
                    <w:jc w:val="center"/>
                    <w:rPr>
                      <w:rFonts w:ascii="Times New Roman" w:hAnsi="Times New Roman" w:cs="Times New Roman"/>
                      <w:szCs w:val="21"/>
                      <w:lang w:val="zh-CN"/>
                    </w:rPr>
                  </w:pPr>
                  <w:r>
                    <w:rPr>
                      <w:rFonts w:ascii="Times New Roman" w:hAnsi="Times New Roman" w:cs="Times New Roman"/>
                      <w:szCs w:val="21"/>
                      <w:lang w:val="zh-CN"/>
                    </w:rPr>
                    <w:t>841-00</w:t>
                  </w:r>
                  <w:r>
                    <w:rPr>
                      <w:rFonts w:hint="eastAsia" w:ascii="Times New Roman" w:hAnsi="Times New Roman" w:cs="Times New Roman"/>
                      <w:szCs w:val="21"/>
                      <w:lang w:val="zh-CN"/>
                    </w:rPr>
                    <w:t>5</w:t>
                  </w:r>
                  <w:r>
                    <w:rPr>
                      <w:rFonts w:ascii="Times New Roman" w:hAnsi="Times New Roman" w:cs="Times New Roman"/>
                      <w:szCs w:val="21"/>
                      <w:lang w:val="zh-CN"/>
                    </w:rPr>
                    <w:t>-01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95" w:type="pct"/>
                  <w:vMerge w:val="continue"/>
                  <w:vAlign w:val="center"/>
                </w:tcPr>
                <w:p>
                  <w:pPr>
                    <w:pStyle w:val="15"/>
                    <w:spacing w:after="0"/>
                    <w:ind w:left="0" w:leftChars="0" w:firstLine="0" w:firstLineChars="0"/>
                    <w:jc w:val="center"/>
                    <w:rPr>
                      <w:rFonts w:ascii="Times New Roman" w:hAnsi="Times New Roman" w:cs="Times New Roman"/>
                      <w:szCs w:val="21"/>
                      <w:lang w:val="zh-CN"/>
                    </w:rPr>
                  </w:pPr>
                </w:p>
              </w:tc>
              <w:tc>
                <w:tcPr>
                  <w:tcW w:w="484" w:type="pct"/>
                  <w:vMerge w:val="continue"/>
                  <w:vAlign w:val="center"/>
                </w:tcPr>
                <w:p>
                  <w:pPr>
                    <w:pStyle w:val="15"/>
                    <w:spacing w:after="0"/>
                    <w:ind w:left="0" w:leftChars="0" w:firstLine="0" w:firstLineChars="0"/>
                    <w:jc w:val="center"/>
                    <w:rPr>
                      <w:rFonts w:ascii="Times New Roman" w:hAnsi="Times New Roman" w:cs="Times New Roman"/>
                      <w:szCs w:val="21"/>
                      <w:lang w:val="zh-CN"/>
                    </w:rPr>
                  </w:pPr>
                </w:p>
              </w:tc>
              <w:tc>
                <w:tcPr>
                  <w:tcW w:w="2339" w:type="pct"/>
                  <w:vAlign w:val="center"/>
                </w:tcPr>
                <w:p>
                  <w:pPr>
                    <w:pStyle w:val="15"/>
                    <w:spacing w:after="0"/>
                    <w:ind w:left="0" w:leftChars="0" w:firstLine="0" w:firstLineChars="0"/>
                    <w:jc w:val="left"/>
                    <w:rPr>
                      <w:rFonts w:ascii="Times New Roman" w:hAnsi="Times New Roman" w:cs="Times New Roman"/>
                      <w:szCs w:val="21"/>
                      <w:lang w:val="zh-CN"/>
                    </w:rPr>
                  </w:pPr>
                  <w:r>
                    <w:rPr>
                      <w:rFonts w:hint="eastAsia" w:ascii="Times New Roman" w:hAnsi="Times New Roman" w:cs="Times New Roman"/>
                      <w:szCs w:val="21"/>
                      <w:lang w:val="zh-CN"/>
                    </w:rPr>
                    <w:t>2废弃的细胞毒性药物和遗传毒性药物，包括：致癌性药物，如硫唑嘌呤、苯丁酸氮芥、蔡氮芥、环孢霉素、环磷酰胺、苯丙胺酸氮芥、司莫司汀、三苯氧氨、硫替派等；可疑致癌性药物，如：顺铂、丝裂霉素、阿霉素、苯巴比妥等；免疫抑制剂</w:t>
                  </w:r>
                </w:p>
              </w:tc>
              <w:tc>
                <w:tcPr>
                  <w:tcW w:w="1319" w:type="pct"/>
                  <w:vMerge w:val="continue"/>
                  <w:vAlign w:val="center"/>
                </w:tcPr>
                <w:p>
                  <w:pPr>
                    <w:pStyle w:val="15"/>
                    <w:spacing w:after="0"/>
                    <w:ind w:left="0" w:leftChars="0" w:firstLine="0" w:firstLineChars="0"/>
                    <w:jc w:val="center"/>
                    <w:rPr>
                      <w:rFonts w:ascii="Times New Roman" w:hAnsi="Times New Roman" w:cs="Times New Roman"/>
                      <w:szCs w:val="21"/>
                      <w:lang w:val="zh-CN"/>
                    </w:rPr>
                  </w:pPr>
                </w:p>
              </w:tc>
              <w:tc>
                <w:tcPr>
                  <w:tcW w:w="563" w:type="pct"/>
                  <w:vMerge w:val="continue"/>
                  <w:vAlign w:val="center"/>
                </w:tcPr>
                <w:p>
                  <w:pPr>
                    <w:pStyle w:val="15"/>
                    <w:spacing w:after="0"/>
                    <w:ind w:left="0" w:leftChars="0" w:firstLine="0" w:firstLineChars="0"/>
                    <w:jc w:val="center"/>
                    <w:rPr>
                      <w:rFonts w:ascii="Times New Roman" w:hAnsi="Times New Roman" w:cs="Times New Roman"/>
                      <w:szCs w:val="21"/>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295" w:type="pct"/>
                  <w:vMerge w:val="continue"/>
                  <w:vAlign w:val="center"/>
                </w:tcPr>
                <w:p>
                  <w:pPr>
                    <w:pStyle w:val="15"/>
                    <w:spacing w:after="0"/>
                    <w:ind w:left="0" w:leftChars="0" w:firstLine="0" w:firstLineChars="0"/>
                    <w:jc w:val="center"/>
                    <w:rPr>
                      <w:rFonts w:ascii="Times New Roman" w:hAnsi="Times New Roman" w:cs="Times New Roman"/>
                      <w:szCs w:val="21"/>
                      <w:lang w:val="zh-CN"/>
                    </w:rPr>
                  </w:pPr>
                </w:p>
              </w:tc>
              <w:tc>
                <w:tcPr>
                  <w:tcW w:w="484" w:type="pct"/>
                  <w:vMerge w:val="continue"/>
                  <w:vAlign w:val="center"/>
                </w:tcPr>
                <w:p>
                  <w:pPr>
                    <w:pStyle w:val="15"/>
                    <w:spacing w:after="0"/>
                    <w:ind w:left="0" w:leftChars="0" w:firstLine="0" w:firstLineChars="0"/>
                    <w:jc w:val="center"/>
                    <w:rPr>
                      <w:rFonts w:ascii="Times New Roman" w:hAnsi="Times New Roman" w:cs="Times New Roman"/>
                      <w:szCs w:val="21"/>
                      <w:lang w:val="zh-CN"/>
                    </w:rPr>
                  </w:pPr>
                </w:p>
              </w:tc>
              <w:tc>
                <w:tcPr>
                  <w:tcW w:w="2339" w:type="pct"/>
                  <w:vAlign w:val="center"/>
                </w:tcPr>
                <w:p>
                  <w:pPr>
                    <w:pStyle w:val="15"/>
                    <w:spacing w:after="0"/>
                    <w:ind w:left="0" w:leftChars="0" w:firstLine="0" w:firstLineChars="0"/>
                    <w:jc w:val="left"/>
                    <w:rPr>
                      <w:rFonts w:ascii="Times New Roman" w:hAnsi="Times New Roman" w:cs="Times New Roman"/>
                      <w:szCs w:val="21"/>
                      <w:lang w:val="zh-CN"/>
                    </w:rPr>
                  </w:pPr>
                  <w:r>
                    <w:rPr>
                      <w:rFonts w:hint="eastAsia" w:ascii="Times New Roman" w:hAnsi="Times New Roman" w:cs="Times New Roman"/>
                      <w:szCs w:val="21"/>
                      <w:lang w:val="zh-CN"/>
                    </w:rPr>
                    <w:t>3废弃的疫苗、血液制品等</w:t>
                  </w:r>
                </w:p>
              </w:tc>
              <w:tc>
                <w:tcPr>
                  <w:tcW w:w="1319" w:type="pct"/>
                  <w:vMerge w:val="continue"/>
                  <w:vAlign w:val="center"/>
                </w:tcPr>
                <w:p>
                  <w:pPr>
                    <w:pStyle w:val="15"/>
                    <w:spacing w:after="0"/>
                    <w:ind w:left="0" w:leftChars="0" w:firstLine="0" w:firstLineChars="0"/>
                    <w:jc w:val="center"/>
                    <w:rPr>
                      <w:rFonts w:ascii="Times New Roman" w:hAnsi="Times New Roman" w:cs="Times New Roman"/>
                      <w:szCs w:val="21"/>
                      <w:lang w:val="zh-CN"/>
                    </w:rPr>
                  </w:pPr>
                </w:p>
              </w:tc>
              <w:tc>
                <w:tcPr>
                  <w:tcW w:w="563" w:type="pct"/>
                  <w:vMerge w:val="continue"/>
                  <w:vAlign w:val="center"/>
                </w:tcPr>
                <w:p>
                  <w:pPr>
                    <w:pStyle w:val="15"/>
                    <w:spacing w:after="0"/>
                    <w:ind w:left="0" w:leftChars="0" w:firstLine="0" w:firstLineChars="0"/>
                    <w:jc w:val="center"/>
                    <w:rPr>
                      <w:rFonts w:ascii="Times New Roman" w:hAnsi="Times New Roman" w:cs="Times New Roman"/>
                      <w:szCs w:val="21"/>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295" w:type="pct"/>
                  <w:vMerge w:val="restart"/>
                  <w:vAlign w:val="center"/>
                </w:tcPr>
                <w:p>
                  <w:pPr>
                    <w:pStyle w:val="15"/>
                    <w:spacing w:after="0"/>
                    <w:ind w:left="0" w:leftChars="0" w:firstLine="0" w:firstLineChars="0"/>
                    <w:jc w:val="center"/>
                    <w:rPr>
                      <w:rFonts w:ascii="Times New Roman" w:hAnsi="Times New Roman" w:cs="Times New Roman"/>
                      <w:szCs w:val="21"/>
                      <w:lang w:val="zh-CN"/>
                    </w:rPr>
                  </w:pPr>
                  <w:r>
                    <w:rPr>
                      <w:rFonts w:hint="eastAsia" w:ascii="Times New Roman" w:hAnsi="Times New Roman" w:cs="Times New Roman"/>
                      <w:szCs w:val="21"/>
                      <w:lang w:val="zh-CN"/>
                    </w:rPr>
                    <w:t>化学性废物</w:t>
                  </w:r>
                </w:p>
              </w:tc>
              <w:tc>
                <w:tcPr>
                  <w:tcW w:w="484" w:type="pct"/>
                  <w:vMerge w:val="restart"/>
                  <w:vAlign w:val="center"/>
                </w:tcPr>
                <w:p>
                  <w:pPr>
                    <w:pStyle w:val="15"/>
                    <w:spacing w:after="0"/>
                    <w:ind w:left="0" w:leftChars="0" w:firstLine="0" w:firstLineChars="0"/>
                    <w:jc w:val="left"/>
                    <w:rPr>
                      <w:rFonts w:ascii="Times New Roman" w:hAnsi="Times New Roman" w:cs="Times New Roman"/>
                      <w:szCs w:val="21"/>
                      <w:lang w:val="zh-CN"/>
                    </w:rPr>
                  </w:pPr>
                  <w:r>
                    <w:rPr>
                      <w:rFonts w:hint="eastAsia" w:ascii="Times New Roman" w:hAnsi="Times New Roman" w:cs="Times New Roman"/>
                      <w:szCs w:val="21"/>
                      <w:lang w:val="zh-CN"/>
                    </w:rPr>
                    <w:t>具有毒性、腐蚀性、易燃易爆性的废弃的化学物品</w:t>
                  </w:r>
                </w:p>
              </w:tc>
              <w:tc>
                <w:tcPr>
                  <w:tcW w:w="2339" w:type="pct"/>
                  <w:vAlign w:val="center"/>
                </w:tcPr>
                <w:p>
                  <w:pPr>
                    <w:pStyle w:val="15"/>
                    <w:spacing w:after="0"/>
                    <w:ind w:left="0" w:leftChars="0" w:firstLine="0" w:firstLineChars="0"/>
                    <w:jc w:val="left"/>
                    <w:rPr>
                      <w:rFonts w:ascii="Times New Roman" w:hAnsi="Times New Roman" w:cs="Times New Roman"/>
                      <w:szCs w:val="21"/>
                      <w:lang w:val="zh-CN"/>
                    </w:rPr>
                  </w:pPr>
                  <w:r>
                    <w:rPr>
                      <w:rFonts w:hint="eastAsia" w:ascii="Times New Roman" w:hAnsi="Times New Roman" w:cs="Times New Roman"/>
                      <w:szCs w:val="21"/>
                      <w:lang w:val="zh-CN"/>
                    </w:rPr>
                    <w:t>1实验室废弃的化学试剂</w:t>
                  </w:r>
                </w:p>
              </w:tc>
              <w:tc>
                <w:tcPr>
                  <w:tcW w:w="1319" w:type="pct"/>
                  <w:vMerge w:val="restart"/>
                  <w:vAlign w:val="center"/>
                </w:tcPr>
                <w:p>
                  <w:pPr>
                    <w:pStyle w:val="15"/>
                    <w:spacing w:after="0"/>
                    <w:ind w:left="0" w:leftChars="0" w:firstLine="0" w:firstLineChars="0"/>
                    <w:jc w:val="left"/>
                    <w:rPr>
                      <w:rFonts w:ascii="Times New Roman" w:hAnsi="Times New Roman" w:cs="Times New Roman"/>
                      <w:szCs w:val="21"/>
                      <w:lang w:val="zh-CN"/>
                    </w:rPr>
                  </w:pPr>
                  <w:r>
                    <w:rPr>
                      <w:rFonts w:hint="eastAsia" w:ascii="Times New Roman" w:hAnsi="Times New Roman" w:cs="Times New Roman"/>
                      <w:szCs w:val="21"/>
                      <w:lang w:val="zh-CN"/>
                    </w:rPr>
                    <w:t>1收集于符合《医疗废物专用包装袋、容器和警示标志标准》（HJ421）医疗废物包装袋中；2可进行防腐或者低温保存</w:t>
                  </w:r>
                </w:p>
              </w:tc>
              <w:tc>
                <w:tcPr>
                  <w:tcW w:w="563" w:type="pct"/>
                  <w:vMerge w:val="restart"/>
                  <w:vAlign w:val="center"/>
                </w:tcPr>
                <w:p>
                  <w:pPr>
                    <w:pStyle w:val="15"/>
                    <w:spacing w:after="0"/>
                    <w:ind w:left="0" w:leftChars="0" w:firstLine="0" w:firstLineChars="0"/>
                    <w:jc w:val="center"/>
                    <w:rPr>
                      <w:rFonts w:ascii="Times New Roman" w:hAnsi="Times New Roman" w:cs="Times New Roman"/>
                      <w:szCs w:val="21"/>
                      <w:lang w:val="zh-CN"/>
                    </w:rPr>
                  </w:pPr>
                  <w:r>
                    <w:rPr>
                      <w:rFonts w:ascii="Times New Roman" w:hAnsi="Times New Roman" w:cs="Times New Roman"/>
                      <w:szCs w:val="21"/>
                      <w:lang w:val="zh-CN"/>
                    </w:rPr>
                    <w:t>HW01</w:t>
                  </w:r>
                </w:p>
                <w:p>
                  <w:pPr>
                    <w:pStyle w:val="15"/>
                    <w:spacing w:after="0"/>
                    <w:ind w:left="0" w:leftChars="0" w:firstLine="0" w:firstLineChars="0"/>
                    <w:jc w:val="center"/>
                    <w:rPr>
                      <w:rFonts w:ascii="Times New Roman" w:hAnsi="Times New Roman" w:cs="Times New Roman"/>
                      <w:szCs w:val="21"/>
                      <w:lang w:val="zh-CN"/>
                    </w:rPr>
                  </w:pPr>
                  <w:r>
                    <w:rPr>
                      <w:rFonts w:ascii="Times New Roman" w:hAnsi="Times New Roman" w:cs="Times New Roman"/>
                      <w:szCs w:val="21"/>
                      <w:lang w:val="zh-CN"/>
                    </w:rPr>
                    <w:t>841-00</w:t>
                  </w:r>
                  <w:r>
                    <w:rPr>
                      <w:rFonts w:hint="eastAsia" w:ascii="Times New Roman" w:hAnsi="Times New Roman" w:cs="Times New Roman"/>
                      <w:szCs w:val="21"/>
                      <w:lang w:val="zh-CN"/>
                    </w:rPr>
                    <w:t>4</w:t>
                  </w:r>
                  <w:r>
                    <w:rPr>
                      <w:rFonts w:ascii="Times New Roman" w:hAnsi="Times New Roman" w:cs="Times New Roman"/>
                      <w:szCs w:val="21"/>
                      <w:lang w:val="zh-CN"/>
                    </w:rPr>
                    <w:t>-01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95" w:type="pct"/>
                  <w:vMerge w:val="continue"/>
                  <w:vAlign w:val="center"/>
                </w:tcPr>
                <w:p>
                  <w:pPr>
                    <w:pStyle w:val="15"/>
                    <w:spacing w:after="0"/>
                    <w:ind w:left="0" w:leftChars="0" w:firstLine="0" w:firstLineChars="0"/>
                    <w:jc w:val="center"/>
                    <w:rPr>
                      <w:rFonts w:ascii="Times New Roman" w:hAnsi="Times New Roman" w:cs="Times New Roman"/>
                      <w:szCs w:val="21"/>
                      <w:lang w:val="zh-CN"/>
                    </w:rPr>
                  </w:pPr>
                </w:p>
              </w:tc>
              <w:tc>
                <w:tcPr>
                  <w:tcW w:w="484" w:type="pct"/>
                  <w:vMerge w:val="continue"/>
                  <w:vAlign w:val="center"/>
                </w:tcPr>
                <w:p>
                  <w:pPr>
                    <w:pStyle w:val="15"/>
                    <w:spacing w:after="0"/>
                    <w:ind w:left="0" w:leftChars="0" w:firstLine="0" w:firstLineChars="0"/>
                    <w:jc w:val="center"/>
                    <w:rPr>
                      <w:rFonts w:ascii="Times New Roman" w:hAnsi="Times New Roman" w:cs="Times New Roman"/>
                      <w:szCs w:val="21"/>
                      <w:lang w:val="zh-CN"/>
                    </w:rPr>
                  </w:pPr>
                </w:p>
              </w:tc>
              <w:tc>
                <w:tcPr>
                  <w:tcW w:w="2339" w:type="pct"/>
                  <w:vAlign w:val="center"/>
                </w:tcPr>
                <w:p>
                  <w:pPr>
                    <w:pStyle w:val="15"/>
                    <w:spacing w:after="0"/>
                    <w:ind w:left="0" w:leftChars="0" w:firstLine="0" w:firstLineChars="0"/>
                    <w:jc w:val="left"/>
                    <w:rPr>
                      <w:rFonts w:ascii="Times New Roman" w:hAnsi="Times New Roman" w:cs="Times New Roman"/>
                      <w:szCs w:val="21"/>
                      <w:lang w:val="zh-CN"/>
                    </w:rPr>
                  </w:pPr>
                  <w:r>
                    <w:rPr>
                      <w:rFonts w:hint="eastAsia" w:ascii="Times New Roman" w:hAnsi="Times New Roman" w:cs="Times New Roman"/>
                      <w:szCs w:val="21"/>
                      <w:lang w:val="zh-CN"/>
                    </w:rPr>
                    <w:t>2废弃的过氧乙酸、戊二醛等化学消毒剂</w:t>
                  </w:r>
                </w:p>
              </w:tc>
              <w:tc>
                <w:tcPr>
                  <w:tcW w:w="1319" w:type="pct"/>
                  <w:vMerge w:val="continue"/>
                  <w:vAlign w:val="center"/>
                </w:tcPr>
                <w:p>
                  <w:pPr>
                    <w:pStyle w:val="15"/>
                    <w:spacing w:after="0"/>
                    <w:ind w:left="0" w:leftChars="0" w:firstLine="0" w:firstLineChars="0"/>
                    <w:jc w:val="center"/>
                    <w:rPr>
                      <w:rFonts w:ascii="Times New Roman" w:hAnsi="Times New Roman" w:cs="Times New Roman"/>
                      <w:szCs w:val="21"/>
                      <w:lang w:val="zh-CN"/>
                    </w:rPr>
                  </w:pPr>
                </w:p>
              </w:tc>
              <w:tc>
                <w:tcPr>
                  <w:tcW w:w="563" w:type="pct"/>
                  <w:vMerge w:val="continue"/>
                  <w:vAlign w:val="center"/>
                </w:tcPr>
                <w:p>
                  <w:pPr>
                    <w:pStyle w:val="15"/>
                    <w:spacing w:after="0"/>
                    <w:ind w:left="0" w:leftChars="0" w:firstLine="0" w:firstLineChars="0"/>
                    <w:jc w:val="center"/>
                    <w:rPr>
                      <w:rFonts w:ascii="Times New Roman" w:hAnsi="Times New Roman" w:cs="Times New Roman"/>
                      <w:szCs w:val="21"/>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295" w:type="pct"/>
                  <w:vMerge w:val="continue"/>
                  <w:vAlign w:val="center"/>
                </w:tcPr>
                <w:p>
                  <w:pPr>
                    <w:pStyle w:val="15"/>
                    <w:spacing w:after="0"/>
                    <w:ind w:left="0" w:leftChars="0" w:firstLine="0" w:firstLineChars="0"/>
                    <w:jc w:val="center"/>
                    <w:rPr>
                      <w:rFonts w:ascii="Times New Roman" w:hAnsi="Times New Roman" w:cs="Times New Roman"/>
                      <w:szCs w:val="21"/>
                      <w:lang w:val="zh-CN"/>
                    </w:rPr>
                  </w:pPr>
                </w:p>
              </w:tc>
              <w:tc>
                <w:tcPr>
                  <w:tcW w:w="484" w:type="pct"/>
                  <w:vMerge w:val="continue"/>
                  <w:vAlign w:val="center"/>
                </w:tcPr>
                <w:p>
                  <w:pPr>
                    <w:pStyle w:val="15"/>
                    <w:spacing w:after="0"/>
                    <w:ind w:left="0" w:leftChars="0" w:firstLine="0" w:firstLineChars="0"/>
                    <w:jc w:val="center"/>
                    <w:rPr>
                      <w:rFonts w:ascii="Times New Roman" w:hAnsi="Times New Roman" w:cs="Times New Roman"/>
                      <w:szCs w:val="21"/>
                      <w:lang w:val="zh-CN"/>
                    </w:rPr>
                  </w:pPr>
                </w:p>
              </w:tc>
              <w:tc>
                <w:tcPr>
                  <w:tcW w:w="2339" w:type="pct"/>
                  <w:vAlign w:val="center"/>
                </w:tcPr>
                <w:p>
                  <w:pPr>
                    <w:pStyle w:val="15"/>
                    <w:spacing w:after="0"/>
                    <w:ind w:left="0" w:leftChars="0" w:firstLine="0" w:firstLineChars="0"/>
                    <w:jc w:val="left"/>
                    <w:rPr>
                      <w:rFonts w:ascii="Times New Roman" w:hAnsi="Times New Roman" w:cs="Times New Roman"/>
                      <w:szCs w:val="21"/>
                      <w:lang w:val="zh-CN"/>
                    </w:rPr>
                  </w:pPr>
                  <w:r>
                    <w:rPr>
                      <w:rFonts w:hint="eastAsia" w:ascii="Times New Roman" w:hAnsi="Times New Roman" w:cs="Times New Roman"/>
                      <w:szCs w:val="21"/>
                      <w:lang w:val="zh-CN"/>
                    </w:rPr>
                    <w:t>3废弃的汞血压计、汞温度</w:t>
                  </w:r>
                </w:p>
              </w:tc>
              <w:tc>
                <w:tcPr>
                  <w:tcW w:w="1319" w:type="pct"/>
                  <w:vMerge w:val="continue"/>
                  <w:vAlign w:val="center"/>
                </w:tcPr>
                <w:p>
                  <w:pPr>
                    <w:pStyle w:val="15"/>
                    <w:spacing w:after="0"/>
                    <w:ind w:left="0" w:leftChars="0" w:firstLine="0" w:firstLineChars="0"/>
                    <w:jc w:val="center"/>
                    <w:rPr>
                      <w:rFonts w:ascii="Times New Roman" w:hAnsi="Times New Roman" w:cs="Times New Roman"/>
                      <w:szCs w:val="21"/>
                      <w:lang w:val="zh-CN"/>
                    </w:rPr>
                  </w:pPr>
                </w:p>
              </w:tc>
              <w:tc>
                <w:tcPr>
                  <w:tcW w:w="563" w:type="pct"/>
                  <w:vMerge w:val="continue"/>
                  <w:vAlign w:val="center"/>
                </w:tcPr>
                <w:p>
                  <w:pPr>
                    <w:pStyle w:val="15"/>
                    <w:spacing w:after="0"/>
                    <w:ind w:left="0" w:leftChars="0" w:firstLine="0" w:firstLineChars="0"/>
                    <w:jc w:val="center"/>
                    <w:rPr>
                      <w:rFonts w:ascii="Times New Roman" w:hAnsi="Times New Roman" w:cs="Times New Roman"/>
                      <w:szCs w:val="21"/>
                      <w:lang w:val="zh-CN"/>
                    </w:rPr>
                  </w:pPr>
                </w:p>
              </w:tc>
            </w:tr>
          </w:tbl>
          <w:p>
            <w:pPr>
              <w:ind w:left="120" w:leftChars="50" w:right="120" w:rightChars="50" w:firstLine="480"/>
              <w:jc w:val="left"/>
              <w:rPr>
                <w:rFonts w:hAnsi="宋体"/>
                <w:kern w:val="0"/>
              </w:rPr>
            </w:pPr>
            <w:r>
              <w:rPr>
                <w:rFonts w:hint="eastAsia" w:hAnsi="宋体"/>
                <w:kern w:val="0"/>
              </w:rPr>
              <w:t>参照《第一次全国污染源普查一城镇生活源产排污系数手册》第四部分医院污染物产生、排放系数中的规定：医院医疗废物的产生系数约0.53kg/床·d。本项目设置病床位数30张，则住院病人医疗废物产生量约5.804t/a。</w:t>
            </w:r>
          </w:p>
          <w:p>
            <w:pPr>
              <w:ind w:left="120" w:leftChars="50" w:right="120" w:rightChars="50" w:firstLine="480"/>
              <w:jc w:val="left"/>
            </w:pPr>
            <w:r>
              <w:rPr>
                <w:rFonts w:hint="eastAsia"/>
              </w:rPr>
              <w:t>本项目预计日门诊就诊人数50人，医疗废物按0.1kg/人</w:t>
            </w:r>
            <w:r>
              <w:rPr>
                <w:rFonts w:hint="eastAsia" w:hAnsi="宋体"/>
                <w:kern w:val="0"/>
              </w:rPr>
              <w:t>·d计</w:t>
            </w:r>
            <w:r>
              <w:rPr>
                <w:rFonts w:hint="eastAsia"/>
              </w:rPr>
              <w:t>，则门诊医疗废物产生量约1.825t/a。</w:t>
            </w:r>
          </w:p>
          <w:p>
            <w:pPr>
              <w:ind w:left="120" w:leftChars="50" w:right="120" w:rightChars="50" w:firstLine="480"/>
              <w:jc w:val="left"/>
            </w:pPr>
            <w:r>
              <w:rPr>
                <w:rFonts w:hint="eastAsia"/>
              </w:rPr>
              <w:t>综上，项目医疗废物产生量为7.629t/a，医疗废物分类收集暂存于医疗废物暂存间，定期交有资质单位处置，约每2天清运一次。</w:t>
            </w:r>
          </w:p>
          <w:p>
            <w:pPr>
              <w:ind w:left="120" w:leftChars="50" w:right="120" w:rightChars="50" w:firstLine="480"/>
              <w:jc w:val="left"/>
            </w:pPr>
            <w:r>
              <w:rPr>
                <w:rFonts w:hint="eastAsia"/>
              </w:rPr>
              <w:t>⑥污水处理等过程使用的药剂废包装</w:t>
            </w:r>
          </w:p>
          <w:p>
            <w:pPr>
              <w:ind w:left="120" w:leftChars="50" w:right="120" w:rightChars="50" w:firstLine="480"/>
              <w:jc w:val="left"/>
            </w:pPr>
            <w:r>
              <w:rPr>
                <w:rFonts w:hint="eastAsia"/>
              </w:rPr>
              <w:t>污水处理使用</w:t>
            </w:r>
            <w:r>
              <w:rPr>
                <w:rFonts w:hint="eastAsia"/>
                <w:kern w:val="0"/>
              </w:rPr>
              <w:t>NaClO，医院日常消毒使用乙醚、醋酸等，其废包装产生量约0.001t/a，废包装属于危险废物（HW49 非特定行业，废物代码为900-047-49），暂存于危废暂存间，定期交有资质单位处置。</w:t>
            </w:r>
          </w:p>
          <w:p>
            <w:pPr>
              <w:ind w:left="120" w:leftChars="50" w:right="120" w:rightChars="50" w:firstLine="480"/>
              <w:jc w:val="left"/>
            </w:pPr>
            <w:r>
              <w:rPr>
                <w:rFonts w:hint="eastAsia"/>
              </w:rPr>
              <w:t>⑦污水处理污泥（含化粪池污泥、栅渣）</w:t>
            </w:r>
          </w:p>
          <w:p>
            <w:pPr>
              <w:pStyle w:val="15"/>
              <w:spacing w:after="0" w:line="520" w:lineRule="exact"/>
              <w:ind w:left="0" w:leftChars="0" w:firstLine="480"/>
              <w:rPr>
                <w:rFonts w:ascii="Times New Roman" w:hAnsi="Times New Roman" w:cs="Times New Roman"/>
                <w:sz w:val="24"/>
                <w:szCs w:val="24"/>
              </w:rPr>
            </w:pPr>
            <w:r>
              <w:rPr>
                <w:rFonts w:hint="eastAsia" w:ascii="Times New Roman" w:hAnsi="Times New Roman" w:cs="Times New Roman"/>
                <w:sz w:val="24"/>
                <w:szCs w:val="24"/>
              </w:rPr>
              <w:t>根据《医院污水处理指南》环发［2003］197号，污水处理过程每处理1500m</w:t>
            </w:r>
            <w:r>
              <w:rPr>
                <w:rFonts w:hint="eastAsia" w:ascii="Times New Roman" w:hAnsi="Times New Roman" w:cs="Times New Roman"/>
                <w:sz w:val="24"/>
                <w:szCs w:val="24"/>
                <w:vertAlign w:val="superscript"/>
              </w:rPr>
              <w:t>3</w:t>
            </w:r>
            <w:r>
              <w:rPr>
                <w:rFonts w:hint="eastAsia" w:ascii="Times New Roman" w:hAnsi="Times New Roman" w:cs="Times New Roman"/>
                <w:sz w:val="24"/>
                <w:szCs w:val="24"/>
              </w:rPr>
              <w:t>污水产生0.6t含水污泥（</w:t>
            </w:r>
            <w:r>
              <w:rPr>
                <w:rFonts w:ascii="Times New Roman" w:hAnsi="Times New Roman" w:cs="Times New Roman"/>
                <w:sz w:val="24"/>
                <w:szCs w:val="24"/>
              </w:rPr>
              <w:t>含水率</w:t>
            </w:r>
            <w:r>
              <w:rPr>
                <w:rFonts w:hint="eastAsia" w:ascii="Times New Roman" w:hAnsi="Times New Roman" w:cs="Times New Roman"/>
                <w:sz w:val="24"/>
                <w:szCs w:val="24"/>
              </w:rPr>
              <w:t>95</w:t>
            </w:r>
            <w:r>
              <w:rPr>
                <w:rFonts w:ascii="Times New Roman" w:hAnsi="Times New Roman" w:cs="Times New Roman"/>
                <w:sz w:val="24"/>
                <w:szCs w:val="24"/>
              </w:rPr>
              <w:t>%）</w:t>
            </w:r>
            <w:r>
              <w:rPr>
                <w:rFonts w:hint="eastAsia" w:ascii="Times New Roman" w:hAnsi="Times New Roman" w:cs="Times New Roman"/>
                <w:sz w:val="24"/>
                <w:szCs w:val="24"/>
              </w:rPr>
              <w:t>。本项目污水产生量4288.75m</w:t>
            </w:r>
            <w:r>
              <w:rPr>
                <w:rFonts w:hint="eastAsia" w:ascii="Times New Roman" w:hAnsi="Times New Roman" w:cs="Times New Roman"/>
                <w:sz w:val="24"/>
                <w:szCs w:val="24"/>
                <w:vertAlign w:val="superscript"/>
              </w:rPr>
              <w:t>3</w:t>
            </w:r>
            <w:r>
              <w:rPr>
                <w:rFonts w:ascii="Times New Roman" w:hAnsi="Times New Roman" w:cs="Times New Roman"/>
                <w:sz w:val="24"/>
                <w:szCs w:val="24"/>
              </w:rPr>
              <w:t>/a</w:t>
            </w:r>
            <w:r>
              <w:rPr>
                <w:rFonts w:hint="eastAsia" w:ascii="Times New Roman" w:hAnsi="Times New Roman" w:cs="Times New Roman"/>
                <w:sz w:val="24"/>
                <w:szCs w:val="24"/>
              </w:rPr>
              <w:t>，则含水污泥（</w:t>
            </w:r>
            <w:r>
              <w:rPr>
                <w:rFonts w:ascii="Times New Roman" w:hAnsi="Times New Roman" w:cs="Times New Roman"/>
                <w:sz w:val="24"/>
                <w:szCs w:val="24"/>
              </w:rPr>
              <w:t>含水率</w:t>
            </w:r>
            <w:r>
              <w:rPr>
                <w:rFonts w:hint="eastAsia" w:ascii="Times New Roman" w:hAnsi="Times New Roman" w:cs="Times New Roman"/>
                <w:sz w:val="24"/>
                <w:szCs w:val="24"/>
              </w:rPr>
              <w:t>95</w:t>
            </w:r>
            <w:r>
              <w:rPr>
                <w:rFonts w:ascii="Times New Roman" w:hAnsi="Times New Roman" w:cs="Times New Roman"/>
                <w:sz w:val="24"/>
                <w:szCs w:val="24"/>
              </w:rPr>
              <w:t>%）</w:t>
            </w:r>
            <w:r>
              <w:rPr>
                <w:rFonts w:hint="eastAsia" w:ascii="Times New Roman" w:hAnsi="Times New Roman" w:cs="Times New Roman"/>
                <w:sz w:val="24"/>
                <w:szCs w:val="24"/>
              </w:rPr>
              <w:t>产生量约1.72t/a，栅渣产生量约0.1t/a，合计产生量约1.82t/a。</w:t>
            </w:r>
          </w:p>
          <w:p>
            <w:pPr>
              <w:ind w:left="120" w:leftChars="50" w:right="120" w:rightChars="50" w:firstLine="480"/>
              <w:jc w:val="left"/>
            </w:pPr>
            <w:r>
              <w:rPr>
                <w:rFonts w:hint="eastAsia"/>
              </w:rPr>
              <w:t>本项目运行时向污泥池中投加石灰对污泥进行消毒处理，保证有不少2h的接触时间。根据《医疗机构水污染物排放标准》（GB18466-2005）中“4.3.1栅渣、化粪池和污水处理站污泥属危险废物，应按危险废物进行处理和处置”要求，污水处理污泥属于危险废物，废物类别为HW01 医疗废物，废物代码分别为841-001-01，污泥清掏前应进行监测，达到《医疗机构水污染物排放标准》（GB18466-2005）综合医疗机构和其他医疗机构污泥控制标准，粪大肠菌群数≤100MPN/g，蛔虫卵死亡率&gt;95%的要求。污泥储存于污泥桶中，暂存于医疗废物暂存间，定期交有资质单位处置。</w:t>
            </w:r>
          </w:p>
          <w:p>
            <w:pPr>
              <w:ind w:left="120" w:leftChars="50" w:right="120" w:rightChars="50" w:firstLine="480"/>
              <w:jc w:val="left"/>
            </w:pPr>
            <w:r>
              <w:rPr>
                <w:rFonts w:hint="eastAsia"/>
              </w:rPr>
              <w:t>⑧废活性炭</w:t>
            </w:r>
          </w:p>
          <w:p>
            <w:pPr>
              <w:ind w:left="48" w:leftChars="20" w:right="48" w:rightChars="20" w:firstLine="480"/>
              <w:rPr>
                <w:bCs/>
              </w:rPr>
            </w:pPr>
            <w:r>
              <w:rPr>
                <w:rFonts w:hint="eastAsia"/>
              </w:rPr>
              <w:t>参考</w:t>
            </w:r>
            <w:r>
              <w:rPr>
                <w:rFonts w:hint="eastAsia"/>
                <w:bCs/>
              </w:rPr>
              <w:t>《河北省涉VOCs工业企业常用治理技术指南》中颗粒活性炭吸附单元中相关要求，活性炭填充量与每小时处理废气量体积之比宜1：7000，本项目废气处理风量10000m</w:t>
            </w:r>
            <w:r>
              <w:rPr>
                <w:rFonts w:hint="eastAsia"/>
                <w:bCs/>
                <w:vertAlign w:val="superscript"/>
              </w:rPr>
              <w:t>3</w:t>
            </w:r>
            <w:r>
              <w:rPr>
                <w:rFonts w:hint="eastAsia"/>
                <w:bCs/>
              </w:rPr>
              <w:t>/h，则活性炭填充量应为1.429m</w:t>
            </w:r>
            <w:r>
              <w:rPr>
                <w:rFonts w:hint="eastAsia"/>
                <w:bCs/>
                <w:vertAlign w:val="superscript"/>
              </w:rPr>
              <w:t>3</w:t>
            </w:r>
            <w:r>
              <w:rPr>
                <w:rFonts w:hint="eastAsia"/>
                <w:bCs/>
              </w:rPr>
              <w:t>，活性炭密度按0.5比重计算，则活性炭产生量为0.715t，碘值≥800mg/g。</w:t>
            </w:r>
          </w:p>
          <w:p>
            <w:pPr>
              <w:ind w:left="120" w:leftChars="50" w:right="120" w:rightChars="50" w:firstLine="480"/>
              <w:jc w:val="left"/>
              <w:rPr>
                <w:rFonts w:eastAsiaTheme="minorEastAsia"/>
                <w:kern w:val="0"/>
                <w:lang w:val="zh-CN"/>
              </w:rPr>
            </w:pPr>
            <w:r>
              <w:rPr>
                <w:rFonts w:hint="eastAsia" w:eastAsiaTheme="minorEastAsia"/>
                <w:kern w:val="0"/>
                <w:lang w:val="zh-CN"/>
              </w:rPr>
              <w:t>废气治理过程产生的废活性炭属于《国家危险废物名录》（2025）中</w:t>
            </w:r>
            <w:r>
              <w:rPr>
                <w:rFonts w:hint="eastAsia"/>
                <w:lang w:val="zh-CN"/>
              </w:rPr>
              <w:t>HW49其他废物，非特定行业，废物代码为900-039-49的危险废物，废活性炭</w:t>
            </w:r>
            <w:r>
              <w:rPr>
                <w:rFonts w:hint="eastAsia" w:eastAsiaTheme="minorEastAsia"/>
                <w:kern w:val="0"/>
                <w:lang w:val="zh-CN"/>
              </w:rPr>
              <w:t>使用密封袋储存，</w:t>
            </w:r>
            <w:r>
              <w:rPr>
                <w:rFonts w:hint="eastAsia"/>
                <w:lang w:val="zh-CN"/>
              </w:rPr>
              <w:t>暂存于危废暂存间，定期交有资质单位处置。</w:t>
            </w:r>
          </w:p>
          <w:p>
            <w:pPr>
              <w:ind w:left="120" w:leftChars="50" w:right="120" w:rightChars="50" w:firstLine="480"/>
              <w:jc w:val="left"/>
            </w:pPr>
            <w:r>
              <w:rPr>
                <w:rFonts w:hint="eastAsia"/>
              </w:rPr>
              <w:t>⑨污水处理在线检测废液</w:t>
            </w:r>
          </w:p>
          <w:p>
            <w:pPr>
              <w:ind w:left="120" w:leftChars="50" w:right="120" w:rightChars="50" w:firstLine="480"/>
              <w:jc w:val="left"/>
              <w:rPr>
                <w:lang w:val="zh-CN"/>
              </w:rPr>
            </w:pPr>
            <w:r>
              <w:rPr>
                <w:rFonts w:hint="eastAsia"/>
                <w:lang w:val="zh-CN"/>
              </w:rPr>
              <w:t>项目污水处理安装在线监测，在线监测废液产生量约0.1t/a，属于HW49其他废物-非特定行业中废物代码为</w:t>
            </w:r>
            <w:r>
              <w:rPr>
                <w:lang w:val="zh-CN"/>
              </w:rPr>
              <w:t>900-047-49</w:t>
            </w:r>
            <w:r>
              <w:rPr>
                <w:rFonts w:hint="eastAsia"/>
                <w:lang w:val="zh-CN"/>
              </w:rPr>
              <w:t>的危险废物，收集后暂存于危废间，定期交有资质单位处置。</w:t>
            </w:r>
          </w:p>
          <w:p>
            <w:pPr>
              <w:pStyle w:val="14"/>
            </w:pPr>
            <w:r>
              <w:rPr>
                <w:rFonts w:hint="eastAsia"/>
              </w:rPr>
              <w:t>表36  固体废物产生及处置情况一览表</w:t>
            </w:r>
          </w:p>
          <w:tbl>
            <w:tblPr>
              <w:tblStyle w:val="16"/>
              <w:tblW w:w="492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1346"/>
              <w:gridCol w:w="1560"/>
              <w:gridCol w:w="1418"/>
              <w:gridCol w:w="1275"/>
              <w:gridCol w:w="314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770" w:type="pct"/>
                  <w:shd w:val="clear" w:color="auto" w:fill="auto"/>
                  <w:vAlign w:val="center"/>
                </w:tcPr>
                <w:p>
                  <w:pPr>
                    <w:pStyle w:val="28"/>
                    <w:spacing w:line="240" w:lineRule="auto"/>
                    <w:ind w:right="46" w:rightChars="19"/>
                    <w:rPr>
                      <w:szCs w:val="21"/>
                    </w:rPr>
                  </w:pPr>
                  <w:r>
                    <w:rPr>
                      <w:rFonts w:hint="eastAsia"/>
                      <w:szCs w:val="21"/>
                    </w:rPr>
                    <w:t>产生环节</w:t>
                  </w:r>
                </w:p>
              </w:tc>
              <w:tc>
                <w:tcPr>
                  <w:tcW w:w="892" w:type="pct"/>
                  <w:shd w:val="clear" w:color="auto" w:fill="auto"/>
                  <w:vAlign w:val="center"/>
                </w:tcPr>
                <w:p>
                  <w:pPr>
                    <w:pStyle w:val="28"/>
                    <w:spacing w:line="240" w:lineRule="auto"/>
                    <w:ind w:right="46" w:rightChars="19"/>
                    <w:rPr>
                      <w:szCs w:val="21"/>
                    </w:rPr>
                  </w:pPr>
                  <w:r>
                    <w:rPr>
                      <w:szCs w:val="21"/>
                    </w:rPr>
                    <w:t>固废名称</w:t>
                  </w:r>
                </w:p>
              </w:tc>
              <w:tc>
                <w:tcPr>
                  <w:tcW w:w="811" w:type="pct"/>
                  <w:shd w:val="clear" w:color="auto" w:fill="auto"/>
                  <w:vAlign w:val="center"/>
                </w:tcPr>
                <w:p>
                  <w:pPr>
                    <w:pStyle w:val="28"/>
                    <w:spacing w:line="240" w:lineRule="auto"/>
                    <w:ind w:right="46" w:rightChars="19"/>
                    <w:rPr>
                      <w:szCs w:val="21"/>
                    </w:rPr>
                  </w:pPr>
                  <w:r>
                    <w:rPr>
                      <w:szCs w:val="21"/>
                    </w:rPr>
                    <w:t>处理量（t/a）</w:t>
                  </w:r>
                </w:p>
              </w:tc>
              <w:tc>
                <w:tcPr>
                  <w:tcW w:w="729" w:type="pct"/>
                  <w:shd w:val="clear" w:color="auto" w:fill="auto"/>
                  <w:vAlign w:val="center"/>
                </w:tcPr>
                <w:p>
                  <w:pPr>
                    <w:pStyle w:val="28"/>
                    <w:spacing w:line="240" w:lineRule="auto"/>
                    <w:ind w:right="46" w:rightChars="19"/>
                    <w:rPr>
                      <w:szCs w:val="21"/>
                    </w:rPr>
                  </w:pPr>
                  <w:r>
                    <w:rPr>
                      <w:szCs w:val="21"/>
                    </w:rPr>
                    <w:t>类别</w:t>
                  </w:r>
                </w:p>
              </w:tc>
              <w:tc>
                <w:tcPr>
                  <w:tcW w:w="1798" w:type="pct"/>
                  <w:shd w:val="clear" w:color="auto" w:fill="auto"/>
                  <w:vAlign w:val="center"/>
                </w:tcPr>
                <w:p>
                  <w:pPr>
                    <w:pStyle w:val="28"/>
                    <w:spacing w:line="240" w:lineRule="auto"/>
                    <w:ind w:right="46" w:rightChars="19"/>
                    <w:rPr>
                      <w:szCs w:val="21"/>
                    </w:rPr>
                  </w:pPr>
                  <w:r>
                    <w:rPr>
                      <w:szCs w:val="21"/>
                    </w:rPr>
                    <w:t>处置措施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770" w:type="pct"/>
                  <w:shd w:val="clear" w:color="auto" w:fill="auto"/>
                  <w:vAlign w:val="center"/>
                </w:tcPr>
                <w:p>
                  <w:pPr>
                    <w:pStyle w:val="28"/>
                    <w:spacing w:line="240" w:lineRule="auto"/>
                    <w:ind w:right="46" w:rightChars="19"/>
                    <w:rPr>
                      <w:szCs w:val="21"/>
                    </w:rPr>
                  </w:pPr>
                  <w:r>
                    <w:rPr>
                      <w:rFonts w:hint="eastAsia"/>
                      <w:szCs w:val="21"/>
                    </w:rPr>
                    <w:t>职工、病人</w:t>
                  </w:r>
                </w:p>
              </w:tc>
              <w:tc>
                <w:tcPr>
                  <w:tcW w:w="892" w:type="pct"/>
                  <w:shd w:val="clear" w:color="auto" w:fill="auto"/>
                  <w:vAlign w:val="center"/>
                </w:tcPr>
                <w:p>
                  <w:pPr>
                    <w:pStyle w:val="28"/>
                    <w:spacing w:line="240" w:lineRule="auto"/>
                    <w:ind w:right="46" w:rightChars="19"/>
                    <w:rPr>
                      <w:szCs w:val="21"/>
                    </w:rPr>
                  </w:pPr>
                  <w:r>
                    <w:rPr>
                      <w:rFonts w:hint="eastAsia"/>
                      <w:szCs w:val="21"/>
                    </w:rPr>
                    <w:t>生活垃圾</w:t>
                  </w:r>
                </w:p>
              </w:tc>
              <w:tc>
                <w:tcPr>
                  <w:tcW w:w="811" w:type="pct"/>
                  <w:shd w:val="clear" w:color="auto" w:fill="auto"/>
                  <w:vAlign w:val="center"/>
                </w:tcPr>
                <w:p>
                  <w:pPr>
                    <w:pStyle w:val="28"/>
                    <w:spacing w:line="240" w:lineRule="auto"/>
                    <w:ind w:right="46" w:rightChars="19"/>
                    <w:rPr>
                      <w:szCs w:val="21"/>
                    </w:rPr>
                  </w:pPr>
                  <w:r>
                    <w:rPr>
                      <w:rFonts w:hint="eastAsia"/>
                      <w:szCs w:val="21"/>
                    </w:rPr>
                    <w:t>19.345</w:t>
                  </w:r>
                </w:p>
              </w:tc>
              <w:tc>
                <w:tcPr>
                  <w:tcW w:w="729" w:type="pct"/>
                  <w:vMerge w:val="restart"/>
                  <w:shd w:val="clear" w:color="auto" w:fill="auto"/>
                  <w:vAlign w:val="center"/>
                </w:tcPr>
                <w:p>
                  <w:pPr>
                    <w:pStyle w:val="28"/>
                    <w:spacing w:line="240" w:lineRule="auto"/>
                    <w:ind w:right="46" w:rightChars="19"/>
                    <w:rPr>
                      <w:szCs w:val="21"/>
                    </w:rPr>
                  </w:pPr>
                  <w:r>
                    <w:rPr>
                      <w:rFonts w:hint="eastAsia"/>
                      <w:szCs w:val="21"/>
                    </w:rPr>
                    <w:t>一般固废</w:t>
                  </w:r>
                </w:p>
              </w:tc>
              <w:tc>
                <w:tcPr>
                  <w:tcW w:w="1798" w:type="pct"/>
                  <w:shd w:val="clear" w:color="auto" w:fill="auto"/>
                  <w:vAlign w:val="center"/>
                </w:tcPr>
                <w:p>
                  <w:pPr>
                    <w:pStyle w:val="28"/>
                    <w:spacing w:line="240" w:lineRule="auto"/>
                    <w:ind w:right="46" w:rightChars="19"/>
                    <w:rPr>
                      <w:szCs w:val="21"/>
                    </w:rPr>
                  </w:pPr>
                  <w:r>
                    <w:rPr>
                      <w:rFonts w:hint="eastAsia"/>
                      <w:szCs w:val="21"/>
                    </w:rPr>
                    <w:t>环卫部门统一清运处理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70" w:type="pct"/>
                  <w:shd w:val="clear" w:color="auto" w:fill="auto"/>
                  <w:vAlign w:val="center"/>
                </w:tcPr>
                <w:p>
                  <w:pPr>
                    <w:pStyle w:val="28"/>
                    <w:spacing w:line="240" w:lineRule="auto"/>
                    <w:ind w:right="46" w:rightChars="19"/>
                    <w:rPr>
                      <w:szCs w:val="21"/>
                    </w:rPr>
                  </w:pPr>
                  <w:r>
                    <w:rPr>
                      <w:rFonts w:hint="eastAsia"/>
                      <w:szCs w:val="21"/>
                    </w:rPr>
                    <w:t>煎药室</w:t>
                  </w:r>
                </w:p>
              </w:tc>
              <w:tc>
                <w:tcPr>
                  <w:tcW w:w="892" w:type="pct"/>
                  <w:shd w:val="clear" w:color="auto" w:fill="auto"/>
                  <w:vAlign w:val="center"/>
                </w:tcPr>
                <w:p>
                  <w:pPr>
                    <w:pStyle w:val="28"/>
                    <w:spacing w:line="240" w:lineRule="auto"/>
                    <w:ind w:right="46" w:rightChars="19"/>
                    <w:rPr>
                      <w:szCs w:val="21"/>
                    </w:rPr>
                  </w:pPr>
                  <w:r>
                    <w:rPr>
                      <w:rFonts w:hint="eastAsia"/>
                      <w:szCs w:val="21"/>
                    </w:rPr>
                    <w:t>中药渣</w:t>
                  </w:r>
                </w:p>
              </w:tc>
              <w:tc>
                <w:tcPr>
                  <w:tcW w:w="811" w:type="pct"/>
                  <w:shd w:val="clear" w:color="auto" w:fill="auto"/>
                  <w:vAlign w:val="center"/>
                </w:tcPr>
                <w:p>
                  <w:pPr>
                    <w:pStyle w:val="28"/>
                    <w:spacing w:line="240" w:lineRule="auto"/>
                    <w:ind w:right="46" w:rightChars="19"/>
                    <w:rPr>
                      <w:szCs w:val="21"/>
                    </w:rPr>
                  </w:pPr>
                  <w:r>
                    <w:rPr>
                      <w:rFonts w:hint="eastAsia"/>
                      <w:szCs w:val="21"/>
                    </w:rPr>
                    <w:t>20</w:t>
                  </w:r>
                </w:p>
              </w:tc>
              <w:tc>
                <w:tcPr>
                  <w:tcW w:w="729" w:type="pct"/>
                  <w:vMerge w:val="continue"/>
                  <w:shd w:val="clear" w:color="auto" w:fill="auto"/>
                  <w:vAlign w:val="center"/>
                </w:tcPr>
                <w:p>
                  <w:pPr>
                    <w:pStyle w:val="28"/>
                    <w:spacing w:line="240" w:lineRule="auto"/>
                    <w:ind w:right="46" w:rightChars="19"/>
                    <w:rPr>
                      <w:szCs w:val="21"/>
                    </w:rPr>
                  </w:pPr>
                </w:p>
              </w:tc>
              <w:tc>
                <w:tcPr>
                  <w:tcW w:w="1798" w:type="pct"/>
                  <w:shd w:val="clear" w:color="auto" w:fill="auto"/>
                  <w:vAlign w:val="center"/>
                </w:tcPr>
                <w:p>
                  <w:pPr>
                    <w:pStyle w:val="28"/>
                    <w:spacing w:line="240" w:lineRule="auto"/>
                    <w:ind w:right="46" w:rightChars="19"/>
                    <w:jc w:val="left"/>
                    <w:rPr>
                      <w:szCs w:val="21"/>
                    </w:rPr>
                  </w:pPr>
                  <w:r>
                    <w:rPr>
                      <w:rFonts w:hint="eastAsia"/>
                      <w:szCs w:val="21"/>
                    </w:rPr>
                    <w:t>暂存于密闭桶内，定期由肥料生产企业定期拉运制作肥料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770" w:type="pct"/>
                  <w:shd w:val="clear" w:color="auto" w:fill="auto"/>
                  <w:vAlign w:val="center"/>
                </w:tcPr>
                <w:p>
                  <w:pPr>
                    <w:pStyle w:val="28"/>
                    <w:spacing w:line="240" w:lineRule="auto"/>
                    <w:ind w:right="46" w:rightChars="19"/>
                    <w:rPr>
                      <w:szCs w:val="21"/>
                    </w:rPr>
                  </w:pPr>
                  <w:r>
                    <w:rPr>
                      <w:rFonts w:hint="eastAsia"/>
                      <w:szCs w:val="21"/>
                    </w:rPr>
                    <w:t>药品、器材</w:t>
                  </w:r>
                </w:p>
              </w:tc>
              <w:tc>
                <w:tcPr>
                  <w:tcW w:w="892" w:type="pct"/>
                  <w:shd w:val="clear" w:color="auto" w:fill="auto"/>
                  <w:vAlign w:val="center"/>
                </w:tcPr>
                <w:p>
                  <w:pPr>
                    <w:pStyle w:val="28"/>
                    <w:spacing w:line="240" w:lineRule="auto"/>
                    <w:ind w:right="46" w:rightChars="19"/>
                    <w:rPr>
                      <w:szCs w:val="21"/>
                    </w:rPr>
                  </w:pPr>
                  <w:r>
                    <w:rPr>
                      <w:rFonts w:hint="eastAsia"/>
                      <w:szCs w:val="21"/>
                    </w:rPr>
                    <w:t>废外包装物</w:t>
                  </w:r>
                </w:p>
              </w:tc>
              <w:tc>
                <w:tcPr>
                  <w:tcW w:w="811" w:type="pct"/>
                  <w:shd w:val="clear" w:color="auto" w:fill="auto"/>
                  <w:vAlign w:val="center"/>
                </w:tcPr>
                <w:p>
                  <w:pPr>
                    <w:pStyle w:val="28"/>
                    <w:spacing w:line="240" w:lineRule="auto"/>
                    <w:ind w:right="46" w:rightChars="19"/>
                    <w:rPr>
                      <w:szCs w:val="21"/>
                    </w:rPr>
                  </w:pPr>
                  <w:r>
                    <w:rPr>
                      <w:rFonts w:hint="eastAsia"/>
                      <w:szCs w:val="21"/>
                    </w:rPr>
                    <w:t>1</w:t>
                  </w:r>
                </w:p>
              </w:tc>
              <w:tc>
                <w:tcPr>
                  <w:tcW w:w="729" w:type="pct"/>
                  <w:vMerge w:val="continue"/>
                  <w:shd w:val="clear" w:color="auto" w:fill="auto"/>
                  <w:vAlign w:val="center"/>
                </w:tcPr>
                <w:p>
                  <w:pPr>
                    <w:pStyle w:val="28"/>
                    <w:spacing w:line="240" w:lineRule="auto"/>
                    <w:ind w:right="46" w:rightChars="19"/>
                    <w:rPr>
                      <w:szCs w:val="21"/>
                    </w:rPr>
                  </w:pPr>
                </w:p>
              </w:tc>
              <w:tc>
                <w:tcPr>
                  <w:tcW w:w="1798" w:type="pct"/>
                  <w:shd w:val="clear" w:color="auto" w:fill="auto"/>
                  <w:vAlign w:val="center"/>
                </w:tcPr>
                <w:p>
                  <w:pPr>
                    <w:pStyle w:val="28"/>
                    <w:spacing w:line="240" w:lineRule="auto"/>
                    <w:ind w:right="46" w:rightChars="19"/>
                    <w:rPr>
                      <w:szCs w:val="21"/>
                    </w:rPr>
                  </w:pPr>
                  <w:r>
                    <w:rPr>
                      <w:rFonts w:hint="eastAsia"/>
                      <w:szCs w:val="21"/>
                    </w:rPr>
                    <w:t>物资回收部门回收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770" w:type="pct"/>
                  <w:shd w:val="clear" w:color="auto" w:fill="auto"/>
                  <w:vAlign w:val="center"/>
                </w:tcPr>
                <w:p>
                  <w:pPr>
                    <w:pStyle w:val="28"/>
                    <w:spacing w:line="240" w:lineRule="auto"/>
                    <w:ind w:right="46" w:rightChars="19"/>
                    <w:rPr>
                      <w:szCs w:val="21"/>
                    </w:rPr>
                  </w:pPr>
                  <w:r>
                    <w:rPr>
                      <w:rFonts w:hint="eastAsia"/>
                      <w:szCs w:val="21"/>
                    </w:rPr>
                    <w:t>软水制备</w:t>
                  </w:r>
                </w:p>
              </w:tc>
              <w:tc>
                <w:tcPr>
                  <w:tcW w:w="892" w:type="pct"/>
                  <w:shd w:val="clear" w:color="auto" w:fill="auto"/>
                  <w:vAlign w:val="center"/>
                </w:tcPr>
                <w:p>
                  <w:pPr>
                    <w:pStyle w:val="28"/>
                    <w:spacing w:line="240" w:lineRule="auto"/>
                    <w:ind w:right="46" w:rightChars="19"/>
                    <w:rPr>
                      <w:szCs w:val="21"/>
                    </w:rPr>
                  </w:pPr>
                  <w:r>
                    <w:rPr>
                      <w:rFonts w:hint="eastAsia"/>
                      <w:szCs w:val="21"/>
                    </w:rPr>
                    <w:t>废离子交换树脂</w:t>
                  </w:r>
                </w:p>
              </w:tc>
              <w:tc>
                <w:tcPr>
                  <w:tcW w:w="811" w:type="pct"/>
                  <w:shd w:val="clear" w:color="auto" w:fill="auto"/>
                  <w:vAlign w:val="center"/>
                </w:tcPr>
                <w:p>
                  <w:pPr>
                    <w:pStyle w:val="28"/>
                    <w:spacing w:line="240" w:lineRule="auto"/>
                    <w:ind w:right="46" w:rightChars="19"/>
                    <w:rPr>
                      <w:szCs w:val="21"/>
                    </w:rPr>
                  </w:pPr>
                  <w:r>
                    <w:rPr>
                      <w:rFonts w:hint="eastAsia"/>
                      <w:szCs w:val="21"/>
                    </w:rPr>
                    <w:t>0.1</w:t>
                  </w:r>
                </w:p>
              </w:tc>
              <w:tc>
                <w:tcPr>
                  <w:tcW w:w="729" w:type="pct"/>
                  <w:vMerge w:val="continue"/>
                  <w:shd w:val="clear" w:color="auto" w:fill="auto"/>
                  <w:vAlign w:val="center"/>
                </w:tcPr>
                <w:p>
                  <w:pPr>
                    <w:pStyle w:val="28"/>
                    <w:spacing w:line="240" w:lineRule="auto"/>
                    <w:ind w:right="46" w:rightChars="19"/>
                    <w:rPr>
                      <w:szCs w:val="21"/>
                    </w:rPr>
                  </w:pPr>
                </w:p>
              </w:tc>
              <w:tc>
                <w:tcPr>
                  <w:tcW w:w="1798" w:type="pct"/>
                  <w:shd w:val="clear" w:color="auto" w:fill="auto"/>
                  <w:vAlign w:val="center"/>
                </w:tcPr>
                <w:p>
                  <w:pPr>
                    <w:pStyle w:val="28"/>
                    <w:spacing w:line="240" w:lineRule="auto"/>
                    <w:ind w:right="46" w:rightChars="19"/>
                    <w:rPr>
                      <w:szCs w:val="21"/>
                    </w:rPr>
                  </w:pPr>
                  <w:r>
                    <w:rPr>
                      <w:rFonts w:hint="eastAsia"/>
                      <w:szCs w:val="21"/>
                    </w:rPr>
                    <w:t>厂家更换回收带走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70" w:type="pct"/>
                  <w:shd w:val="clear" w:color="auto" w:fill="auto"/>
                  <w:vAlign w:val="center"/>
                </w:tcPr>
                <w:p>
                  <w:pPr>
                    <w:pStyle w:val="28"/>
                    <w:spacing w:line="240" w:lineRule="auto"/>
                    <w:ind w:right="46" w:rightChars="19"/>
                    <w:rPr>
                      <w:szCs w:val="21"/>
                    </w:rPr>
                  </w:pPr>
                  <w:r>
                    <w:rPr>
                      <w:rFonts w:hint="eastAsia"/>
                      <w:szCs w:val="21"/>
                    </w:rPr>
                    <w:t>门诊、住院等</w:t>
                  </w:r>
                </w:p>
              </w:tc>
              <w:tc>
                <w:tcPr>
                  <w:tcW w:w="892" w:type="pct"/>
                  <w:shd w:val="clear" w:color="auto" w:fill="auto"/>
                  <w:vAlign w:val="center"/>
                </w:tcPr>
                <w:p>
                  <w:pPr>
                    <w:pStyle w:val="28"/>
                    <w:spacing w:line="240" w:lineRule="auto"/>
                    <w:ind w:right="46" w:rightChars="19"/>
                    <w:jc w:val="left"/>
                    <w:rPr>
                      <w:szCs w:val="21"/>
                    </w:rPr>
                  </w:pPr>
                  <w:r>
                    <w:rPr>
                      <w:rFonts w:hint="eastAsia"/>
                      <w:szCs w:val="21"/>
                    </w:rPr>
                    <w:t>医疗废物（含废药品）</w:t>
                  </w:r>
                </w:p>
              </w:tc>
              <w:tc>
                <w:tcPr>
                  <w:tcW w:w="811" w:type="pct"/>
                  <w:shd w:val="clear" w:color="auto" w:fill="auto"/>
                  <w:vAlign w:val="center"/>
                </w:tcPr>
                <w:p>
                  <w:pPr>
                    <w:pStyle w:val="28"/>
                    <w:spacing w:line="240" w:lineRule="auto"/>
                    <w:ind w:right="46" w:rightChars="19"/>
                    <w:rPr>
                      <w:szCs w:val="21"/>
                    </w:rPr>
                  </w:pPr>
                  <w:r>
                    <w:rPr>
                      <w:rFonts w:hint="eastAsia"/>
                      <w:szCs w:val="21"/>
                    </w:rPr>
                    <w:t>7.629</w:t>
                  </w:r>
                </w:p>
              </w:tc>
              <w:tc>
                <w:tcPr>
                  <w:tcW w:w="729" w:type="pct"/>
                  <w:vMerge w:val="restart"/>
                  <w:shd w:val="clear" w:color="auto" w:fill="auto"/>
                  <w:vAlign w:val="center"/>
                </w:tcPr>
                <w:p>
                  <w:pPr>
                    <w:pStyle w:val="28"/>
                    <w:spacing w:line="240" w:lineRule="auto"/>
                    <w:ind w:right="46" w:rightChars="19"/>
                    <w:rPr>
                      <w:szCs w:val="21"/>
                    </w:rPr>
                  </w:pPr>
                  <w:r>
                    <w:rPr>
                      <w:szCs w:val="21"/>
                    </w:rPr>
                    <w:t>危险废物</w:t>
                  </w:r>
                </w:p>
              </w:tc>
              <w:tc>
                <w:tcPr>
                  <w:tcW w:w="1798" w:type="pct"/>
                  <w:vMerge w:val="restart"/>
                  <w:shd w:val="clear" w:color="auto" w:fill="auto"/>
                  <w:vAlign w:val="center"/>
                </w:tcPr>
                <w:p>
                  <w:pPr>
                    <w:pStyle w:val="28"/>
                    <w:spacing w:line="240" w:lineRule="auto"/>
                    <w:ind w:right="46" w:rightChars="19"/>
                    <w:jc w:val="left"/>
                    <w:rPr>
                      <w:szCs w:val="21"/>
                    </w:rPr>
                  </w:pPr>
                  <w:r>
                    <w:rPr>
                      <w:rFonts w:hint="eastAsia"/>
                      <w:szCs w:val="21"/>
                    </w:rPr>
                    <w:t>暂存于医疗废物暂存间，定期交有资质单位处置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770" w:type="pct"/>
                  <w:vMerge w:val="restart"/>
                  <w:shd w:val="clear" w:color="auto" w:fill="auto"/>
                  <w:vAlign w:val="center"/>
                </w:tcPr>
                <w:p>
                  <w:pPr>
                    <w:pStyle w:val="28"/>
                    <w:spacing w:line="240" w:lineRule="auto"/>
                    <w:ind w:right="46" w:rightChars="19"/>
                    <w:rPr>
                      <w:szCs w:val="21"/>
                    </w:rPr>
                  </w:pPr>
                  <w:r>
                    <w:rPr>
                      <w:rFonts w:hint="eastAsia"/>
                      <w:szCs w:val="21"/>
                    </w:rPr>
                    <w:t>污水处理间</w:t>
                  </w:r>
                </w:p>
              </w:tc>
              <w:tc>
                <w:tcPr>
                  <w:tcW w:w="892" w:type="pct"/>
                  <w:shd w:val="clear" w:color="auto" w:fill="auto"/>
                  <w:vAlign w:val="center"/>
                </w:tcPr>
                <w:p>
                  <w:pPr>
                    <w:pStyle w:val="28"/>
                    <w:spacing w:line="240" w:lineRule="auto"/>
                    <w:ind w:right="46" w:rightChars="19"/>
                    <w:rPr>
                      <w:szCs w:val="21"/>
                    </w:rPr>
                  </w:pPr>
                  <w:r>
                    <w:rPr>
                      <w:rFonts w:hint="eastAsia"/>
                      <w:szCs w:val="21"/>
                    </w:rPr>
                    <w:t>污泥、栅渣</w:t>
                  </w:r>
                </w:p>
              </w:tc>
              <w:tc>
                <w:tcPr>
                  <w:tcW w:w="811" w:type="pct"/>
                  <w:shd w:val="clear" w:color="auto" w:fill="auto"/>
                  <w:vAlign w:val="center"/>
                </w:tcPr>
                <w:p>
                  <w:pPr>
                    <w:pStyle w:val="28"/>
                    <w:spacing w:line="240" w:lineRule="auto"/>
                    <w:ind w:right="46" w:rightChars="19"/>
                    <w:rPr>
                      <w:szCs w:val="21"/>
                    </w:rPr>
                  </w:pPr>
                  <w:r>
                    <w:rPr>
                      <w:rFonts w:hint="eastAsia"/>
                      <w:szCs w:val="21"/>
                    </w:rPr>
                    <w:t>1.82</w:t>
                  </w:r>
                </w:p>
              </w:tc>
              <w:tc>
                <w:tcPr>
                  <w:tcW w:w="729" w:type="pct"/>
                  <w:vMerge w:val="continue"/>
                  <w:shd w:val="clear" w:color="auto" w:fill="auto"/>
                  <w:vAlign w:val="center"/>
                </w:tcPr>
                <w:p>
                  <w:pPr>
                    <w:pStyle w:val="28"/>
                    <w:spacing w:line="240" w:lineRule="auto"/>
                    <w:ind w:right="46" w:rightChars="19"/>
                    <w:rPr>
                      <w:szCs w:val="21"/>
                    </w:rPr>
                  </w:pPr>
                </w:p>
              </w:tc>
              <w:tc>
                <w:tcPr>
                  <w:tcW w:w="1798" w:type="pct"/>
                  <w:vMerge w:val="continue"/>
                  <w:shd w:val="clear" w:color="auto" w:fill="auto"/>
                  <w:vAlign w:val="center"/>
                </w:tcPr>
                <w:p>
                  <w:pPr>
                    <w:pStyle w:val="28"/>
                    <w:spacing w:line="240" w:lineRule="auto"/>
                    <w:ind w:right="46" w:rightChars="19"/>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770" w:type="pct"/>
                  <w:vMerge w:val="continue"/>
                  <w:shd w:val="clear" w:color="auto" w:fill="auto"/>
                  <w:vAlign w:val="center"/>
                </w:tcPr>
                <w:p>
                  <w:pPr>
                    <w:pStyle w:val="28"/>
                    <w:spacing w:line="240" w:lineRule="auto"/>
                    <w:ind w:right="46" w:rightChars="19"/>
                    <w:rPr>
                      <w:szCs w:val="21"/>
                    </w:rPr>
                  </w:pPr>
                </w:p>
              </w:tc>
              <w:tc>
                <w:tcPr>
                  <w:tcW w:w="892" w:type="pct"/>
                  <w:shd w:val="clear" w:color="auto" w:fill="auto"/>
                  <w:vAlign w:val="center"/>
                </w:tcPr>
                <w:p>
                  <w:pPr>
                    <w:pStyle w:val="28"/>
                    <w:spacing w:line="240" w:lineRule="auto"/>
                    <w:ind w:right="46" w:rightChars="19"/>
                    <w:rPr>
                      <w:szCs w:val="21"/>
                    </w:rPr>
                  </w:pPr>
                  <w:r>
                    <w:rPr>
                      <w:rFonts w:hint="eastAsia"/>
                      <w:szCs w:val="21"/>
                    </w:rPr>
                    <w:t>在线检测废液</w:t>
                  </w:r>
                </w:p>
              </w:tc>
              <w:tc>
                <w:tcPr>
                  <w:tcW w:w="811" w:type="pct"/>
                  <w:shd w:val="clear" w:color="auto" w:fill="auto"/>
                  <w:vAlign w:val="center"/>
                </w:tcPr>
                <w:p>
                  <w:pPr>
                    <w:pStyle w:val="28"/>
                    <w:spacing w:line="240" w:lineRule="auto"/>
                    <w:ind w:right="46" w:rightChars="19"/>
                    <w:rPr>
                      <w:szCs w:val="21"/>
                    </w:rPr>
                  </w:pPr>
                  <w:r>
                    <w:rPr>
                      <w:rFonts w:hint="eastAsia"/>
                      <w:szCs w:val="21"/>
                    </w:rPr>
                    <w:t>0.1</w:t>
                  </w:r>
                </w:p>
              </w:tc>
              <w:tc>
                <w:tcPr>
                  <w:tcW w:w="729" w:type="pct"/>
                  <w:vMerge w:val="continue"/>
                  <w:shd w:val="clear" w:color="auto" w:fill="auto"/>
                  <w:vAlign w:val="center"/>
                </w:tcPr>
                <w:p>
                  <w:pPr>
                    <w:pStyle w:val="28"/>
                    <w:spacing w:line="240" w:lineRule="auto"/>
                    <w:ind w:right="46" w:rightChars="19"/>
                    <w:rPr>
                      <w:szCs w:val="21"/>
                    </w:rPr>
                  </w:pPr>
                </w:p>
              </w:tc>
              <w:tc>
                <w:tcPr>
                  <w:tcW w:w="1798" w:type="pct"/>
                  <w:vMerge w:val="restart"/>
                  <w:shd w:val="clear" w:color="auto" w:fill="auto"/>
                  <w:vAlign w:val="center"/>
                </w:tcPr>
                <w:p>
                  <w:pPr>
                    <w:pStyle w:val="28"/>
                    <w:spacing w:line="240" w:lineRule="auto"/>
                    <w:ind w:right="46" w:rightChars="19"/>
                    <w:jc w:val="left"/>
                    <w:rPr>
                      <w:szCs w:val="21"/>
                    </w:rPr>
                  </w:pPr>
                  <w:r>
                    <w:rPr>
                      <w:rFonts w:hint="eastAsia"/>
                      <w:szCs w:val="21"/>
                    </w:rPr>
                    <w:t>暂存于危废暂存间，定期交有资质单位处置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70" w:type="pct"/>
                  <w:shd w:val="clear" w:color="auto" w:fill="auto"/>
                  <w:vAlign w:val="center"/>
                </w:tcPr>
                <w:p>
                  <w:pPr>
                    <w:pStyle w:val="28"/>
                    <w:spacing w:line="240" w:lineRule="auto"/>
                    <w:ind w:right="46" w:rightChars="19"/>
                    <w:rPr>
                      <w:szCs w:val="21"/>
                    </w:rPr>
                  </w:pPr>
                  <w:r>
                    <w:rPr>
                      <w:rFonts w:hint="eastAsia"/>
                      <w:szCs w:val="21"/>
                    </w:rPr>
                    <w:t>废气处理</w:t>
                  </w:r>
                </w:p>
              </w:tc>
              <w:tc>
                <w:tcPr>
                  <w:tcW w:w="892" w:type="pct"/>
                  <w:shd w:val="clear" w:color="auto" w:fill="auto"/>
                  <w:vAlign w:val="center"/>
                </w:tcPr>
                <w:p>
                  <w:pPr>
                    <w:pStyle w:val="28"/>
                    <w:spacing w:line="240" w:lineRule="auto"/>
                    <w:ind w:right="46" w:rightChars="19"/>
                    <w:rPr>
                      <w:szCs w:val="21"/>
                    </w:rPr>
                  </w:pPr>
                  <w:r>
                    <w:rPr>
                      <w:rFonts w:hint="eastAsia"/>
                      <w:szCs w:val="21"/>
                    </w:rPr>
                    <w:t>废活性炭</w:t>
                  </w:r>
                </w:p>
              </w:tc>
              <w:tc>
                <w:tcPr>
                  <w:tcW w:w="811" w:type="pct"/>
                  <w:shd w:val="clear" w:color="auto" w:fill="auto"/>
                  <w:vAlign w:val="center"/>
                </w:tcPr>
                <w:p>
                  <w:pPr>
                    <w:pStyle w:val="28"/>
                    <w:spacing w:line="240" w:lineRule="auto"/>
                    <w:ind w:right="46" w:rightChars="19"/>
                    <w:rPr>
                      <w:szCs w:val="21"/>
                    </w:rPr>
                  </w:pPr>
                  <w:r>
                    <w:rPr>
                      <w:rFonts w:hint="eastAsia"/>
                      <w:szCs w:val="21"/>
                    </w:rPr>
                    <w:t>0.715</w:t>
                  </w:r>
                </w:p>
              </w:tc>
              <w:tc>
                <w:tcPr>
                  <w:tcW w:w="729" w:type="pct"/>
                  <w:vMerge w:val="continue"/>
                  <w:shd w:val="clear" w:color="auto" w:fill="auto"/>
                  <w:vAlign w:val="center"/>
                </w:tcPr>
                <w:p>
                  <w:pPr>
                    <w:pStyle w:val="28"/>
                    <w:spacing w:line="240" w:lineRule="auto"/>
                    <w:ind w:right="46" w:rightChars="19"/>
                    <w:rPr>
                      <w:szCs w:val="21"/>
                    </w:rPr>
                  </w:pPr>
                </w:p>
              </w:tc>
              <w:tc>
                <w:tcPr>
                  <w:tcW w:w="1798" w:type="pct"/>
                  <w:vMerge w:val="continue"/>
                  <w:shd w:val="clear" w:color="auto" w:fill="auto"/>
                  <w:vAlign w:val="center"/>
                </w:tcPr>
                <w:p>
                  <w:pPr>
                    <w:pStyle w:val="28"/>
                    <w:spacing w:line="240" w:lineRule="auto"/>
                    <w:ind w:right="46" w:rightChars="19"/>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770" w:type="pct"/>
                  <w:shd w:val="clear" w:color="auto" w:fill="auto"/>
                  <w:vAlign w:val="center"/>
                </w:tcPr>
                <w:p>
                  <w:pPr>
                    <w:pStyle w:val="28"/>
                    <w:spacing w:line="240" w:lineRule="auto"/>
                    <w:ind w:right="46" w:rightChars="19"/>
                    <w:rPr>
                      <w:szCs w:val="21"/>
                    </w:rPr>
                  </w:pPr>
                  <w:r>
                    <w:rPr>
                      <w:rFonts w:hint="eastAsia"/>
                      <w:szCs w:val="21"/>
                    </w:rPr>
                    <w:t>—</w:t>
                  </w:r>
                </w:p>
              </w:tc>
              <w:tc>
                <w:tcPr>
                  <w:tcW w:w="892" w:type="pct"/>
                  <w:shd w:val="clear" w:color="auto" w:fill="auto"/>
                  <w:vAlign w:val="center"/>
                </w:tcPr>
                <w:p>
                  <w:pPr>
                    <w:pStyle w:val="28"/>
                    <w:spacing w:line="240" w:lineRule="auto"/>
                    <w:ind w:right="46" w:rightChars="19"/>
                    <w:rPr>
                      <w:szCs w:val="21"/>
                    </w:rPr>
                  </w:pPr>
                  <w:r>
                    <w:rPr>
                      <w:rFonts w:hint="eastAsia"/>
                      <w:szCs w:val="21"/>
                    </w:rPr>
                    <w:t>次氯酸钠、醋酸、乙醚等废包装</w:t>
                  </w:r>
                </w:p>
              </w:tc>
              <w:tc>
                <w:tcPr>
                  <w:tcW w:w="811" w:type="pct"/>
                  <w:shd w:val="clear" w:color="auto" w:fill="auto"/>
                  <w:vAlign w:val="center"/>
                </w:tcPr>
                <w:p>
                  <w:pPr>
                    <w:pStyle w:val="28"/>
                    <w:spacing w:line="240" w:lineRule="auto"/>
                    <w:ind w:right="46" w:rightChars="19"/>
                    <w:rPr>
                      <w:szCs w:val="21"/>
                    </w:rPr>
                  </w:pPr>
                  <w:r>
                    <w:rPr>
                      <w:rFonts w:hint="eastAsia"/>
                      <w:szCs w:val="21"/>
                    </w:rPr>
                    <w:t>0.001</w:t>
                  </w:r>
                </w:p>
              </w:tc>
              <w:tc>
                <w:tcPr>
                  <w:tcW w:w="729" w:type="pct"/>
                  <w:vMerge w:val="continue"/>
                  <w:shd w:val="clear" w:color="auto" w:fill="auto"/>
                  <w:vAlign w:val="center"/>
                </w:tcPr>
                <w:p>
                  <w:pPr>
                    <w:pStyle w:val="28"/>
                    <w:spacing w:line="240" w:lineRule="auto"/>
                    <w:ind w:right="46" w:rightChars="19"/>
                    <w:rPr>
                      <w:szCs w:val="21"/>
                    </w:rPr>
                  </w:pPr>
                </w:p>
              </w:tc>
              <w:tc>
                <w:tcPr>
                  <w:tcW w:w="1798" w:type="pct"/>
                  <w:vMerge w:val="continue"/>
                  <w:shd w:val="clear" w:color="auto" w:fill="auto"/>
                  <w:vAlign w:val="center"/>
                </w:tcPr>
                <w:p>
                  <w:pPr>
                    <w:pStyle w:val="28"/>
                    <w:spacing w:line="240" w:lineRule="auto"/>
                    <w:ind w:right="46" w:rightChars="19"/>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662" w:type="pct"/>
                  <w:gridSpan w:val="2"/>
                  <w:shd w:val="clear" w:color="auto" w:fill="auto"/>
                  <w:vAlign w:val="center"/>
                </w:tcPr>
                <w:p>
                  <w:pPr>
                    <w:pStyle w:val="28"/>
                    <w:spacing w:line="240" w:lineRule="auto"/>
                    <w:ind w:right="46" w:rightChars="19"/>
                    <w:rPr>
                      <w:szCs w:val="21"/>
                    </w:rPr>
                  </w:pPr>
                  <w:r>
                    <w:rPr>
                      <w:szCs w:val="21"/>
                    </w:rPr>
                    <w:t>合计</w:t>
                  </w:r>
                </w:p>
              </w:tc>
              <w:tc>
                <w:tcPr>
                  <w:tcW w:w="811" w:type="pct"/>
                  <w:shd w:val="clear" w:color="auto" w:fill="auto"/>
                  <w:vAlign w:val="center"/>
                </w:tcPr>
                <w:p>
                  <w:pPr>
                    <w:pStyle w:val="28"/>
                    <w:spacing w:line="240" w:lineRule="auto"/>
                    <w:ind w:right="46" w:rightChars="19"/>
                    <w:rPr>
                      <w:szCs w:val="21"/>
                    </w:rPr>
                  </w:pPr>
                  <w:r>
                    <w:rPr>
                      <w:rFonts w:hint="eastAsia"/>
                      <w:szCs w:val="21"/>
                    </w:rPr>
                    <w:t>50.71</w:t>
                  </w:r>
                </w:p>
              </w:tc>
              <w:tc>
                <w:tcPr>
                  <w:tcW w:w="729" w:type="pct"/>
                  <w:shd w:val="clear" w:color="auto" w:fill="auto"/>
                  <w:vAlign w:val="center"/>
                </w:tcPr>
                <w:p>
                  <w:pPr>
                    <w:pStyle w:val="28"/>
                    <w:spacing w:line="240" w:lineRule="auto"/>
                    <w:ind w:right="46" w:rightChars="19"/>
                    <w:rPr>
                      <w:szCs w:val="21"/>
                    </w:rPr>
                  </w:pPr>
                  <w:r>
                    <w:rPr>
                      <w:szCs w:val="21"/>
                    </w:rPr>
                    <w:t>—</w:t>
                  </w:r>
                </w:p>
              </w:tc>
              <w:tc>
                <w:tcPr>
                  <w:tcW w:w="1798" w:type="pct"/>
                  <w:shd w:val="clear" w:color="auto" w:fill="auto"/>
                  <w:vAlign w:val="center"/>
                </w:tcPr>
                <w:p>
                  <w:pPr>
                    <w:pStyle w:val="28"/>
                    <w:spacing w:line="240" w:lineRule="auto"/>
                    <w:ind w:right="46" w:rightChars="19"/>
                    <w:rPr>
                      <w:szCs w:val="21"/>
                    </w:rPr>
                  </w:pPr>
                  <w:r>
                    <w:rPr>
                      <w:szCs w:val="21"/>
                    </w:rPr>
                    <w:t>妥善处置</w:t>
                  </w:r>
                </w:p>
              </w:tc>
            </w:tr>
          </w:tbl>
          <w:p>
            <w:pPr>
              <w:pStyle w:val="14"/>
            </w:pPr>
            <w:r>
              <w:rPr>
                <w:rFonts w:hint="eastAsia"/>
              </w:rPr>
              <w:t>表37   危险废物汇总表</w:t>
            </w:r>
          </w:p>
          <w:tbl>
            <w:tblPr>
              <w:tblStyle w:val="16"/>
              <w:tblW w:w="492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1493"/>
              <w:gridCol w:w="706"/>
              <w:gridCol w:w="1276"/>
              <w:gridCol w:w="1420"/>
              <w:gridCol w:w="873"/>
              <w:gridCol w:w="965"/>
              <w:gridCol w:w="1019"/>
              <w:gridCol w:w="99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854" w:type="pct"/>
                  <w:shd w:val="clear" w:color="auto" w:fill="auto"/>
                  <w:vAlign w:val="center"/>
                </w:tcPr>
                <w:p>
                  <w:pPr>
                    <w:spacing w:line="240" w:lineRule="auto"/>
                    <w:ind w:right="46" w:rightChars="19" w:firstLine="0" w:firstLineChars="0"/>
                    <w:jc w:val="center"/>
                    <w:rPr>
                      <w:sz w:val="21"/>
                      <w:szCs w:val="21"/>
                      <w:lang w:val="zh-CN"/>
                    </w:rPr>
                  </w:pPr>
                  <w:r>
                    <w:rPr>
                      <w:rFonts w:hint="eastAsia"/>
                      <w:sz w:val="21"/>
                      <w:szCs w:val="21"/>
                      <w:lang w:val="zh-CN"/>
                    </w:rPr>
                    <w:t>危废名称</w:t>
                  </w:r>
                </w:p>
              </w:tc>
              <w:tc>
                <w:tcPr>
                  <w:tcW w:w="404" w:type="pct"/>
                  <w:shd w:val="clear" w:color="auto" w:fill="auto"/>
                  <w:vAlign w:val="center"/>
                </w:tcPr>
                <w:p>
                  <w:pPr>
                    <w:spacing w:line="240" w:lineRule="auto"/>
                    <w:ind w:right="46" w:rightChars="19" w:firstLine="0" w:firstLineChars="0"/>
                    <w:jc w:val="center"/>
                    <w:rPr>
                      <w:sz w:val="21"/>
                      <w:szCs w:val="21"/>
                      <w:lang w:val="zh-CN"/>
                    </w:rPr>
                  </w:pPr>
                  <w:r>
                    <w:rPr>
                      <w:rFonts w:hint="eastAsia"/>
                      <w:sz w:val="21"/>
                      <w:szCs w:val="21"/>
                      <w:lang w:val="zh-CN"/>
                    </w:rPr>
                    <w:t>危废</w:t>
                  </w:r>
                </w:p>
                <w:p>
                  <w:pPr>
                    <w:spacing w:line="240" w:lineRule="auto"/>
                    <w:ind w:right="46" w:rightChars="19" w:firstLine="0" w:firstLineChars="0"/>
                    <w:jc w:val="center"/>
                    <w:rPr>
                      <w:sz w:val="21"/>
                      <w:szCs w:val="21"/>
                      <w:lang w:val="zh-CN"/>
                    </w:rPr>
                  </w:pPr>
                  <w:r>
                    <w:rPr>
                      <w:rFonts w:hint="eastAsia"/>
                      <w:sz w:val="21"/>
                      <w:szCs w:val="21"/>
                      <w:lang w:val="zh-CN"/>
                    </w:rPr>
                    <w:t>类别</w:t>
                  </w:r>
                </w:p>
              </w:tc>
              <w:tc>
                <w:tcPr>
                  <w:tcW w:w="730" w:type="pct"/>
                  <w:shd w:val="clear" w:color="auto" w:fill="auto"/>
                  <w:vAlign w:val="center"/>
                </w:tcPr>
                <w:p>
                  <w:pPr>
                    <w:spacing w:line="240" w:lineRule="auto"/>
                    <w:ind w:right="46" w:rightChars="19" w:firstLine="0" w:firstLineChars="0"/>
                    <w:jc w:val="center"/>
                    <w:rPr>
                      <w:sz w:val="21"/>
                      <w:szCs w:val="21"/>
                      <w:lang w:val="zh-CN"/>
                    </w:rPr>
                  </w:pPr>
                  <w:r>
                    <w:rPr>
                      <w:rFonts w:hint="eastAsia"/>
                      <w:sz w:val="21"/>
                      <w:szCs w:val="21"/>
                      <w:lang w:val="zh-CN"/>
                    </w:rPr>
                    <w:t>危废代码</w:t>
                  </w:r>
                </w:p>
              </w:tc>
              <w:tc>
                <w:tcPr>
                  <w:tcW w:w="812" w:type="pct"/>
                  <w:shd w:val="clear" w:color="auto" w:fill="auto"/>
                  <w:vAlign w:val="center"/>
                </w:tcPr>
                <w:p>
                  <w:pPr>
                    <w:spacing w:line="240" w:lineRule="auto"/>
                    <w:ind w:right="46" w:rightChars="19" w:firstLine="0" w:firstLineChars="0"/>
                    <w:jc w:val="center"/>
                    <w:rPr>
                      <w:sz w:val="21"/>
                      <w:szCs w:val="21"/>
                      <w:lang w:val="zh-CN"/>
                    </w:rPr>
                  </w:pPr>
                  <w:r>
                    <w:rPr>
                      <w:rFonts w:hint="eastAsia"/>
                      <w:sz w:val="21"/>
                      <w:szCs w:val="21"/>
                      <w:lang w:val="zh-CN"/>
                    </w:rPr>
                    <w:t>产生工序/装置</w:t>
                  </w:r>
                </w:p>
              </w:tc>
              <w:tc>
                <w:tcPr>
                  <w:tcW w:w="499" w:type="pct"/>
                  <w:shd w:val="clear" w:color="auto" w:fill="auto"/>
                  <w:vAlign w:val="center"/>
                </w:tcPr>
                <w:p>
                  <w:pPr>
                    <w:spacing w:line="240" w:lineRule="auto"/>
                    <w:ind w:right="46" w:rightChars="19" w:firstLine="0" w:firstLineChars="0"/>
                    <w:jc w:val="center"/>
                    <w:rPr>
                      <w:sz w:val="21"/>
                      <w:szCs w:val="21"/>
                      <w:lang w:val="zh-CN"/>
                    </w:rPr>
                  </w:pPr>
                  <w:r>
                    <w:rPr>
                      <w:rFonts w:hint="eastAsia"/>
                      <w:sz w:val="21"/>
                      <w:szCs w:val="21"/>
                      <w:lang w:val="zh-CN"/>
                    </w:rPr>
                    <w:t>产生量（t/a）</w:t>
                  </w:r>
                </w:p>
              </w:tc>
              <w:tc>
                <w:tcPr>
                  <w:tcW w:w="552" w:type="pct"/>
                  <w:shd w:val="clear" w:color="auto" w:fill="auto"/>
                  <w:vAlign w:val="center"/>
                </w:tcPr>
                <w:p>
                  <w:pPr>
                    <w:spacing w:line="240" w:lineRule="auto"/>
                    <w:ind w:right="46" w:rightChars="19" w:firstLine="0" w:firstLineChars="0"/>
                    <w:jc w:val="center"/>
                    <w:rPr>
                      <w:sz w:val="21"/>
                      <w:szCs w:val="21"/>
                      <w:lang w:val="zh-CN"/>
                    </w:rPr>
                  </w:pPr>
                  <w:r>
                    <w:rPr>
                      <w:rFonts w:hint="eastAsia"/>
                      <w:sz w:val="21"/>
                      <w:szCs w:val="21"/>
                      <w:lang w:val="zh-CN"/>
                    </w:rPr>
                    <w:t>形态</w:t>
                  </w:r>
                </w:p>
              </w:tc>
              <w:tc>
                <w:tcPr>
                  <w:tcW w:w="583" w:type="pct"/>
                  <w:shd w:val="clear" w:color="auto" w:fill="auto"/>
                  <w:vAlign w:val="center"/>
                </w:tcPr>
                <w:p>
                  <w:pPr>
                    <w:spacing w:line="240" w:lineRule="auto"/>
                    <w:ind w:right="46" w:rightChars="19" w:firstLine="0" w:firstLineChars="0"/>
                    <w:jc w:val="center"/>
                    <w:rPr>
                      <w:sz w:val="21"/>
                      <w:szCs w:val="21"/>
                      <w:lang w:val="zh-CN"/>
                    </w:rPr>
                  </w:pPr>
                  <w:r>
                    <w:rPr>
                      <w:rFonts w:hint="eastAsia"/>
                      <w:sz w:val="21"/>
                      <w:szCs w:val="21"/>
                      <w:lang w:val="zh-CN"/>
                    </w:rPr>
                    <w:t>产生周期</w:t>
                  </w:r>
                </w:p>
              </w:tc>
              <w:tc>
                <w:tcPr>
                  <w:tcW w:w="566" w:type="pct"/>
                  <w:shd w:val="clear" w:color="auto" w:fill="auto"/>
                  <w:vAlign w:val="center"/>
                </w:tcPr>
                <w:p>
                  <w:pPr>
                    <w:spacing w:line="240" w:lineRule="auto"/>
                    <w:ind w:right="46" w:rightChars="19" w:firstLine="0" w:firstLineChars="0"/>
                    <w:jc w:val="center"/>
                    <w:rPr>
                      <w:sz w:val="21"/>
                      <w:szCs w:val="21"/>
                      <w:lang w:val="zh-CN"/>
                    </w:rPr>
                  </w:pPr>
                  <w:r>
                    <w:rPr>
                      <w:rFonts w:hint="eastAsia"/>
                      <w:sz w:val="21"/>
                      <w:szCs w:val="21"/>
                      <w:lang w:val="zh-CN"/>
                    </w:rPr>
                    <w:t>危险特性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854" w:type="pct"/>
                  <w:shd w:val="clear" w:color="auto" w:fill="auto"/>
                  <w:vAlign w:val="center"/>
                </w:tcPr>
                <w:p>
                  <w:pPr>
                    <w:pStyle w:val="28"/>
                    <w:spacing w:line="240" w:lineRule="auto"/>
                    <w:ind w:right="46" w:rightChars="19"/>
                    <w:jc w:val="left"/>
                    <w:rPr>
                      <w:szCs w:val="21"/>
                    </w:rPr>
                  </w:pPr>
                  <w:r>
                    <w:rPr>
                      <w:rFonts w:hint="eastAsia"/>
                      <w:szCs w:val="21"/>
                    </w:rPr>
                    <w:t>医疗废物（含废药品）</w:t>
                  </w:r>
                </w:p>
              </w:tc>
              <w:tc>
                <w:tcPr>
                  <w:tcW w:w="404" w:type="pct"/>
                  <w:shd w:val="clear" w:color="auto" w:fill="auto"/>
                  <w:vAlign w:val="center"/>
                </w:tcPr>
                <w:p>
                  <w:pPr>
                    <w:spacing w:line="240" w:lineRule="auto"/>
                    <w:ind w:right="46" w:rightChars="19" w:firstLine="0" w:firstLineChars="0"/>
                    <w:jc w:val="center"/>
                    <w:rPr>
                      <w:sz w:val="21"/>
                      <w:szCs w:val="21"/>
                      <w:lang w:val="zh-CN"/>
                    </w:rPr>
                  </w:pPr>
                  <w:r>
                    <w:rPr>
                      <w:rFonts w:hint="eastAsia"/>
                      <w:sz w:val="21"/>
                      <w:szCs w:val="21"/>
                    </w:rPr>
                    <w:t>HW01</w:t>
                  </w:r>
                </w:p>
              </w:tc>
              <w:tc>
                <w:tcPr>
                  <w:tcW w:w="730" w:type="pct"/>
                  <w:shd w:val="clear" w:color="auto" w:fill="auto"/>
                  <w:vAlign w:val="center"/>
                </w:tcPr>
                <w:p>
                  <w:pPr>
                    <w:pStyle w:val="60"/>
                    <w:adjustRightInd w:val="0"/>
                    <w:spacing w:before="0" w:after="0"/>
                    <w:jc w:val="center"/>
                    <w:rPr>
                      <w:rFonts w:ascii="Times New Roman" w:hAnsi="Times New Roman"/>
                      <w:sz w:val="21"/>
                      <w:szCs w:val="21"/>
                    </w:rPr>
                  </w:pPr>
                  <w:r>
                    <w:rPr>
                      <w:rFonts w:hint="eastAsia" w:ascii="Times New Roman" w:hAnsi="Times New Roman"/>
                      <w:sz w:val="21"/>
                      <w:szCs w:val="21"/>
                    </w:rPr>
                    <w:t>841-001</w:t>
                  </w:r>
                  <w:r>
                    <w:rPr>
                      <w:rFonts w:ascii="Times New Roman" w:hAnsi="Times New Roman"/>
                      <w:sz w:val="21"/>
                      <w:szCs w:val="21"/>
                    </w:rPr>
                    <w:t>-01</w:t>
                  </w:r>
                </w:p>
                <w:p>
                  <w:pPr>
                    <w:pStyle w:val="60"/>
                    <w:adjustRightInd w:val="0"/>
                    <w:spacing w:before="0" w:after="0"/>
                    <w:jc w:val="center"/>
                    <w:rPr>
                      <w:rFonts w:ascii="Times New Roman" w:hAnsi="Times New Roman"/>
                      <w:sz w:val="21"/>
                      <w:szCs w:val="21"/>
                    </w:rPr>
                  </w:pPr>
                  <w:r>
                    <w:rPr>
                      <w:rFonts w:hint="eastAsia" w:ascii="Times New Roman" w:hAnsi="Times New Roman"/>
                      <w:sz w:val="21"/>
                      <w:szCs w:val="21"/>
                    </w:rPr>
                    <w:t>841-00</w:t>
                  </w:r>
                  <w:r>
                    <w:rPr>
                      <w:rFonts w:ascii="Times New Roman" w:hAnsi="Times New Roman"/>
                      <w:sz w:val="21"/>
                      <w:szCs w:val="21"/>
                    </w:rPr>
                    <w:t>2-01</w:t>
                  </w:r>
                </w:p>
                <w:p>
                  <w:pPr>
                    <w:spacing w:line="240" w:lineRule="auto"/>
                    <w:ind w:firstLine="0" w:firstLineChars="0"/>
                    <w:jc w:val="center"/>
                    <w:rPr>
                      <w:sz w:val="21"/>
                      <w:szCs w:val="21"/>
                    </w:rPr>
                  </w:pPr>
                  <w:r>
                    <w:rPr>
                      <w:rFonts w:hint="eastAsia"/>
                      <w:sz w:val="21"/>
                      <w:szCs w:val="21"/>
                    </w:rPr>
                    <w:t>841-00</w:t>
                  </w:r>
                  <w:r>
                    <w:rPr>
                      <w:sz w:val="21"/>
                      <w:szCs w:val="21"/>
                    </w:rPr>
                    <w:t>4-01</w:t>
                  </w:r>
                </w:p>
                <w:p>
                  <w:pPr>
                    <w:spacing w:line="240" w:lineRule="auto"/>
                    <w:ind w:firstLine="0" w:firstLineChars="0"/>
                    <w:jc w:val="center"/>
                    <w:rPr>
                      <w:sz w:val="21"/>
                      <w:szCs w:val="21"/>
                      <w:lang w:val="zh-CN"/>
                    </w:rPr>
                  </w:pPr>
                  <w:r>
                    <w:rPr>
                      <w:sz w:val="21"/>
                      <w:szCs w:val="21"/>
                    </w:rPr>
                    <w:t>841-005-01</w:t>
                  </w:r>
                </w:p>
              </w:tc>
              <w:tc>
                <w:tcPr>
                  <w:tcW w:w="812" w:type="pct"/>
                  <w:shd w:val="clear" w:color="auto" w:fill="auto"/>
                  <w:vAlign w:val="center"/>
                </w:tcPr>
                <w:p>
                  <w:pPr>
                    <w:spacing w:line="240" w:lineRule="auto"/>
                    <w:ind w:right="46" w:rightChars="19" w:firstLine="0" w:firstLineChars="0"/>
                    <w:jc w:val="center"/>
                    <w:rPr>
                      <w:sz w:val="21"/>
                      <w:szCs w:val="21"/>
                      <w:lang w:val="zh-CN"/>
                    </w:rPr>
                  </w:pPr>
                  <w:r>
                    <w:rPr>
                      <w:rFonts w:hint="eastAsia"/>
                      <w:sz w:val="21"/>
                      <w:szCs w:val="21"/>
                    </w:rPr>
                    <w:t>门诊、住院等</w:t>
                  </w:r>
                </w:p>
              </w:tc>
              <w:tc>
                <w:tcPr>
                  <w:tcW w:w="499" w:type="pct"/>
                  <w:shd w:val="clear" w:color="auto" w:fill="auto"/>
                  <w:vAlign w:val="center"/>
                </w:tcPr>
                <w:p>
                  <w:pPr>
                    <w:pStyle w:val="28"/>
                    <w:spacing w:line="240" w:lineRule="auto"/>
                    <w:ind w:right="46" w:rightChars="19"/>
                    <w:rPr>
                      <w:szCs w:val="21"/>
                    </w:rPr>
                  </w:pPr>
                  <w:r>
                    <w:rPr>
                      <w:rFonts w:hint="eastAsia"/>
                      <w:szCs w:val="21"/>
                    </w:rPr>
                    <w:t>7.629</w:t>
                  </w:r>
                </w:p>
              </w:tc>
              <w:tc>
                <w:tcPr>
                  <w:tcW w:w="552" w:type="pct"/>
                  <w:shd w:val="clear" w:color="auto" w:fill="auto"/>
                  <w:vAlign w:val="center"/>
                </w:tcPr>
                <w:p>
                  <w:pPr>
                    <w:spacing w:line="240" w:lineRule="auto"/>
                    <w:ind w:right="46" w:rightChars="19" w:firstLine="0" w:firstLineChars="0"/>
                    <w:jc w:val="center"/>
                    <w:rPr>
                      <w:sz w:val="21"/>
                      <w:szCs w:val="21"/>
                      <w:lang w:val="zh-CN"/>
                    </w:rPr>
                  </w:pPr>
                  <w:r>
                    <w:rPr>
                      <w:rFonts w:hint="eastAsia"/>
                      <w:sz w:val="21"/>
                      <w:szCs w:val="21"/>
                      <w:lang w:val="zh-CN"/>
                    </w:rPr>
                    <w:t>液态/固态</w:t>
                  </w:r>
                </w:p>
              </w:tc>
              <w:tc>
                <w:tcPr>
                  <w:tcW w:w="583" w:type="pct"/>
                  <w:shd w:val="clear" w:color="auto" w:fill="auto"/>
                  <w:vAlign w:val="center"/>
                </w:tcPr>
                <w:p>
                  <w:pPr>
                    <w:spacing w:line="240" w:lineRule="auto"/>
                    <w:ind w:right="46" w:rightChars="19" w:firstLine="0" w:firstLineChars="0"/>
                    <w:jc w:val="center"/>
                    <w:rPr>
                      <w:sz w:val="21"/>
                      <w:szCs w:val="21"/>
                      <w:lang w:val="zh-CN"/>
                    </w:rPr>
                  </w:pPr>
                  <w:r>
                    <w:rPr>
                      <w:rFonts w:hint="eastAsia"/>
                      <w:sz w:val="21"/>
                      <w:szCs w:val="21"/>
                      <w:lang w:val="zh-CN"/>
                    </w:rPr>
                    <w:t>每天</w:t>
                  </w:r>
                </w:p>
              </w:tc>
              <w:tc>
                <w:tcPr>
                  <w:tcW w:w="566" w:type="pct"/>
                  <w:shd w:val="clear" w:color="auto" w:fill="auto"/>
                  <w:vAlign w:val="center"/>
                </w:tcPr>
                <w:p>
                  <w:pPr>
                    <w:spacing w:line="240" w:lineRule="auto"/>
                    <w:ind w:right="46" w:rightChars="19" w:firstLine="0" w:firstLineChars="0"/>
                    <w:jc w:val="center"/>
                    <w:rPr>
                      <w:sz w:val="21"/>
                      <w:szCs w:val="21"/>
                      <w:lang w:val="zh-CN"/>
                    </w:rPr>
                  </w:pPr>
                  <w:r>
                    <w:rPr>
                      <w:sz w:val="21"/>
                      <w:szCs w:val="21"/>
                      <w:lang w:val="zh-CN"/>
                    </w:rPr>
                    <w:t>T/C/I/R</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854" w:type="pct"/>
                  <w:shd w:val="clear" w:color="auto" w:fill="auto"/>
                  <w:vAlign w:val="center"/>
                </w:tcPr>
                <w:p>
                  <w:pPr>
                    <w:pStyle w:val="28"/>
                    <w:spacing w:line="240" w:lineRule="auto"/>
                    <w:ind w:right="46" w:rightChars="19"/>
                    <w:rPr>
                      <w:szCs w:val="21"/>
                    </w:rPr>
                  </w:pPr>
                  <w:r>
                    <w:rPr>
                      <w:rFonts w:hint="eastAsia"/>
                      <w:szCs w:val="21"/>
                    </w:rPr>
                    <w:t>污泥、栅渣</w:t>
                  </w:r>
                </w:p>
              </w:tc>
              <w:tc>
                <w:tcPr>
                  <w:tcW w:w="404" w:type="pct"/>
                  <w:shd w:val="clear" w:color="auto" w:fill="auto"/>
                  <w:vAlign w:val="center"/>
                </w:tcPr>
                <w:p>
                  <w:pPr>
                    <w:spacing w:line="240" w:lineRule="auto"/>
                    <w:ind w:right="46" w:rightChars="19" w:firstLine="0" w:firstLineChars="0"/>
                    <w:jc w:val="center"/>
                    <w:rPr>
                      <w:sz w:val="21"/>
                      <w:szCs w:val="21"/>
                      <w:lang w:val="zh-CN"/>
                    </w:rPr>
                  </w:pPr>
                  <w:r>
                    <w:rPr>
                      <w:rFonts w:hint="eastAsia"/>
                      <w:sz w:val="21"/>
                      <w:szCs w:val="21"/>
                    </w:rPr>
                    <w:t>HW01</w:t>
                  </w:r>
                </w:p>
              </w:tc>
              <w:tc>
                <w:tcPr>
                  <w:tcW w:w="730" w:type="pct"/>
                  <w:shd w:val="clear" w:color="auto" w:fill="auto"/>
                  <w:vAlign w:val="center"/>
                </w:tcPr>
                <w:p>
                  <w:pPr>
                    <w:spacing w:line="240" w:lineRule="auto"/>
                    <w:ind w:right="46" w:rightChars="19" w:firstLine="0" w:firstLineChars="0"/>
                    <w:jc w:val="center"/>
                    <w:rPr>
                      <w:sz w:val="21"/>
                      <w:szCs w:val="21"/>
                      <w:lang w:val="zh-CN"/>
                    </w:rPr>
                  </w:pPr>
                  <w:r>
                    <w:rPr>
                      <w:rFonts w:hint="eastAsia"/>
                      <w:sz w:val="21"/>
                      <w:szCs w:val="21"/>
                    </w:rPr>
                    <w:t>841-001-01</w:t>
                  </w:r>
                </w:p>
              </w:tc>
              <w:tc>
                <w:tcPr>
                  <w:tcW w:w="812" w:type="pct"/>
                  <w:vMerge w:val="restart"/>
                  <w:shd w:val="clear" w:color="auto" w:fill="auto"/>
                  <w:vAlign w:val="center"/>
                </w:tcPr>
                <w:p>
                  <w:pPr>
                    <w:spacing w:line="240" w:lineRule="auto"/>
                    <w:ind w:right="46" w:rightChars="19" w:firstLine="0" w:firstLineChars="0"/>
                    <w:jc w:val="center"/>
                    <w:rPr>
                      <w:sz w:val="21"/>
                      <w:szCs w:val="21"/>
                      <w:lang w:val="zh-CN"/>
                    </w:rPr>
                  </w:pPr>
                  <w:r>
                    <w:rPr>
                      <w:rFonts w:hint="eastAsia"/>
                      <w:sz w:val="21"/>
                      <w:szCs w:val="21"/>
                    </w:rPr>
                    <w:t>污水处理间</w:t>
                  </w:r>
                </w:p>
              </w:tc>
              <w:tc>
                <w:tcPr>
                  <w:tcW w:w="499" w:type="pct"/>
                  <w:shd w:val="clear" w:color="auto" w:fill="auto"/>
                  <w:vAlign w:val="center"/>
                </w:tcPr>
                <w:p>
                  <w:pPr>
                    <w:pStyle w:val="28"/>
                    <w:spacing w:line="240" w:lineRule="auto"/>
                    <w:ind w:right="46" w:rightChars="19"/>
                    <w:rPr>
                      <w:szCs w:val="21"/>
                    </w:rPr>
                  </w:pPr>
                  <w:r>
                    <w:rPr>
                      <w:rFonts w:hint="eastAsia"/>
                      <w:szCs w:val="21"/>
                    </w:rPr>
                    <w:t>1.82</w:t>
                  </w:r>
                </w:p>
              </w:tc>
              <w:tc>
                <w:tcPr>
                  <w:tcW w:w="552" w:type="pct"/>
                  <w:shd w:val="clear" w:color="auto" w:fill="auto"/>
                  <w:vAlign w:val="center"/>
                </w:tcPr>
                <w:p>
                  <w:pPr>
                    <w:spacing w:line="240" w:lineRule="auto"/>
                    <w:ind w:right="46" w:rightChars="19" w:firstLine="0" w:firstLineChars="0"/>
                    <w:jc w:val="center"/>
                    <w:rPr>
                      <w:sz w:val="21"/>
                      <w:szCs w:val="21"/>
                      <w:lang w:val="zh-CN"/>
                    </w:rPr>
                  </w:pPr>
                  <w:r>
                    <w:rPr>
                      <w:rFonts w:hint="eastAsia"/>
                      <w:sz w:val="21"/>
                      <w:szCs w:val="21"/>
                      <w:lang w:val="zh-CN"/>
                    </w:rPr>
                    <w:t>液态/固态</w:t>
                  </w:r>
                </w:p>
              </w:tc>
              <w:tc>
                <w:tcPr>
                  <w:tcW w:w="583" w:type="pct"/>
                  <w:shd w:val="clear" w:color="auto" w:fill="auto"/>
                  <w:vAlign w:val="center"/>
                </w:tcPr>
                <w:p>
                  <w:pPr>
                    <w:spacing w:line="240" w:lineRule="auto"/>
                    <w:ind w:right="46" w:rightChars="19" w:firstLine="0" w:firstLineChars="0"/>
                    <w:jc w:val="center"/>
                    <w:rPr>
                      <w:sz w:val="21"/>
                      <w:szCs w:val="21"/>
                      <w:lang w:val="zh-CN"/>
                    </w:rPr>
                  </w:pPr>
                  <w:r>
                    <w:rPr>
                      <w:rFonts w:hint="eastAsia"/>
                      <w:sz w:val="21"/>
                      <w:szCs w:val="21"/>
                      <w:lang w:val="zh-CN"/>
                    </w:rPr>
                    <w:t>每天</w:t>
                  </w:r>
                </w:p>
              </w:tc>
              <w:tc>
                <w:tcPr>
                  <w:tcW w:w="566" w:type="pct"/>
                  <w:shd w:val="clear" w:color="auto" w:fill="auto"/>
                  <w:vAlign w:val="center"/>
                </w:tcPr>
                <w:p>
                  <w:pPr>
                    <w:spacing w:line="240" w:lineRule="auto"/>
                    <w:ind w:right="46" w:rightChars="19" w:firstLine="0" w:firstLineChars="0"/>
                    <w:jc w:val="center"/>
                    <w:rPr>
                      <w:sz w:val="21"/>
                      <w:szCs w:val="21"/>
                      <w:lang w:val="zh-CN"/>
                    </w:rPr>
                  </w:pPr>
                  <w:r>
                    <w:rPr>
                      <w:rFonts w:hint="eastAsia"/>
                      <w:sz w:val="21"/>
                      <w:szCs w:val="21"/>
                    </w:rPr>
                    <w:t>In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854" w:type="pct"/>
                  <w:shd w:val="clear" w:color="auto" w:fill="auto"/>
                  <w:vAlign w:val="center"/>
                </w:tcPr>
                <w:p>
                  <w:pPr>
                    <w:pStyle w:val="28"/>
                    <w:spacing w:line="240" w:lineRule="auto"/>
                    <w:ind w:right="46" w:rightChars="19"/>
                    <w:rPr>
                      <w:szCs w:val="21"/>
                    </w:rPr>
                  </w:pPr>
                  <w:r>
                    <w:rPr>
                      <w:rFonts w:hint="eastAsia"/>
                      <w:szCs w:val="21"/>
                    </w:rPr>
                    <w:t>在线检测废液</w:t>
                  </w:r>
                </w:p>
              </w:tc>
              <w:tc>
                <w:tcPr>
                  <w:tcW w:w="404" w:type="pct"/>
                  <w:shd w:val="clear" w:color="auto" w:fill="auto"/>
                  <w:vAlign w:val="center"/>
                </w:tcPr>
                <w:p>
                  <w:pPr>
                    <w:spacing w:line="240" w:lineRule="auto"/>
                    <w:ind w:right="46" w:rightChars="19" w:firstLine="0" w:firstLineChars="0"/>
                    <w:jc w:val="center"/>
                    <w:rPr>
                      <w:sz w:val="21"/>
                      <w:szCs w:val="21"/>
                      <w:lang w:val="zh-CN"/>
                    </w:rPr>
                  </w:pPr>
                  <w:r>
                    <w:rPr>
                      <w:rFonts w:hint="eastAsia"/>
                      <w:sz w:val="21"/>
                      <w:szCs w:val="21"/>
                      <w:lang w:val="zh-CN"/>
                    </w:rPr>
                    <w:t>HW49</w:t>
                  </w:r>
                </w:p>
              </w:tc>
              <w:tc>
                <w:tcPr>
                  <w:tcW w:w="730" w:type="pct"/>
                  <w:shd w:val="clear" w:color="auto" w:fill="auto"/>
                  <w:vAlign w:val="center"/>
                </w:tcPr>
                <w:p>
                  <w:pPr>
                    <w:spacing w:line="240" w:lineRule="auto"/>
                    <w:ind w:right="46" w:rightChars="19" w:firstLine="0" w:firstLineChars="0"/>
                    <w:jc w:val="center"/>
                    <w:rPr>
                      <w:sz w:val="21"/>
                      <w:szCs w:val="21"/>
                      <w:lang w:val="zh-CN"/>
                    </w:rPr>
                  </w:pPr>
                  <w:r>
                    <w:rPr>
                      <w:sz w:val="21"/>
                      <w:szCs w:val="21"/>
                      <w:lang w:val="zh-CN"/>
                    </w:rPr>
                    <w:t>900-047-49</w:t>
                  </w:r>
                </w:p>
              </w:tc>
              <w:tc>
                <w:tcPr>
                  <w:tcW w:w="812" w:type="pct"/>
                  <w:vMerge w:val="continue"/>
                  <w:shd w:val="clear" w:color="auto" w:fill="auto"/>
                  <w:vAlign w:val="center"/>
                </w:tcPr>
                <w:p>
                  <w:pPr>
                    <w:spacing w:line="240" w:lineRule="auto"/>
                    <w:ind w:right="46" w:rightChars="19" w:firstLine="0" w:firstLineChars="0"/>
                    <w:jc w:val="center"/>
                    <w:rPr>
                      <w:sz w:val="21"/>
                      <w:szCs w:val="21"/>
                      <w:lang w:val="zh-CN"/>
                    </w:rPr>
                  </w:pPr>
                </w:p>
              </w:tc>
              <w:tc>
                <w:tcPr>
                  <w:tcW w:w="499" w:type="pct"/>
                  <w:shd w:val="clear" w:color="auto" w:fill="auto"/>
                  <w:vAlign w:val="center"/>
                </w:tcPr>
                <w:p>
                  <w:pPr>
                    <w:pStyle w:val="28"/>
                    <w:spacing w:line="240" w:lineRule="auto"/>
                    <w:ind w:right="46" w:rightChars="19"/>
                    <w:rPr>
                      <w:szCs w:val="21"/>
                    </w:rPr>
                  </w:pPr>
                  <w:r>
                    <w:rPr>
                      <w:rFonts w:hint="eastAsia"/>
                      <w:szCs w:val="21"/>
                    </w:rPr>
                    <w:t>0.1</w:t>
                  </w:r>
                </w:p>
              </w:tc>
              <w:tc>
                <w:tcPr>
                  <w:tcW w:w="552" w:type="pct"/>
                  <w:shd w:val="clear" w:color="auto" w:fill="auto"/>
                  <w:vAlign w:val="center"/>
                </w:tcPr>
                <w:p>
                  <w:pPr>
                    <w:spacing w:line="240" w:lineRule="auto"/>
                    <w:ind w:right="46" w:rightChars="19" w:firstLine="0" w:firstLineChars="0"/>
                    <w:jc w:val="center"/>
                    <w:rPr>
                      <w:sz w:val="21"/>
                      <w:szCs w:val="21"/>
                      <w:lang w:val="zh-CN"/>
                    </w:rPr>
                  </w:pPr>
                  <w:r>
                    <w:rPr>
                      <w:rFonts w:hint="eastAsia"/>
                      <w:sz w:val="21"/>
                      <w:szCs w:val="21"/>
                      <w:lang w:val="zh-CN"/>
                    </w:rPr>
                    <w:t>液态</w:t>
                  </w:r>
                </w:p>
              </w:tc>
              <w:tc>
                <w:tcPr>
                  <w:tcW w:w="583" w:type="pct"/>
                  <w:shd w:val="clear" w:color="auto" w:fill="auto"/>
                  <w:vAlign w:val="center"/>
                </w:tcPr>
                <w:p>
                  <w:pPr>
                    <w:spacing w:line="240" w:lineRule="auto"/>
                    <w:ind w:right="46" w:rightChars="19" w:firstLine="0" w:firstLineChars="0"/>
                    <w:jc w:val="center"/>
                    <w:rPr>
                      <w:sz w:val="21"/>
                      <w:szCs w:val="21"/>
                      <w:lang w:val="zh-CN"/>
                    </w:rPr>
                  </w:pPr>
                  <w:r>
                    <w:rPr>
                      <w:rFonts w:hint="eastAsia"/>
                      <w:sz w:val="21"/>
                      <w:szCs w:val="21"/>
                      <w:lang w:val="zh-CN"/>
                    </w:rPr>
                    <w:t>每天</w:t>
                  </w:r>
                </w:p>
              </w:tc>
              <w:tc>
                <w:tcPr>
                  <w:tcW w:w="566" w:type="pct"/>
                  <w:shd w:val="clear" w:color="auto" w:fill="auto"/>
                  <w:vAlign w:val="center"/>
                </w:tcPr>
                <w:p>
                  <w:pPr>
                    <w:spacing w:line="240" w:lineRule="auto"/>
                    <w:ind w:right="46" w:rightChars="19" w:firstLine="0" w:firstLineChars="0"/>
                    <w:jc w:val="center"/>
                    <w:rPr>
                      <w:sz w:val="21"/>
                      <w:szCs w:val="21"/>
                      <w:lang w:val="zh-CN"/>
                    </w:rPr>
                  </w:pPr>
                  <w:r>
                    <w:rPr>
                      <w:sz w:val="21"/>
                      <w:szCs w:val="21"/>
                      <w:lang w:val="zh-CN"/>
                    </w:rPr>
                    <w:t>T/C/I/R</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854" w:type="pct"/>
                  <w:shd w:val="clear" w:color="auto" w:fill="auto"/>
                  <w:vAlign w:val="center"/>
                </w:tcPr>
                <w:p>
                  <w:pPr>
                    <w:pStyle w:val="28"/>
                    <w:spacing w:line="240" w:lineRule="auto"/>
                    <w:ind w:right="46" w:rightChars="19"/>
                    <w:rPr>
                      <w:szCs w:val="21"/>
                    </w:rPr>
                  </w:pPr>
                  <w:r>
                    <w:rPr>
                      <w:rFonts w:hint="eastAsia"/>
                      <w:szCs w:val="21"/>
                    </w:rPr>
                    <w:t>废活性炭</w:t>
                  </w:r>
                </w:p>
              </w:tc>
              <w:tc>
                <w:tcPr>
                  <w:tcW w:w="404" w:type="pct"/>
                  <w:shd w:val="clear" w:color="auto" w:fill="auto"/>
                  <w:vAlign w:val="center"/>
                </w:tcPr>
                <w:p>
                  <w:pPr>
                    <w:spacing w:line="240" w:lineRule="auto"/>
                    <w:ind w:right="46" w:rightChars="19" w:firstLine="0" w:firstLineChars="0"/>
                    <w:jc w:val="center"/>
                    <w:rPr>
                      <w:sz w:val="21"/>
                      <w:szCs w:val="21"/>
                      <w:lang w:val="zh-CN"/>
                    </w:rPr>
                  </w:pPr>
                  <w:r>
                    <w:rPr>
                      <w:rFonts w:hint="eastAsia"/>
                      <w:sz w:val="21"/>
                      <w:szCs w:val="21"/>
                      <w:lang w:val="zh-CN"/>
                    </w:rPr>
                    <w:t>HW49</w:t>
                  </w:r>
                </w:p>
              </w:tc>
              <w:tc>
                <w:tcPr>
                  <w:tcW w:w="730" w:type="pct"/>
                  <w:shd w:val="clear" w:color="auto" w:fill="auto"/>
                  <w:vAlign w:val="center"/>
                </w:tcPr>
                <w:p>
                  <w:pPr>
                    <w:spacing w:line="240" w:lineRule="auto"/>
                    <w:ind w:right="46" w:rightChars="19" w:firstLine="0" w:firstLineChars="0"/>
                    <w:jc w:val="center"/>
                    <w:rPr>
                      <w:sz w:val="21"/>
                      <w:szCs w:val="21"/>
                      <w:lang w:val="zh-CN"/>
                    </w:rPr>
                  </w:pPr>
                  <w:r>
                    <w:rPr>
                      <w:rFonts w:hint="eastAsia"/>
                      <w:sz w:val="21"/>
                      <w:szCs w:val="21"/>
                      <w:lang w:val="zh-CN"/>
                    </w:rPr>
                    <w:t>900-039-49</w:t>
                  </w:r>
                </w:p>
              </w:tc>
              <w:tc>
                <w:tcPr>
                  <w:tcW w:w="812" w:type="pct"/>
                  <w:shd w:val="clear" w:color="auto" w:fill="auto"/>
                  <w:vAlign w:val="center"/>
                </w:tcPr>
                <w:p>
                  <w:pPr>
                    <w:spacing w:line="240" w:lineRule="auto"/>
                    <w:ind w:right="46" w:rightChars="19" w:firstLine="0" w:firstLineChars="0"/>
                    <w:jc w:val="center"/>
                    <w:rPr>
                      <w:sz w:val="21"/>
                      <w:szCs w:val="21"/>
                      <w:lang w:val="zh-CN"/>
                    </w:rPr>
                  </w:pPr>
                  <w:r>
                    <w:rPr>
                      <w:rFonts w:hint="eastAsia"/>
                      <w:sz w:val="21"/>
                      <w:szCs w:val="21"/>
                    </w:rPr>
                    <w:t>废气处理</w:t>
                  </w:r>
                </w:p>
              </w:tc>
              <w:tc>
                <w:tcPr>
                  <w:tcW w:w="499" w:type="pct"/>
                  <w:shd w:val="clear" w:color="auto" w:fill="auto"/>
                  <w:vAlign w:val="center"/>
                </w:tcPr>
                <w:p>
                  <w:pPr>
                    <w:pStyle w:val="28"/>
                    <w:spacing w:line="240" w:lineRule="auto"/>
                    <w:ind w:right="46" w:rightChars="19"/>
                    <w:rPr>
                      <w:szCs w:val="21"/>
                    </w:rPr>
                  </w:pPr>
                  <w:r>
                    <w:rPr>
                      <w:rFonts w:hint="eastAsia"/>
                      <w:szCs w:val="21"/>
                    </w:rPr>
                    <w:t>0.715</w:t>
                  </w:r>
                </w:p>
              </w:tc>
              <w:tc>
                <w:tcPr>
                  <w:tcW w:w="552" w:type="pct"/>
                  <w:shd w:val="clear" w:color="auto" w:fill="auto"/>
                  <w:vAlign w:val="center"/>
                </w:tcPr>
                <w:p>
                  <w:pPr>
                    <w:spacing w:line="240" w:lineRule="auto"/>
                    <w:ind w:right="46" w:rightChars="19" w:firstLine="0" w:firstLineChars="0"/>
                    <w:jc w:val="center"/>
                    <w:rPr>
                      <w:sz w:val="21"/>
                      <w:szCs w:val="21"/>
                      <w:lang w:val="zh-CN"/>
                    </w:rPr>
                  </w:pPr>
                  <w:r>
                    <w:rPr>
                      <w:rFonts w:hint="eastAsia"/>
                      <w:sz w:val="21"/>
                      <w:szCs w:val="21"/>
                      <w:lang w:val="zh-CN"/>
                    </w:rPr>
                    <w:t>固态</w:t>
                  </w:r>
                </w:p>
              </w:tc>
              <w:tc>
                <w:tcPr>
                  <w:tcW w:w="583" w:type="pct"/>
                  <w:shd w:val="clear" w:color="auto" w:fill="auto"/>
                  <w:vAlign w:val="center"/>
                </w:tcPr>
                <w:p>
                  <w:pPr>
                    <w:spacing w:line="240" w:lineRule="auto"/>
                    <w:ind w:right="46" w:rightChars="19" w:firstLine="0" w:firstLineChars="0"/>
                    <w:jc w:val="center"/>
                    <w:rPr>
                      <w:sz w:val="21"/>
                      <w:szCs w:val="21"/>
                      <w:lang w:val="zh-CN"/>
                    </w:rPr>
                  </w:pPr>
                  <w:r>
                    <w:rPr>
                      <w:rFonts w:hint="eastAsia"/>
                      <w:sz w:val="21"/>
                      <w:szCs w:val="21"/>
                      <w:lang w:val="zh-CN"/>
                    </w:rPr>
                    <w:t>1次/每年</w:t>
                  </w:r>
                </w:p>
              </w:tc>
              <w:tc>
                <w:tcPr>
                  <w:tcW w:w="566" w:type="pct"/>
                  <w:shd w:val="clear" w:color="auto" w:fill="auto"/>
                  <w:vAlign w:val="center"/>
                </w:tcPr>
                <w:p>
                  <w:pPr>
                    <w:spacing w:line="240" w:lineRule="auto"/>
                    <w:ind w:right="46" w:rightChars="19" w:firstLine="0" w:firstLineChars="0"/>
                    <w:jc w:val="center"/>
                    <w:rPr>
                      <w:sz w:val="21"/>
                      <w:szCs w:val="21"/>
                      <w:lang w:val="zh-CN"/>
                    </w:rPr>
                  </w:pPr>
                  <w:r>
                    <w:rPr>
                      <w:sz w:val="21"/>
                      <w:szCs w:val="21"/>
                    </w:rPr>
                    <w:t>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854" w:type="pct"/>
                  <w:shd w:val="clear" w:color="auto" w:fill="auto"/>
                  <w:vAlign w:val="center"/>
                </w:tcPr>
                <w:p>
                  <w:pPr>
                    <w:pStyle w:val="28"/>
                    <w:spacing w:line="240" w:lineRule="auto"/>
                    <w:ind w:right="46" w:rightChars="19"/>
                    <w:jc w:val="left"/>
                    <w:rPr>
                      <w:szCs w:val="21"/>
                    </w:rPr>
                  </w:pPr>
                  <w:r>
                    <w:rPr>
                      <w:rFonts w:hint="eastAsia"/>
                      <w:szCs w:val="21"/>
                    </w:rPr>
                    <w:t>次氯酸钠、醋酸、乙醚等废包装</w:t>
                  </w:r>
                </w:p>
              </w:tc>
              <w:tc>
                <w:tcPr>
                  <w:tcW w:w="404" w:type="pct"/>
                  <w:shd w:val="clear" w:color="auto" w:fill="auto"/>
                  <w:vAlign w:val="center"/>
                </w:tcPr>
                <w:p>
                  <w:pPr>
                    <w:spacing w:line="240" w:lineRule="auto"/>
                    <w:ind w:right="46" w:rightChars="19" w:firstLine="0" w:firstLineChars="0"/>
                    <w:jc w:val="center"/>
                    <w:rPr>
                      <w:sz w:val="21"/>
                      <w:szCs w:val="21"/>
                      <w:lang w:val="zh-CN"/>
                    </w:rPr>
                  </w:pPr>
                  <w:r>
                    <w:rPr>
                      <w:rFonts w:hint="eastAsia"/>
                      <w:sz w:val="21"/>
                      <w:szCs w:val="21"/>
                      <w:lang w:val="zh-CN"/>
                    </w:rPr>
                    <w:t>HW49</w:t>
                  </w:r>
                </w:p>
              </w:tc>
              <w:tc>
                <w:tcPr>
                  <w:tcW w:w="730" w:type="pct"/>
                  <w:shd w:val="clear" w:color="auto" w:fill="auto"/>
                  <w:vAlign w:val="center"/>
                </w:tcPr>
                <w:p>
                  <w:pPr>
                    <w:spacing w:line="240" w:lineRule="auto"/>
                    <w:ind w:right="46" w:rightChars="19" w:firstLine="0" w:firstLineChars="0"/>
                    <w:jc w:val="center"/>
                    <w:rPr>
                      <w:sz w:val="21"/>
                      <w:szCs w:val="21"/>
                      <w:lang w:val="zh-CN"/>
                    </w:rPr>
                  </w:pPr>
                  <w:r>
                    <w:rPr>
                      <w:sz w:val="21"/>
                      <w:szCs w:val="21"/>
                      <w:lang w:val="zh-CN"/>
                    </w:rPr>
                    <w:t>900-047-49</w:t>
                  </w:r>
                </w:p>
              </w:tc>
              <w:tc>
                <w:tcPr>
                  <w:tcW w:w="812" w:type="pct"/>
                  <w:shd w:val="clear" w:color="auto" w:fill="auto"/>
                  <w:vAlign w:val="center"/>
                </w:tcPr>
                <w:p>
                  <w:pPr>
                    <w:spacing w:line="240" w:lineRule="auto"/>
                    <w:ind w:right="46" w:rightChars="19" w:firstLine="0" w:firstLineChars="0"/>
                    <w:jc w:val="center"/>
                    <w:rPr>
                      <w:sz w:val="21"/>
                      <w:szCs w:val="21"/>
                    </w:rPr>
                  </w:pPr>
                  <w:r>
                    <w:rPr>
                      <w:rFonts w:hint="eastAsia"/>
                      <w:sz w:val="21"/>
                      <w:szCs w:val="21"/>
                    </w:rPr>
                    <w:t>医院运行等</w:t>
                  </w:r>
                </w:p>
              </w:tc>
              <w:tc>
                <w:tcPr>
                  <w:tcW w:w="499" w:type="pct"/>
                  <w:shd w:val="clear" w:color="auto" w:fill="auto"/>
                  <w:vAlign w:val="center"/>
                </w:tcPr>
                <w:p>
                  <w:pPr>
                    <w:pStyle w:val="28"/>
                    <w:spacing w:line="240" w:lineRule="auto"/>
                    <w:ind w:right="46" w:rightChars="19"/>
                    <w:rPr>
                      <w:szCs w:val="21"/>
                    </w:rPr>
                  </w:pPr>
                  <w:r>
                    <w:rPr>
                      <w:rFonts w:hint="eastAsia"/>
                      <w:szCs w:val="21"/>
                    </w:rPr>
                    <w:t>0.001</w:t>
                  </w:r>
                </w:p>
              </w:tc>
              <w:tc>
                <w:tcPr>
                  <w:tcW w:w="552" w:type="pct"/>
                  <w:shd w:val="clear" w:color="auto" w:fill="auto"/>
                  <w:vAlign w:val="center"/>
                </w:tcPr>
                <w:p>
                  <w:pPr>
                    <w:spacing w:line="240" w:lineRule="auto"/>
                    <w:ind w:right="46" w:rightChars="19" w:firstLine="0" w:firstLineChars="0"/>
                    <w:jc w:val="center"/>
                    <w:rPr>
                      <w:sz w:val="21"/>
                      <w:szCs w:val="21"/>
                      <w:lang w:val="zh-CN"/>
                    </w:rPr>
                  </w:pPr>
                  <w:r>
                    <w:rPr>
                      <w:rFonts w:hint="eastAsia"/>
                      <w:sz w:val="21"/>
                      <w:szCs w:val="21"/>
                      <w:lang w:val="zh-CN"/>
                    </w:rPr>
                    <w:t>固态</w:t>
                  </w:r>
                </w:p>
              </w:tc>
              <w:tc>
                <w:tcPr>
                  <w:tcW w:w="583" w:type="pct"/>
                  <w:shd w:val="clear" w:color="auto" w:fill="auto"/>
                  <w:vAlign w:val="center"/>
                </w:tcPr>
                <w:p>
                  <w:pPr>
                    <w:spacing w:line="240" w:lineRule="auto"/>
                    <w:ind w:right="46" w:rightChars="19" w:firstLine="0" w:firstLineChars="0"/>
                    <w:jc w:val="center"/>
                    <w:rPr>
                      <w:sz w:val="21"/>
                      <w:szCs w:val="21"/>
                      <w:lang w:val="zh-CN"/>
                    </w:rPr>
                  </w:pPr>
                  <w:r>
                    <w:rPr>
                      <w:rFonts w:hint="eastAsia"/>
                      <w:sz w:val="21"/>
                      <w:szCs w:val="21"/>
                      <w:lang w:val="zh-CN"/>
                    </w:rPr>
                    <w:t>1次/每年</w:t>
                  </w:r>
                </w:p>
              </w:tc>
              <w:tc>
                <w:tcPr>
                  <w:tcW w:w="566" w:type="pct"/>
                  <w:shd w:val="clear" w:color="auto" w:fill="auto"/>
                  <w:vAlign w:val="center"/>
                </w:tcPr>
                <w:p>
                  <w:pPr>
                    <w:spacing w:line="240" w:lineRule="auto"/>
                    <w:ind w:right="46" w:rightChars="19" w:firstLine="0" w:firstLineChars="0"/>
                    <w:jc w:val="center"/>
                    <w:rPr>
                      <w:sz w:val="21"/>
                      <w:szCs w:val="21"/>
                      <w:lang w:val="zh-CN"/>
                    </w:rPr>
                  </w:pPr>
                  <w:r>
                    <w:rPr>
                      <w:sz w:val="21"/>
                      <w:szCs w:val="21"/>
                      <w:lang w:val="zh-CN"/>
                    </w:rPr>
                    <w:t>T/C/I/R</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2800" w:type="pct"/>
                  <w:gridSpan w:val="4"/>
                  <w:shd w:val="clear" w:color="auto" w:fill="auto"/>
                  <w:vAlign w:val="center"/>
                </w:tcPr>
                <w:p>
                  <w:pPr>
                    <w:spacing w:line="240" w:lineRule="auto"/>
                    <w:ind w:right="46" w:rightChars="19" w:firstLine="0" w:firstLineChars="0"/>
                    <w:jc w:val="center"/>
                    <w:rPr>
                      <w:sz w:val="21"/>
                      <w:szCs w:val="21"/>
                      <w:lang w:val="zh-CN"/>
                    </w:rPr>
                  </w:pPr>
                  <w:r>
                    <w:rPr>
                      <w:rFonts w:hint="eastAsia"/>
                      <w:sz w:val="21"/>
                      <w:szCs w:val="21"/>
                      <w:lang w:val="zh-CN"/>
                    </w:rPr>
                    <w:t>合计</w:t>
                  </w:r>
                </w:p>
              </w:tc>
              <w:tc>
                <w:tcPr>
                  <w:tcW w:w="499" w:type="pct"/>
                  <w:shd w:val="clear" w:color="auto" w:fill="auto"/>
                  <w:vAlign w:val="center"/>
                </w:tcPr>
                <w:p>
                  <w:pPr>
                    <w:pStyle w:val="28"/>
                    <w:spacing w:line="240" w:lineRule="auto"/>
                    <w:ind w:right="46" w:rightChars="19"/>
                    <w:rPr>
                      <w:szCs w:val="21"/>
                    </w:rPr>
                  </w:pPr>
                  <w:r>
                    <w:rPr>
                      <w:rFonts w:hint="eastAsia"/>
                      <w:szCs w:val="21"/>
                    </w:rPr>
                    <w:t>10.265</w:t>
                  </w:r>
                </w:p>
              </w:tc>
              <w:tc>
                <w:tcPr>
                  <w:tcW w:w="552" w:type="pct"/>
                  <w:shd w:val="clear" w:color="auto" w:fill="auto"/>
                  <w:vAlign w:val="center"/>
                </w:tcPr>
                <w:p>
                  <w:pPr>
                    <w:spacing w:line="240" w:lineRule="auto"/>
                    <w:ind w:right="46" w:rightChars="19" w:firstLine="0" w:firstLineChars="0"/>
                    <w:jc w:val="center"/>
                    <w:rPr>
                      <w:sz w:val="21"/>
                      <w:szCs w:val="21"/>
                      <w:lang w:val="zh-CN"/>
                    </w:rPr>
                  </w:pPr>
                  <w:r>
                    <w:rPr>
                      <w:rFonts w:hint="eastAsia"/>
                      <w:sz w:val="21"/>
                      <w:szCs w:val="21"/>
                      <w:lang w:val="zh-CN"/>
                    </w:rPr>
                    <w:t>—</w:t>
                  </w:r>
                </w:p>
              </w:tc>
              <w:tc>
                <w:tcPr>
                  <w:tcW w:w="583" w:type="pct"/>
                  <w:shd w:val="clear" w:color="auto" w:fill="auto"/>
                  <w:vAlign w:val="center"/>
                </w:tcPr>
                <w:p>
                  <w:pPr>
                    <w:spacing w:line="240" w:lineRule="auto"/>
                    <w:ind w:right="46" w:rightChars="19" w:firstLine="0" w:firstLineChars="0"/>
                    <w:jc w:val="center"/>
                    <w:rPr>
                      <w:sz w:val="21"/>
                      <w:szCs w:val="21"/>
                      <w:lang w:val="zh-CN"/>
                    </w:rPr>
                  </w:pPr>
                  <w:r>
                    <w:rPr>
                      <w:rFonts w:hint="eastAsia"/>
                      <w:sz w:val="21"/>
                      <w:szCs w:val="21"/>
                      <w:lang w:val="zh-CN"/>
                    </w:rPr>
                    <w:t>—</w:t>
                  </w:r>
                </w:p>
              </w:tc>
              <w:tc>
                <w:tcPr>
                  <w:tcW w:w="566" w:type="pct"/>
                  <w:shd w:val="clear" w:color="auto" w:fill="auto"/>
                  <w:vAlign w:val="center"/>
                </w:tcPr>
                <w:p>
                  <w:pPr>
                    <w:spacing w:line="240" w:lineRule="auto"/>
                    <w:ind w:right="46" w:rightChars="19" w:firstLine="0" w:firstLineChars="0"/>
                    <w:jc w:val="center"/>
                    <w:rPr>
                      <w:sz w:val="21"/>
                      <w:szCs w:val="21"/>
                      <w:lang w:val="zh-CN"/>
                    </w:rPr>
                  </w:pPr>
                  <w:r>
                    <w:rPr>
                      <w:rFonts w:hint="eastAsia"/>
                      <w:sz w:val="21"/>
                      <w:szCs w:val="21"/>
                      <w:lang w:val="zh-CN"/>
                    </w:rPr>
                    <w:t>—</w:t>
                  </w:r>
                </w:p>
              </w:tc>
            </w:tr>
          </w:tbl>
          <w:p>
            <w:pPr>
              <w:ind w:left="120" w:leftChars="50" w:right="120" w:rightChars="50" w:firstLine="480"/>
              <w:jc w:val="left"/>
            </w:pPr>
            <w:r>
              <w:rPr>
                <w:rFonts w:hint="eastAsia"/>
              </w:rPr>
              <w:t>（2）固体废物贮存处理</w:t>
            </w:r>
          </w:p>
          <w:p>
            <w:pPr>
              <w:ind w:left="120" w:leftChars="50" w:right="120" w:rightChars="50" w:firstLine="480"/>
              <w:jc w:val="left"/>
            </w:pPr>
            <w:r>
              <w:rPr>
                <w:rFonts w:hint="eastAsia"/>
              </w:rPr>
              <w:t>①医疗废物贮存场所能力分析</w:t>
            </w:r>
          </w:p>
          <w:p>
            <w:pPr>
              <w:ind w:left="120" w:leftChars="50" w:right="120" w:rightChars="50" w:firstLine="480"/>
              <w:jc w:val="left"/>
            </w:pPr>
            <w:r>
              <w:rPr>
                <w:rFonts w:hint="eastAsia"/>
              </w:rPr>
              <w:t>医院在1楼设置1座5m</w:t>
            </w:r>
            <w:r>
              <w:rPr>
                <w:rFonts w:hint="eastAsia"/>
                <w:vertAlign w:val="superscript"/>
              </w:rPr>
              <w:t>2</w:t>
            </w:r>
            <w:r>
              <w:rPr>
                <w:rFonts w:hint="eastAsia"/>
              </w:rPr>
              <w:t>医疗废物暂存间，最大允许暂存量2.5t，医疗废物每2天清运一次，污水处理污泥每次清掏后立即清运，医疗废物暂存间暂存能力满足项目产生医疗废物暂存要求。</w:t>
            </w:r>
          </w:p>
          <w:p>
            <w:pPr>
              <w:ind w:left="120" w:leftChars="50" w:right="120" w:rightChars="50" w:firstLine="480"/>
              <w:jc w:val="left"/>
            </w:pPr>
            <w:r>
              <w:rPr>
                <w:rFonts w:hint="eastAsia"/>
              </w:rPr>
              <w:t>②危废贮存场所能力分析</w:t>
            </w:r>
          </w:p>
          <w:p>
            <w:pPr>
              <w:ind w:left="120" w:leftChars="50" w:right="120" w:rightChars="50" w:firstLine="480"/>
              <w:jc w:val="left"/>
            </w:pPr>
            <w:r>
              <w:rPr>
                <w:rFonts w:hint="eastAsia"/>
              </w:rPr>
              <w:t>医院在1楼设置1座4m</w:t>
            </w:r>
            <w:r>
              <w:rPr>
                <w:rFonts w:hint="eastAsia"/>
                <w:vertAlign w:val="superscript"/>
              </w:rPr>
              <w:t>2</w:t>
            </w:r>
            <w:r>
              <w:rPr>
                <w:rFonts w:hint="eastAsia"/>
              </w:rPr>
              <w:t>危险废物暂存间，最大允许暂存量2t，储存于危废间的危险废物产生量0.815t/a，危险废物产生后及时转运处置，减少在危废间暂存的时间，项目新建危废暂存间暂存能力满足项目产生危废的暂存要求。</w:t>
            </w:r>
          </w:p>
          <w:p>
            <w:pPr>
              <w:ind w:left="120" w:leftChars="50" w:right="120" w:rightChars="50" w:firstLine="480"/>
              <w:jc w:val="left"/>
            </w:pPr>
            <w:r>
              <w:rPr>
                <w:rFonts w:hint="eastAsia"/>
              </w:rPr>
              <w:t>②危险间选址可行性</w:t>
            </w:r>
          </w:p>
          <w:p>
            <w:pPr>
              <w:ind w:left="120" w:leftChars="50" w:right="120" w:rightChars="50" w:firstLine="480"/>
              <w:jc w:val="left"/>
            </w:pPr>
            <w:r>
              <w:rPr>
                <w:rFonts w:hint="eastAsia"/>
              </w:rPr>
              <w:t>根据区域环境地质条件，石家庄市抗震设计防烈度为 6 度，设计基本地震加速度值为 0.05g，项目医疗废物暂存间和危废暂存间位于医院1楼，防雨、防风、防晒效果良好，医疗废物暂存间和危废暂存间底部高于地下水最高水位，医疗废物暂存间和危废暂存间基础要求按照《危险废物贮存污染控制标准》(GB18597-2023)中相关要求进行防渗处理，防渗层渗透系数小于 1×10</w:t>
            </w:r>
            <w:r>
              <w:rPr>
                <w:rFonts w:hint="eastAsia"/>
                <w:vertAlign w:val="superscript"/>
              </w:rPr>
              <w:t>-10</w:t>
            </w:r>
            <w:r>
              <w:rPr>
                <w:rFonts w:hint="eastAsia"/>
              </w:rPr>
              <w:t>cm/s，医疗废物暂存间和危险废物暂存间选址可行。</w:t>
            </w:r>
          </w:p>
          <w:p>
            <w:pPr>
              <w:ind w:left="120" w:leftChars="50" w:right="120" w:rightChars="50" w:firstLine="480"/>
              <w:jc w:val="left"/>
            </w:pPr>
            <w:r>
              <w:rPr>
                <w:rFonts w:hint="eastAsia"/>
              </w:rPr>
              <w:t>（3）固体废物管理要求</w:t>
            </w:r>
          </w:p>
          <w:p>
            <w:pPr>
              <w:ind w:left="120" w:leftChars="50" w:right="120" w:rightChars="50" w:firstLine="480"/>
              <w:jc w:val="left"/>
            </w:pPr>
            <w:r>
              <w:rPr>
                <w:rFonts w:hint="eastAsia"/>
              </w:rPr>
              <w:t>①危险废物管理要求</w:t>
            </w:r>
          </w:p>
          <w:p>
            <w:pPr>
              <w:ind w:left="120" w:leftChars="50" w:right="120" w:rightChars="50" w:firstLine="480"/>
              <w:jc w:val="left"/>
            </w:pPr>
            <w:r>
              <w:rPr>
                <w:rFonts w:hint="eastAsia"/>
              </w:rPr>
              <w:t>环评要求医院严格按照《危险废物贮存污染控制标准》（GB18597-2023）要求管理医疗废物暂存间和危废间，项目产生的所有危险废物暂存于医疗废物暂存间和危废暂存间内，危废暂存采用专门密闭容器、分区储存，容器上粘贴符合《危险废物识别标志设置技术规范》(HJ 1276—2022)中相关要求所示的标签，定期委托有资质单位进行处理。</w:t>
            </w:r>
          </w:p>
          <w:p>
            <w:pPr>
              <w:ind w:left="120" w:leftChars="50" w:right="120" w:rightChars="50" w:firstLine="480"/>
              <w:jc w:val="left"/>
            </w:pPr>
            <w:r>
              <w:rPr>
                <w:rFonts w:hint="eastAsia"/>
              </w:rPr>
              <w:t>医疗废物暂存间和危废暂存间设置有专人进行管理，加装视频监控，并认真填写台账，认真记录危险废物产生量及处置情况，所产危废及时转运处置。医疗废物暂存间和危险废物储存间做到四防（防雨、防风、防晒、防渗漏），避免污染物泄漏，污染环境。</w:t>
            </w:r>
          </w:p>
          <w:p>
            <w:pPr>
              <w:ind w:left="120" w:leftChars="50" w:right="120" w:rightChars="50" w:firstLine="480"/>
              <w:jc w:val="left"/>
            </w:pPr>
            <w:r>
              <w:rPr>
                <w:rFonts w:hint="eastAsia"/>
              </w:rPr>
              <w:t>②危险废物运输的环境管理要求</w:t>
            </w:r>
          </w:p>
          <w:p>
            <w:pPr>
              <w:ind w:left="120" w:leftChars="50" w:right="120" w:rightChars="50" w:firstLine="480"/>
              <w:jc w:val="left"/>
            </w:pPr>
            <w:r>
              <w:rPr>
                <w:rFonts w:hint="eastAsia"/>
              </w:rPr>
              <w:t>医院的运输过程主要指将医院内已包装的危险废物集中到医废间和危废间的内部转运。已装好的危险废物在内部转运到临时贮存设施时可能发生倾倒、撒漏到医院地面造成不利影响，因此医院应按照《危险废物收集、贮存、运输技术规范》（HJ2025-2012）的要求采取如下措施：</w:t>
            </w:r>
          </w:p>
          <w:p>
            <w:pPr>
              <w:ind w:left="120" w:leftChars="50" w:right="120" w:rightChars="50" w:firstLine="480"/>
              <w:jc w:val="left"/>
            </w:pPr>
            <w:r>
              <w:rPr>
                <w:rFonts w:hint="eastAsia"/>
              </w:rPr>
              <w:t>a.危险废物内部转运作业采用专用的工具，危险废物内部转运应参照《危险废物收集、贮存、运输技术规范》（HJ2025-2012）做好危险废物院内转运记录。</w:t>
            </w:r>
          </w:p>
          <w:p>
            <w:pPr>
              <w:ind w:left="120" w:leftChars="50" w:right="120" w:rightChars="50" w:firstLine="480"/>
              <w:jc w:val="left"/>
            </w:pPr>
            <w:r>
              <w:rPr>
                <w:rFonts w:hint="eastAsia"/>
              </w:rPr>
              <w:t>b.危险废物内部转运结束后，对转运路线进行检查和清理，确保无危险废物遗失在转运路线上等。</w:t>
            </w:r>
          </w:p>
          <w:p>
            <w:pPr>
              <w:ind w:left="120" w:leftChars="50" w:right="120" w:rightChars="50" w:firstLine="480"/>
              <w:jc w:val="left"/>
            </w:pPr>
            <w:r>
              <w:rPr>
                <w:rFonts w:hint="eastAsia"/>
              </w:rPr>
              <w:t>本项目危险废物产生位置和危险废物贮存设施距离较近，且地面已做硬化处理，在采取上述措施的情况下危险废物运输过程不会对周围环境造成不利影响。</w:t>
            </w:r>
          </w:p>
          <w:p>
            <w:pPr>
              <w:ind w:left="120" w:leftChars="50" w:right="120" w:rightChars="50" w:firstLine="480"/>
              <w:jc w:val="left"/>
            </w:pPr>
            <w:r>
              <w:rPr>
                <w:rFonts w:hint="eastAsia"/>
              </w:rPr>
              <w:t>综上所述，本项目固体废物去向明确合理、处置措施可行，预计不会对周边环境造成二次污染。</w:t>
            </w:r>
          </w:p>
          <w:p>
            <w:pPr>
              <w:ind w:left="120" w:leftChars="50" w:right="120" w:rightChars="50" w:firstLine="480"/>
              <w:jc w:val="left"/>
            </w:pPr>
            <w:r>
              <w:rPr>
                <w:rFonts w:hint="eastAsia"/>
              </w:rPr>
              <w:t>（4）委托利用或处置的环境影响分析</w:t>
            </w:r>
          </w:p>
          <w:p>
            <w:pPr>
              <w:ind w:left="120" w:leftChars="50" w:right="120" w:rightChars="50" w:firstLine="480"/>
              <w:jc w:val="left"/>
            </w:pPr>
            <w:r>
              <w:rPr>
                <w:rFonts w:hint="eastAsia"/>
                <w:lang w:val="zh-CN"/>
              </w:rPr>
              <w:t>本项目暂未与有资质单位签订危废协议，</w:t>
            </w:r>
            <w:r>
              <w:rPr>
                <w:rFonts w:hint="eastAsia"/>
              </w:rPr>
              <w:t>环评要求医院投产运行前与有资质的危废公司签订危险废物委托处置合同，产生的危险废物定期交由其处理，每年签订危废处理合同，每次危废转运处置严格按照转运处置要求填写转移联单。</w:t>
            </w:r>
          </w:p>
          <w:p>
            <w:pPr>
              <w:ind w:right="46" w:rightChars="19" w:firstLine="0" w:firstLineChars="0"/>
              <w:jc w:val="left"/>
              <w:rPr>
                <w:b/>
                <w:lang w:val="zh-CN"/>
              </w:rPr>
            </w:pPr>
            <w:r>
              <w:rPr>
                <w:rFonts w:hint="eastAsia"/>
                <w:b/>
                <w:lang w:val="zh-CN"/>
              </w:rPr>
              <w:t>5、地下水、土壤污染防治</w:t>
            </w:r>
          </w:p>
          <w:p>
            <w:pPr>
              <w:ind w:left="120" w:leftChars="50" w:right="120" w:rightChars="50" w:firstLine="480"/>
              <w:jc w:val="left"/>
            </w:pPr>
            <w:r>
              <w:rPr>
                <w:rFonts w:hint="eastAsia"/>
              </w:rPr>
              <w:t>医院用水由市政供水管网提供，不开采及使用地下水；医院建设在现有的厂房1楼和2楼，医院地面采用混凝土+耐腐蚀砖防渗，污水处理间所有池体均为碳钢池体，碳钢池体内防腐涂刷两遍IPN-8710涂料，外壁采用IPN-8710涂料加强防腐。医院运行过程中产生的医疗废物和危险废物不会通过渗漏的方式进入土壤及地下水环境。医院产生的废气为恶臭气体，不易沉降，且废气经处理后均能达标排放，不会通过大气沉降的方式进入土壤及地下水环境。综上，本项目不存在土壤、地下水污染途径，不会造成土壤和地下水污染。</w:t>
            </w:r>
          </w:p>
          <w:p>
            <w:pPr>
              <w:ind w:right="46" w:rightChars="19" w:firstLine="0" w:firstLineChars="0"/>
              <w:jc w:val="left"/>
              <w:rPr>
                <w:b/>
                <w:lang w:val="zh-CN"/>
              </w:rPr>
            </w:pPr>
            <w:r>
              <w:rPr>
                <w:rFonts w:hint="eastAsia"/>
                <w:b/>
                <w:lang w:val="zh-CN"/>
              </w:rPr>
              <w:t>6、环境风险</w:t>
            </w:r>
          </w:p>
          <w:p>
            <w:pPr>
              <w:ind w:left="120" w:leftChars="50" w:right="120" w:rightChars="50" w:firstLine="480"/>
              <w:rPr>
                <w:lang w:val="zh-CN"/>
              </w:rPr>
            </w:pPr>
            <w:r>
              <w:rPr>
                <w:rFonts w:hint="eastAsia"/>
                <w:lang w:val="zh-CN"/>
              </w:rPr>
              <w:t>（1）危险物质数量与临界量比值（Q）</w:t>
            </w:r>
          </w:p>
          <w:p>
            <w:pPr>
              <w:ind w:left="120" w:leftChars="50" w:right="120" w:rightChars="50" w:firstLine="480"/>
              <w:rPr>
                <w:lang w:val="zh-CN"/>
              </w:rPr>
            </w:pPr>
            <w:r>
              <w:rPr>
                <w:rFonts w:hint="eastAsia"/>
                <w:lang w:val="zh-CN"/>
              </w:rPr>
              <w:t>根据《建设项目环境风险评价技术导则》（HJ 169-2018）要求，对有毒有害和易燃易爆危险物质存储量进行判定，项目涉及的风险物质主要为</w:t>
            </w:r>
            <w:r>
              <w:rPr>
                <w:rFonts w:hint="eastAsia"/>
                <w:kern w:val="0"/>
              </w:rPr>
              <w:t>乙醚、醋酸、</w:t>
            </w:r>
            <w:r>
              <w:rPr>
                <w:rFonts w:hint="eastAsia"/>
              </w:rPr>
              <w:t>次氯酸钠、氧化钙、</w:t>
            </w:r>
            <w:r>
              <w:t>废气、废水、</w:t>
            </w:r>
            <w:r>
              <w:rPr>
                <w:rFonts w:hint="eastAsia"/>
              </w:rPr>
              <w:t>固废等</w:t>
            </w:r>
            <w:r>
              <w:rPr>
                <w:rFonts w:hint="eastAsia"/>
                <w:lang w:val="zh-CN"/>
              </w:rPr>
              <w:t>，判定情况见下表。</w:t>
            </w:r>
          </w:p>
          <w:p>
            <w:pPr>
              <w:pStyle w:val="14"/>
            </w:pPr>
            <w:r>
              <w:rPr>
                <w:rFonts w:hint="eastAsia"/>
              </w:rPr>
              <w:t>表38   危险物质数量与临界量比值（Q）计算</w:t>
            </w:r>
          </w:p>
          <w:tbl>
            <w:tblPr>
              <w:tblStyle w:val="16"/>
              <w:tblW w:w="496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842"/>
              <w:gridCol w:w="2241"/>
              <w:gridCol w:w="1842"/>
              <w:gridCol w:w="1276"/>
              <w:gridCol w:w="1349"/>
              <w:gridCol w:w="126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478" w:type="pct"/>
                  <w:shd w:val="clear" w:color="auto" w:fill="auto"/>
                  <w:vAlign w:val="center"/>
                </w:tcPr>
                <w:p>
                  <w:pPr>
                    <w:pStyle w:val="28"/>
                    <w:spacing w:line="240" w:lineRule="auto"/>
                    <w:ind w:right="46" w:rightChars="19"/>
                    <w:rPr>
                      <w:szCs w:val="21"/>
                    </w:rPr>
                  </w:pPr>
                  <w:r>
                    <w:rPr>
                      <w:rFonts w:hint="eastAsia"/>
                      <w:szCs w:val="21"/>
                    </w:rPr>
                    <w:t>序号</w:t>
                  </w:r>
                </w:p>
              </w:tc>
              <w:tc>
                <w:tcPr>
                  <w:tcW w:w="1271" w:type="pct"/>
                  <w:shd w:val="clear" w:color="auto" w:fill="auto"/>
                  <w:vAlign w:val="center"/>
                </w:tcPr>
                <w:p>
                  <w:pPr>
                    <w:pStyle w:val="28"/>
                    <w:spacing w:line="240" w:lineRule="auto"/>
                    <w:ind w:right="46" w:rightChars="19"/>
                    <w:rPr>
                      <w:szCs w:val="21"/>
                    </w:rPr>
                  </w:pPr>
                  <w:r>
                    <w:rPr>
                      <w:rFonts w:hint="eastAsia"/>
                      <w:szCs w:val="21"/>
                    </w:rPr>
                    <w:t>危险物质名称</w:t>
                  </w:r>
                </w:p>
              </w:tc>
              <w:tc>
                <w:tcPr>
                  <w:tcW w:w="1045" w:type="pct"/>
                  <w:shd w:val="clear" w:color="auto" w:fill="auto"/>
                  <w:vAlign w:val="center"/>
                </w:tcPr>
                <w:p>
                  <w:pPr>
                    <w:pStyle w:val="28"/>
                    <w:spacing w:line="240" w:lineRule="auto"/>
                    <w:ind w:right="46" w:rightChars="19"/>
                    <w:rPr>
                      <w:szCs w:val="21"/>
                    </w:rPr>
                  </w:pPr>
                  <w:r>
                    <w:rPr>
                      <w:rFonts w:hint="eastAsia"/>
                      <w:szCs w:val="21"/>
                    </w:rPr>
                    <w:t>最大存在总量q</w:t>
                  </w:r>
                  <w:r>
                    <w:rPr>
                      <w:szCs w:val="21"/>
                      <w:vertAlign w:val="subscript"/>
                    </w:rPr>
                    <w:t>n</w:t>
                  </w:r>
                  <w:r>
                    <w:rPr>
                      <w:szCs w:val="21"/>
                    </w:rPr>
                    <w:t>/t</w:t>
                  </w:r>
                </w:p>
              </w:tc>
              <w:tc>
                <w:tcPr>
                  <w:tcW w:w="724" w:type="pct"/>
                  <w:shd w:val="clear" w:color="auto" w:fill="auto"/>
                  <w:vAlign w:val="center"/>
                </w:tcPr>
                <w:p>
                  <w:pPr>
                    <w:pStyle w:val="28"/>
                    <w:spacing w:line="240" w:lineRule="auto"/>
                    <w:ind w:right="46" w:rightChars="19"/>
                    <w:rPr>
                      <w:szCs w:val="21"/>
                    </w:rPr>
                  </w:pPr>
                  <w:r>
                    <w:rPr>
                      <w:rFonts w:hint="eastAsia"/>
                      <w:szCs w:val="21"/>
                    </w:rPr>
                    <w:t>临界量Q</w:t>
                  </w:r>
                  <w:r>
                    <w:rPr>
                      <w:szCs w:val="21"/>
                      <w:vertAlign w:val="subscript"/>
                    </w:rPr>
                    <w:t>n</w:t>
                  </w:r>
                  <w:r>
                    <w:rPr>
                      <w:szCs w:val="21"/>
                    </w:rPr>
                    <w:t>/t</w:t>
                  </w:r>
                </w:p>
              </w:tc>
              <w:tc>
                <w:tcPr>
                  <w:tcW w:w="765" w:type="pct"/>
                  <w:shd w:val="clear" w:color="auto" w:fill="auto"/>
                  <w:vAlign w:val="center"/>
                </w:tcPr>
                <w:p>
                  <w:pPr>
                    <w:pStyle w:val="28"/>
                    <w:spacing w:line="240" w:lineRule="auto"/>
                    <w:ind w:right="46" w:rightChars="19"/>
                    <w:rPr>
                      <w:szCs w:val="21"/>
                    </w:rPr>
                  </w:pPr>
                  <w:r>
                    <w:rPr>
                      <w:rFonts w:hint="eastAsia"/>
                      <w:szCs w:val="21"/>
                    </w:rPr>
                    <w:t>q</w:t>
                  </w:r>
                  <w:r>
                    <w:rPr>
                      <w:szCs w:val="21"/>
                    </w:rPr>
                    <w:t>/Q</w:t>
                  </w:r>
                  <w:r>
                    <w:rPr>
                      <w:rFonts w:hint="eastAsia"/>
                      <w:szCs w:val="21"/>
                    </w:rPr>
                    <w:t>值</w:t>
                  </w:r>
                </w:p>
              </w:tc>
              <w:tc>
                <w:tcPr>
                  <w:tcW w:w="717" w:type="pct"/>
                  <w:shd w:val="clear" w:color="auto" w:fill="auto"/>
                  <w:vAlign w:val="center"/>
                </w:tcPr>
                <w:p>
                  <w:pPr>
                    <w:pStyle w:val="28"/>
                    <w:spacing w:line="240" w:lineRule="auto"/>
                    <w:ind w:right="46" w:rightChars="19"/>
                    <w:rPr>
                      <w:szCs w:val="21"/>
                    </w:rPr>
                  </w:pPr>
                  <w:r>
                    <w:rPr>
                      <w:rFonts w:hint="eastAsia"/>
                      <w:szCs w:val="21"/>
                    </w:rPr>
                    <w:t>Q值划分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478" w:type="pct"/>
                  <w:shd w:val="clear" w:color="auto" w:fill="auto"/>
                  <w:vAlign w:val="center"/>
                </w:tcPr>
                <w:p>
                  <w:pPr>
                    <w:spacing w:line="240" w:lineRule="auto"/>
                    <w:ind w:firstLine="0" w:firstLineChars="0"/>
                    <w:jc w:val="center"/>
                    <w:rPr>
                      <w:rFonts w:ascii="宋体" w:hAnsi="宋体" w:cs="宋体"/>
                      <w:sz w:val="21"/>
                      <w:szCs w:val="21"/>
                    </w:rPr>
                  </w:pPr>
                  <w:r>
                    <w:rPr>
                      <w:rFonts w:hint="eastAsia"/>
                      <w:sz w:val="21"/>
                      <w:szCs w:val="21"/>
                    </w:rPr>
                    <w:t>1</w:t>
                  </w:r>
                </w:p>
              </w:tc>
              <w:tc>
                <w:tcPr>
                  <w:tcW w:w="1271" w:type="pct"/>
                  <w:shd w:val="clear" w:color="auto" w:fill="auto"/>
                  <w:vAlign w:val="center"/>
                </w:tcPr>
                <w:p>
                  <w:pPr>
                    <w:spacing w:line="240" w:lineRule="auto"/>
                    <w:ind w:firstLine="0" w:firstLineChars="0"/>
                    <w:jc w:val="center"/>
                    <w:rPr>
                      <w:sz w:val="21"/>
                      <w:szCs w:val="21"/>
                    </w:rPr>
                  </w:pPr>
                  <w:r>
                    <w:rPr>
                      <w:rFonts w:hint="eastAsia"/>
                      <w:sz w:val="21"/>
                      <w:szCs w:val="21"/>
                    </w:rPr>
                    <w:t>乙醚</w:t>
                  </w:r>
                </w:p>
              </w:tc>
              <w:tc>
                <w:tcPr>
                  <w:tcW w:w="1045" w:type="pct"/>
                  <w:shd w:val="clear" w:color="auto" w:fill="auto"/>
                  <w:vAlign w:val="center"/>
                </w:tcPr>
                <w:p>
                  <w:pPr>
                    <w:pStyle w:val="28"/>
                    <w:spacing w:line="240" w:lineRule="auto"/>
                    <w:ind w:right="46" w:rightChars="19"/>
                    <w:rPr>
                      <w:rFonts w:ascii="宋体" w:hAnsi="宋体" w:cs="宋体"/>
                      <w:szCs w:val="21"/>
                    </w:rPr>
                  </w:pPr>
                  <w:r>
                    <w:rPr>
                      <w:rFonts w:hint="eastAsia"/>
                      <w:szCs w:val="21"/>
                    </w:rPr>
                    <w:t>0.0004</w:t>
                  </w:r>
                </w:p>
              </w:tc>
              <w:tc>
                <w:tcPr>
                  <w:tcW w:w="724" w:type="pct"/>
                  <w:shd w:val="clear" w:color="auto" w:fill="auto"/>
                  <w:vAlign w:val="center"/>
                </w:tcPr>
                <w:p>
                  <w:pPr>
                    <w:pStyle w:val="28"/>
                    <w:spacing w:line="240" w:lineRule="auto"/>
                    <w:ind w:right="46" w:rightChars="19"/>
                    <w:rPr>
                      <w:szCs w:val="21"/>
                    </w:rPr>
                  </w:pPr>
                  <w:r>
                    <w:rPr>
                      <w:rFonts w:hint="eastAsia"/>
                      <w:szCs w:val="21"/>
                    </w:rPr>
                    <w:t>10</w:t>
                  </w:r>
                </w:p>
              </w:tc>
              <w:tc>
                <w:tcPr>
                  <w:tcW w:w="765" w:type="pct"/>
                  <w:shd w:val="clear" w:color="auto" w:fill="auto"/>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0.00004</w:t>
                  </w:r>
                </w:p>
              </w:tc>
              <w:tc>
                <w:tcPr>
                  <w:tcW w:w="717" w:type="pct"/>
                  <w:vMerge w:val="restart"/>
                  <w:shd w:val="clear" w:color="auto" w:fill="auto"/>
                  <w:vAlign w:val="center"/>
                </w:tcPr>
                <w:p>
                  <w:pPr>
                    <w:pStyle w:val="28"/>
                    <w:spacing w:line="240" w:lineRule="auto"/>
                    <w:ind w:right="46" w:rightChars="19"/>
                    <w:rPr>
                      <w:szCs w:val="21"/>
                    </w:rPr>
                  </w:pPr>
                  <w:r>
                    <w:rPr>
                      <w:szCs w:val="21"/>
                    </w:rPr>
                    <w:t>Q</w:t>
                  </w:r>
                  <w:r>
                    <w:rPr>
                      <w:rFonts w:hint="eastAsia"/>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478" w:type="pct"/>
                  <w:shd w:val="clear" w:color="auto" w:fill="auto"/>
                  <w:vAlign w:val="center"/>
                </w:tcPr>
                <w:p>
                  <w:pPr>
                    <w:spacing w:line="240" w:lineRule="auto"/>
                    <w:ind w:firstLine="0" w:firstLineChars="0"/>
                    <w:jc w:val="center"/>
                    <w:rPr>
                      <w:rFonts w:ascii="宋体" w:hAnsi="宋体" w:cs="宋体"/>
                      <w:sz w:val="21"/>
                      <w:szCs w:val="21"/>
                    </w:rPr>
                  </w:pPr>
                  <w:r>
                    <w:rPr>
                      <w:rFonts w:hint="eastAsia"/>
                      <w:sz w:val="21"/>
                      <w:szCs w:val="21"/>
                    </w:rPr>
                    <w:t>2</w:t>
                  </w:r>
                </w:p>
              </w:tc>
              <w:tc>
                <w:tcPr>
                  <w:tcW w:w="1271" w:type="pct"/>
                  <w:shd w:val="clear" w:color="auto" w:fill="auto"/>
                  <w:vAlign w:val="center"/>
                </w:tcPr>
                <w:p>
                  <w:pPr>
                    <w:pStyle w:val="28"/>
                    <w:spacing w:line="240" w:lineRule="auto"/>
                    <w:ind w:right="46" w:rightChars="19"/>
                    <w:rPr>
                      <w:szCs w:val="21"/>
                    </w:rPr>
                  </w:pPr>
                  <w:r>
                    <w:rPr>
                      <w:rFonts w:hint="eastAsia"/>
                      <w:szCs w:val="21"/>
                    </w:rPr>
                    <w:t>醋酸</w:t>
                  </w:r>
                </w:p>
              </w:tc>
              <w:tc>
                <w:tcPr>
                  <w:tcW w:w="1045" w:type="pct"/>
                  <w:shd w:val="clear" w:color="auto" w:fill="auto"/>
                  <w:vAlign w:val="center"/>
                </w:tcPr>
                <w:p>
                  <w:pPr>
                    <w:pStyle w:val="28"/>
                    <w:spacing w:line="240" w:lineRule="auto"/>
                    <w:ind w:right="46" w:rightChars="19"/>
                    <w:rPr>
                      <w:rFonts w:ascii="宋体" w:hAnsi="宋体" w:cs="宋体"/>
                      <w:szCs w:val="21"/>
                    </w:rPr>
                  </w:pPr>
                  <w:r>
                    <w:rPr>
                      <w:rFonts w:hint="eastAsia"/>
                      <w:szCs w:val="21"/>
                    </w:rPr>
                    <w:t>0.000524</w:t>
                  </w:r>
                </w:p>
              </w:tc>
              <w:tc>
                <w:tcPr>
                  <w:tcW w:w="724" w:type="pct"/>
                  <w:shd w:val="clear" w:color="auto" w:fill="auto"/>
                  <w:vAlign w:val="center"/>
                </w:tcPr>
                <w:p>
                  <w:pPr>
                    <w:pStyle w:val="28"/>
                    <w:spacing w:line="240" w:lineRule="auto"/>
                    <w:ind w:right="46" w:rightChars="19"/>
                    <w:rPr>
                      <w:szCs w:val="21"/>
                    </w:rPr>
                  </w:pPr>
                  <w:r>
                    <w:rPr>
                      <w:rFonts w:hint="eastAsia"/>
                      <w:szCs w:val="21"/>
                    </w:rPr>
                    <w:t>10</w:t>
                  </w:r>
                </w:p>
              </w:tc>
              <w:tc>
                <w:tcPr>
                  <w:tcW w:w="765" w:type="pct"/>
                  <w:shd w:val="clear" w:color="auto" w:fill="auto"/>
                  <w:vAlign w:val="center"/>
                </w:tcPr>
                <w:p>
                  <w:pPr>
                    <w:spacing w:line="240" w:lineRule="auto"/>
                    <w:ind w:firstLine="0" w:firstLineChars="0"/>
                    <w:jc w:val="center"/>
                    <w:rPr>
                      <w:rFonts w:ascii="宋体" w:hAnsi="宋体" w:cs="宋体"/>
                      <w:color w:val="000000"/>
                      <w:sz w:val="21"/>
                      <w:szCs w:val="21"/>
                      <w:vertAlign w:val="superscript"/>
                    </w:rPr>
                  </w:pPr>
                  <w:r>
                    <w:rPr>
                      <w:rFonts w:hint="eastAsia"/>
                      <w:color w:val="000000"/>
                      <w:sz w:val="21"/>
                      <w:szCs w:val="21"/>
                    </w:rPr>
                    <w:t>5.24×10</w:t>
                  </w:r>
                  <w:r>
                    <w:rPr>
                      <w:rFonts w:hint="eastAsia"/>
                      <w:color w:val="000000"/>
                      <w:sz w:val="21"/>
                      <w:szCs w:val="21"/>
                      <w:vertAlign w:val="superscript"/>
                    </w:rPr>
                    <w:t>-5</w:t>
                  </w:r>
                </w:p>
              </w:tc>
              <w:tc>
                <w:tcPr>
                  <w:tcW w:w="717" w:type="pct"/>
                  <w:vMerge w:val="continue"/>
                  <w:shd w:val="clear" w:color="auto" w:fill="auto"/>
                  <w:vAlign w:val="center"/>
                </w:tcPr>
                <w:p>
                  <w:pPr>
                    <w:pStyle w:val="28"/>
                    <w:spacing w:line="240" w:lineRule="auto"/>
                    <w:ind w:right="46" w:rightChars="19"/>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478" w:type="pct"/>
                  <w:shd w:val="clear" w:color="auto" w:fill="auto"/>
                  <w:vAlign w:val="center"/>
                </w:tcPr>
                <w:p>
                  <w:pPr>
                    <w:spacing w:line="240" w:lineRule="auto"/>
                    <w:ind w:firstLine="0" w:firstLineChars="0"/>
                    <w:jc w:val="center"/>
                    <w:rPr>
                      <w:rFonts w:ascii="宋体" w:hAnsi="宋体" w:cs="宋体"/>
                      <w:sz w:val="21"/>
                      <w:szCs w:val="21"/>
                    </w:rPr>
                  </w:pPr>
                  <w:r>
                    <w:rPr>
                      <w:rFonts w:hint="eastAsia"/>
                      <w:sz w:val="21"/>
                      <w:szCs w:val="21"/>
                    </w:rPr>
                    <w:t>3</w:t>
                  </w:r>
                </w:p>
              </w:tc>
              <w:tc>
                <w:tcPr>
                  <w:tcW w:w="1271" w:type="pct"/>
                  <w:shd w:val="clear" w:color="auto" w:fill="auto"/>
                  <w:vAlign w:val="center"/>
                </w:tcPr>
                <w:p>
                  <w:pPr>
                    <w:spacing w:line="240" w:lineRule="auto"/>
                    <w:ind w:firstLine="0" w:firstLineChars="0"/>
                    <w:jc w:val="center"/>
                    <w:rPr>
                      <w:sz w:val="21"/>
                      <w:szCs w:val="21"/>
                    </w:rPr>
                  </w:pPr>
                  <w:r>
                    <w:rPr>
                      <w:rFonts w:hint="eastAsia"/>
                      <w:sz w:val="21"/>
                      <w:szCs w:val="21"/>
                    </w:rPr>
                    <w:t>次氯酸钠</w:t>
                  </w:r>
                </w:p>
              </w:tc>
              <w:tc>
                <w:tcPr>
                  <w:tcW w:w="1045" w:type="pct"/>
                  <w:shd w:val="clear" w:color="auto" w:fill="auto"/>
                  <w:vAlign w:val="center"/>
                </w:tcPr>
                <w:p>
                  <w:pPr>
                    <w:pStyle w:val="28"/>
                    <w:spacing w:line="240" w:lineRule="auto"/>
                    <w:ind w:right="46" w:rightChars="19"/>
                    <w:rPr>
                      <w:rFonts w:ascii="宋体" w:hAnsi="宋体" w:cs="宋体"/>
                      <w:szCs w:val="21"/>
                    </w:rPr>
                  </w:pPr>
                  <w:r>
                    <w:rPr>
                      <w:rFonts w:hint="eastAsia"/>
                      <w:szCs w:val="21"/>
                    </w:rPr>
                    <w:t>0.025</w:t>
                  </w:r>
                </w:p>
              </w:tc>
              <w:tc>
                <w:tcPr>
                  <w:tcW w:w="724" w:type="pct"/>
                  <w:shd w:val="clear" w:color="auto" w:fill="auto"/>
                  <w:vAlign w:val="center"/>
                </w:tcPr>
                <w:p>
                  <w:pPr>
                    <w:pStyle w:val="28"/>
                    <w:spacing w:line="240" w:lineRule="auto"/>
                    <w:ind w:right="46" w:rightChars="19"/>
                    <w:rPr>
                      <w:szCs w:val="21"/>
                    </w:rPr>
                  </w:pPr>
                  <w:r>
                    <w:rPr>
                      <w:rFonts w:hint="eastAsia"/>
                      <w:szCs w:val="21"/>
                    </w:rPr>
                    <w:t>5</w:t>
                  </w:r>
                </w:p>
              </w:tc>
              <w:tc>
                <w:tcPr>
                  <w:tcW w:w="765" w:type="pct"/>
                  <w:shd w:val="clear" w:color="auto" w:fill="auto"/>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0.005</w:t>
                  </w:r>
                </w:p>
              </w:tc>
              <w:tc>
                <w:tcPr>
                  <w:tcW w:w="717" w:type="pct"/>
                  <w:vMerge w:val="continue"/>
                  <w:shd w:val="clear" w:color="auto" w:fill="auto"/>
                  <w:vAlign w:val="center"/>
                </w:tcPr>
                <w:p>
                  <w:pPr>
                    <w:pStyle w:val="28"/>
                    <w:spacing w:line="240" w:lineRule="auto"/>
                    <w:ind w:right="46" w:rightChars="19"/>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478" w:type="pct"/>
                  <w:shd w:val="clear" w:color="auto" w:fill="auto"/>
                  <w:vAlign w:val="center"/>
                </w:tcPr>
                <w:p>
                  <w:pPr>
                    <w:spacing w:line="240" w:lineRule="auto"/>
                    <w:ind w:firstLine="0" w:firstLineChars="0"/>
                    <w:jc w:val="center"/>
                    <w:rPr>
                      <w:rFonts w:ascii="宋体" w:hAnsi="宋体" w:cs="宋体"/>
                      <w:sz w:val="21"/>
                      <w:szCs w:val="21"/>
                    </w:rPr>
                  </w:pPr>
                  <w:r>
                    <w:rPr>
                      <w:rFonts w:hint="eastAsia"/>
                      <w:sz w:val="21"/>
                      <w:szCs w:val="21"/>
                    </w:rPr>
                    <w:t>4</w:t>
                  </w:r>
                </w:p>
              </w:tc>
              <w:tc>
                <w:tcPr>
                  <w:tcW w:w="1271" w:type="pct"/>
                  <w:shd w:val="clear" w:color="auto" w:fill="auto"/>
                  <w:vAlign w:val="center"/>
                </w:tcPr>
                <w:p>
                  <w:pPr>
                    <w:spacing w:line="240" w:lineRule="auto"/>
                    <w:ind w:firstLine="0" w:firstLineChars="0"/>
                    <w:jc w:val="center"/>
                    <w:rPr>
                      <w:sz w:val="21"/>
                      <w:szCs w:val="21"/>
                    </w:rPr>
                  </w:pPr>
                  <w:r>
                    <w:rPr>
                      <w:rFonts w:hint="eastAsia"/>
                      <w:sz w:val="21"/>
                      <w:szCs w:val="21"/>
                    </w:rPr>
                    <w:t>氧化钙</w:t>
                  </w:r>
                </w:p>
              </w:tc>
              <w:tc>
                <w:tcPr>
                  <w:tcW w:w="1045" w:type="pct"/>
                  <w:shd w:val="clear" w:color="auto" w:fill="auto"/>
                  <w:vAlign w:val="center"/>
                </w:tcPr>
                <w:p>
                  <w:pPr>
                    <w:spacing w:line="240" w:lineRule="auto"/>
                    <w:ind w:firstLine="0" w:firstLineChars="0"/>
                    <w:jc w:val="center"/>
                    <w:rPr>
                      <w:rFonts w:ascii="宋体" w:hAnsi="宋体" w:cs="宋体"/>
                      <w:sz w:val="21"/>
                      <w:szCs w:val="21"/>
                    </w:rPr>
                  </w:pPr>
                  <w:r>
                    <w:rPr>
                      <w:rFonts w:hint="eastAsia"/>
                      <w:sz w:val="21"/>
                      <w:szCs w:val="21"/>
                    </w:rPr>
                    <w:t>0.025</w:t>
                  </w:r>
                </w:p>
              </w:tc>
              <w:tc>
                <w:tcPr>
                  <w:tcW w:w="724" w:type="pct"/>
                  <w:shd w:val="clear" w:color="auto" w:fill="auto"/>
                  <w:vAlign w:val="center"/>
                </w:tcPr>
                <w:p>
                  <w:pPr>
                    <w:pStyle w:val="28"/>
                    <w:spacing w:line="240" w:lineRule="auto"/>
                    <w:ind w:right="46" w:rightChars="19"/>
                    <w:rPr>
                      <w:szCs w:val="21"/>
                    </w:rPr>
                  </w:pPr>
                  <w:r>
                    <w:rPr>
                      <w:rFonts w:hint="eastAsia"/>
                      <w:szCs w:val="21"/>
                    </w:rPr>
                    <w:t>50</w:t>
                  </w:r>
                </w:p>
              </w:tc>
              <w:tc>
                <w:tcPr>
                  <w:tcW w:w="765" w:type="pct"/>
                  <w:shd w:val="clear" w:color="auto" w:fill="auto"/>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0.0005</w:t>
                  </w:r>
                </w:p>
              </w:tc>
              <w:tc>
                <w:tcPr>
                  <w:tcW w:w="717" w:type="pct"/>
                  <w:vMerge w:val="continue"/>
                  <w:shd w:val="clear" w:color="auto" w:fill="auto"/>
                  <w:vAlign w:val="center"/>
                </w:tcPr>
                <w:p>
                  <w:pPr>
                    <w:pStyle w:val="28"/>
                    <w:spacing w:line="240" w:lineRule="auto"/>
                    <w:ind w:right="46" w:rightChars="19"/>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478" w:type="pct"/>
                  <w:shd w:val="clear" w:color="auto" w:fill="auto"/>
                  <w:vAlign w:val="center"/>
                </w:tcPr>
                <w:p>
                  <w:pPr>
                    <w:spacing w:line="240" w:lineRule="auto"/>
                    <w:ind w:firstLine="0" w:firstLineChars="0"/>
                    <w:jc w:val="center"/>
                    <w:rPr>
                      <w:rFonts w:ascii="宋体" w:hAnsi="宋体" w:cs="宋体"/>
                      <w:sz w:val="21"/>
                      <w:szCs w:val="21"/>
                    </w:rPr>
                  </w:pPr>
                  <w:r>
                    <w:rPr>
                      <w:rFonts w:hint="eastAsia"/>
                      <w:sz w:val="21"/>
                      <w:szCs w:val="21"/>
                    </w:rPr>
                    <w:t>5</w:t>
                  </w:r>
                </w:p>
              </w:tc>
              <w:tc>
                <w:tcPr>
                  <w:tcW w:w="1271" w:type="pct"/>
                  <w:shd w:val="clear" w:color="auto" w:fill="auto"/>
                  <w:vAlign w:val="center"/>
                </w:tcPr>
                <w:p>
                  <w:pPr>
                    <w:spacing w:line="240" w:lineRule="auto"/>
                    <w:ind w:firstLine="0" w:firstLineChars="0"/>
                    <w:jc w:val="center"/>
                    <w:rPr>
                      <w:sz w:val="21"/>
                      <w:szCs w:val="21"/>
                    </w:rPr>
                  </w:pPr>
                  <w:r>
                    <w:rPr>
                      <w:rFonts w:hint="eastAsia"/>
                      <w:sz w:val="21"/>
                      <w:szCs w:val="21"/>
                    </w:rPr>
                    <w:t>医疗废物</w:t>
                  </w:r>
                </w:p>
              </w:tc>
              <w:tc>
                <w:tcPr>
                  <w:tcW w:w="1045" w:type="pct"/>
                  <w:shd w:val="clear" w:color="auto" w:fill="auto"/>
                  <w:vAlign w:val="center"/>
                </w:tcPr>
                <w:p>
                  <w:pPr>
                    <w:pStyle w:val="28"/>
                    <w:spacing w:line="240" w:lineRule="auto"/>
                    <w:ind w:right="46" w:rightChars="19"/>
                    <w:rPr>
                      <w:szCs w:val="21"/>
                    </w:rPr>
                  </w:pPr>
                  <w:r>
                    <w:rPr>
                      <w:rFonts w:hint="eastAsia"/>
                      <w:szCs w:val="21"/>
                    </w:rPr>
                    <w:t>0.042</w:t>
                  </w:r>
                </w:p>
              </w:tc>
              <w:tc>
                <w:tcPr>
                  <w:tcW w:w="724" w:type="pct"/>
                  <w:shd w:val="clear" w:color="auto" w:fill="auto"/>
                  <w:vAlign w:val="center"/>
                </w:tcPr>
                <w:p>
                  <w:pPr>
                    <w:pStyle w:val="28"/>
                    <w:spacing w:line="240" w:lineRule="auto"/>
                    <w:ind w:right="46" w:rightChars="19"/>
                    <w:rPr>
                      <w:szCs w:val="21"/>
                    </w:rPr>
                  </w:pPr>
                  <w:r>
                    <w:rPr>
                      <w:rFonts w:hint="eastAsia"/>
                      <w:szCs w:val="21"/>
                    </w:rPr>
                    <w:t>50</w:t>
                  </w:r>
                </w:p>
              </w:tc>
              <w:tc>
                <w:tcPr>
                  <w:tcW w:w="765" w:type="pct"/>
                  <w:shd w:val="clear" w:color="auto" w:fill="auto"/>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0.00084</w:t>
                  </w:r>
                </w:p>
              </w:tc>
              <w:tc>
                <w:tcPr>
                  <w:tcW w:w="717" w:type="pct"/>
                  <w:vMerge w:val="continue"/>
                  <w:shd w:val="clear" w:color="auto" w:fill="auto"/>
                  <w:vAlign w:val="center"/>
                </w:tcPr>
                <w:p>
                  <w:pPr>
                    <w:pStyle w:val="28"/>
                    <w:spacing w:line="240" w:lineRule="auto"/>
                    <w:ind w:right="46" w:rightChars="19"/>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478" w:type="pct"/>
                  <w:shd w:val="clear" w:color="auto" w:fill="auto"/>
                  <w:vAlign w:val="center"/>
                </w:tcPr>
                <w:p>
                  <w:pPr>
                    <w:spacing w:line="240" w:lineRule="auto"/>
                    <w:ind w:firstLine="0" w:firstLineChars="0"/>
                    <w:jc w:val="center"/>
                    <w:rPr>
                      <w:rFonts w:ascii="宋体" w:hAnsi="宋体" w:cs="宋体"/>
                      <w:sz w:val="21"/>
                      <w:szCs w:val="21"/>
                    </w:rPr>
                  </w:pPr>
                  <w:r>
                    <w:rPr>
                      <w:rFonts w:hint="eastAsia"/>
                      <w:sz w:val="21"/>
                      <w:szCs w:val="21"/>
                    </w:rPr>
                    <w:t>6</w:t>
                  </w:r>
                </w:p>
              </w:tc>
              <w:tc>
                <w:tcPr>
                  <w:tcW w:w="1271" w:type="pct"/>
                  <w:shd w:val="clear" w:color="auto" w:fill="auto"/>
                  <w:vAlign w:val="center"/>
                </w:tcPr>
                <w:p>
                  <w:pPr>
                    <w:spacing w:line="240" w:lineRule="auto"/>
                    <w:ind w:firstLine="0" w:firstLineChars="0"/>
                    <w:jc w:val="center"/>
                    <w:rPr>
                      <w:sz w:val="21"/>
                      <w:szCs w:val="21"/>
                    </w:rPr>
                  </w:pPr>
                  <w:r>
                    <w:rPr>
                      <w:rFonts w:hint="eastAsia"/>
                      <w:sz w:val="21"/>
                      <w:szCs w:val="21"/>
                    </w:rPr>
                    <w:t>污泥、栅渣</w:t>
                  </w:r>
                </w:p>
              </w:tc>
              <w:tc>
                <w:tcPr>
                  <w:tcW w:w="1045" w:type="pct"/>
                  <w:shd w:val="clear" w:color="auto" w:fill="auto"/>
                  <w:vAlign w:val="center"/>
                </w:tcPr>
                <w:p>
                  <w:pPr>
                    <w:pStyle w:val="28"/>
                    <w:spacing w:line="240" w:lineRule="auto"/>
                    <w:ind w:right="46" w:rightChars="19"/>
                    <w:rPr>
                      <w:szCs w:val="21"/>
                    </w:rPr>
                  </w:pPr>
                  <w:r>
                    <w:rPr>
                      <w:rFonts w:hint="eastAsia"/>
                      <w:szCs w:val="21"/>
                    </w:rPr>
                    <w:t>0.075</w:t>
                  </w:r>
                </w:p>
              </w:tc>
              <w:tc>
                <w:tcPr>
                  <w:tcW w:w="724" w:type="pct"/>
                  <w:shd w:val="clear" w:color="auto" w:fill="auto"/>
                  <w:vAlign w:val="center"/>
                </w:tcPr>
                <w:p>
                  <w:pPr>
                    <w:pStyle w:val="28"/>
                    <w:spacing w:line="240" w:lineRule="auto"/>
                    <w:ind w:right="46" w:rightChars="19"/>
                    <w:rPr>
                      <w:szCs w:val="21"/>
                    </w:rPr>
                  </w:pPr>
                  <w:r>
                    <w:rPr>
                      <w:rFonts w:hint="eastAsia"/>
                      <w:szCs w:val="21"/>
                    </w:rPr>
                    <w:t>50</w:t>
                  </w:r>
                </w:p>
              </w:tc>
              <w:tc>
                <w:tcPr>
                  <w:tcW w:w="765" w:type="pct"/>
                  <w:shd w:val="clear" w:color="auto" w:fill="auto"/>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0.0015</w:t>
                  </w:r>
                </w:p>
              </w:tc>
              <w:tc>
                <w:tcPr>
                  <w:tcW w:w="717" w:type="pct"/>
                  <w:vMerge w:val="continue"/>
                  <w:shd w:val="clear" w:color="auto" w:fill="auto"/>
                  <w:vAlign w:val="center"/>
                </w:tcPr>
                <w:p>
                  <w:pPr>
                    <w:pStyle w:val="28"/>
                    <w:spacing w:line="240" w:lineRule="auto"/>
                    <w:ind w:right="46" w:rightChars="19"/>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478" w:type="pct"/>
                  <w:shd w:val="clear" w:color="auto" w:fill="auto"/>
                  <w:vAlign w:val="center"/>
                </w:tcPr>
                <w:p>
                  <w:pPr>
                    <w:spacing w:line="240" w:lineRule="auto"/>
                    <w:ind w:firstLine="0" w:firstLineChars="0"/>
                    <w:jc w:val="center"/>
                    <w:rPr>
                      <w:rFonts w:ascii="宋体" w:hAnsi="宋体" w:cs="宋体"/>
                      <w:sz w:val="21"/>
                      <w:szCs w:val="21"/>
                    </w:rPr>
                  </w:pPr>
                  <w:r>
                    <w:rPr>
                      <w:rFonts w:hint="eastAsia"/>
                      <w:sz w:val="21"/>
                      <w:szCs w:val="21"/>
                    </w:rPr>
                    <w:t>7</w:t>
                  </w:r>
                </w:p>
              </w:tc>
              <w:tc>
                <w:tcPr>
                  <w:tcW w:w="1271" w:type="pct"/>
                  <w:shd w:val="clear" w:color="auto" w:fill="auto"/>
                  <w:vAlign w:val="center"/>
                </w:tcPr>
                <w:p>
                  <w:pPr>
                    <w:pStyle w:val="28"/>
                    <w:spacing w:line="240" w:lineRule="auto"/>
                    <w:ind w:right="46" w:rightChars="19"/>
                    <w:rPr>
                      <w:szCs w:val="21"/>
                    </w:rPr>
                  </w:pPr>
                  <w:r>
                    <w:rPr>
                      <w:rFonts w:hint="eastAsia"/>
                      <w:szCs w:val="21"/>
                    </w:rPr>
                    <w:t>在线检测废液</w:t>
                  </w:r>
                </w:p>
              </w:tc>
              <w:tc>
                <w:tcPr>
                  <w:tcW w:w="1045" w:type="pct"/>
                  <w:shd w:val="clear" w:color="auto" w:fill="auto"/>
                  <w:vAlign w:val="center"/>
                </w:tcPr>
                <w:p>
                  <w:pPr>
                    <w:pStyle w:val="28"/>
                    <w:spacing w:line="240" w:lineRule="auto"/>
                    <w:ind w:right="46" w:rightChars="19"/>
                    <w:rPr>
                      <w:szCs w:val="21"/>
                    </w:rPr>
                  </w:pPr>
                  <w:r>
                    <w:rPr>
                      <w:rFonts w:hint="eastAsia"/>
                      <w:szCs w:val="21"/>
                    </w:rPr>
                    <w:t>0.1</w:t>
                  </w:r>
                </w:p>
              </w:tc>
              <w:tc>
                <w:tcPr>
                  <w:tcW w:w="724" w:type="pct"/>
                  <w:shd w:val="clear" w:color="auto" w:fill="auto"/>
                  <w:vAlign w:val="center"/>
                </w:tcPr>
                <w:p>
                  <w:pPr>
                    <w:pStyle w:val="28"/>
                    <w:spacing w:line="240" w:lineRule="auto"/>
                    <w:ind w:right="46" w:rightChars="19"/>
                    <w:rPr>
                      <w:szCs w:val="21"/>
                    </w:rPr>
                  </w:pPr>
                  <w:r>
                    <w:rPr>
                      <w:rFonts w:hint="eastAsia"/>
                      <w:szCs w:val="21"/>
                    </w:rPr>
                    <w:t>50</w:t>
                  </w:r>
                </w:p>
              </w:tc>
              <w:tc>
                <w:tcPr>
                  <w:tcW w:w="765" w:type="pct"/>
                  <w:shd w:val="clear" w:color="auto" w:fill="auto"/>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0.002</w:t>
                  </w:r>
                </w:p>
              </w:tc>
              <w:tc>
                <w:tcPr>
                  <w:tcW w:w="717" w:type="pct"/>
                  <w:vMerge w:val="continue"/>
                  <w:shd w:val="clear" w:color="auto" w:fill="auto"/>
                  <w:vAlign w:val="center"/>
                </w:tcPr>
                <w:p>
                  <w:pPr>
                    <w:pStyle w:val="28"/>
                    <w:spacing w:line="240" w:lineRule="auto"/>
                    <w:ind w:right="46" w:rightChars="19"/>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478" w:type="pct"/>
                  <w:shd w:val="clear" w:color="auto" w:fill="auto"/>
                  <w:vAlign w:val="center"/>
                </w:tcPr>
                <w:p>
                  <w:pPr>
                    <w:spacing w:line="240" w:lineRule="auto"/>
                    <w:ind w:firstLine="0" w:firstLineChars="0"/>
                    <w:jc w:val="center"/>
                    <w:rPr>
                      <w:rFonts w:ascii="宋体" w:hAnsi="宋体" w:cs="宋体"/>
                      <w:sz w:val="21"/>
                      <w:szCs w:val="21"/>
                    </w:rPr>
                  </w:pPr>
                  <w:r>
                    <w:rPr>
                      <w:rFonts w:hint="eastAsia"/>
                      <w:sz w:val="21"/>
                      <w:szCs w:val="21"/>
                    </w:rPr>
                    <w:t>8</w:t>
                  </w:r>
                </w:p>
              </w:tc>
              <w:tc>
                <w:tcPr>
                  <w:tcW w:w="1271" w:type="pct"/>
                  <w:shd w:val="clear" w:color="auto" w:fill="auto"/>
                  <w:vAlign w:val="center"/>
                </w:tcPr>
                <w:p>
                  <w:pPr>
                    <w:pStyle w:val="28"/>
                    <w:spacing w:line="240" w:lineRule="auto"/>
                    <w:ind w:right="46" w:rightChars="19"/>
                    <w:rPr>
                      <w:szCs w:val="21"/>
                    </w:rPr>
                  </w:pPr>
                  <w:r>
                    <w:rPr>
                      <w:rFonts w:hint="eastAsia"/>
                      <w:szCs w:val="21"/>
                    </w:rPr>
                    <w:t>废活性炭</w:t>
                  </w:r>
                </w:p>
              </w:tc>
              <w:tc>
                <w:tcPr>
                  <w:tcW w:w="1045" w:type="pct"/>
                  <w:shd w:val="clear" w:color="auto" w:fill="auto"/>
                  <w:vAlign w:val="center"/>
                </w:tcPr>
                <w:p>
                  <w:pPr>
                    <w:pStyle w:val="28"/>
                    <w:spacing w:line="240" w:lineRule="auto"/>
                    <w:ind w:right="46" w:rightChars="19"/>
                    <w:rPr>
                      <w:szCs w:val="21"/>
                    </w:rPr>
                  </w:pPr>
                  <w:r>
                    <w:rPr>
                      <w:rFonts w:hint="eastAsia"/>
                      <w:szCs w:val="21"/>
                    </w:rPr>
                    <w:t>0.715</w:t>
                  </w:r>
                </w:p>
              </w:tc>
              <w:tc>
                <w:tcPr>
                  <w:tcW w:w="724" w:type="pct"/>
                  <w:shd w:val="clear" w:color="auto" w:fill="auto"/>
                  <w:vAlign w:val="center"/>
                </w:tcPr>
                <w:p>
                  <w:pPr>
                    <w:pStyle w:val="28"/>
                    <w:spacing w:line="240" w:lineRule="auto"/>
                    <w:ind w:right="46" w:rightChars="19"/>
                    <w:rPr>
                      <w:szCs w:val="21"/>
                    </w:rPr>
                  </w:pPr>
                  <w:r>
                    <w:rPr>
                      <w:rFonts w:hint="eastAsia"/>
                      <w:szCs w:val="21"/>
                    </w:rPr>
                    <w:t>50</w:t>
                  </w:r>
                </w:p>
              </w:tc>
              <w:tc>
                <w:tcPr>
                  <w:tcW w:w="765" w:type="pct"/>
                  <w:shd w:val="clear" w:color="auto" w:fill="auto"/>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0.0143</w:t>
                  </w:r>
                </w:p>
              </w:tc>
              <w:tc>
                <w:tcPr>
                  <w:tcW w:w="717" w:type="pct"/>
                  <w:vMerge w:val="continue"/>
                  <w:shd w:val="clear" w:color="auto" w:fill="auto"/>
                  <w:vAlign w:val="center"/>
                </w:tcPr>
                <w:p>
                  <w:pPr>
                    <w:pStyle w:val="28"/>
                    <w:spacing w:line="240" w:lineRule="auto"/>
                    <w:ind w:right="46" w:rightChars="19"/>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478" w:type="pct"/>
                  <w:shd w:val="clear" w:color="auto" w:fill="auto"/>
                  <w:vAlign w:val="center"/>
                </w:tcPr>
                <w:p>
                  <w:pPr>
                    <w:spacing w:line="240" w:lineRule="auto"/>
                    <w:ind w:firstLine="0" w:firstLineChars="0"/>
                    <w:jc w:val="center"/>
                    <w:rPr>
                      <w:rFonts w:ascii="宋体" w:hAnsi="宋体" w:cs="宋体"/>
                      <w:sz w:val="21"/>
                      <w:szCs w:val="21"/>
                    </w:rPr>
                  </w:pPr>
                  <w:r>
                    <w:rPr>
                      <w:rFonts w:hint="eastAsia" w:ascii="宋体" w:hAnsi="宋体" w:cs="宋体"/>
                      <w:sz w:val="21"/>
                      <w:szCs w:val="21"/>
                    </w:rPr>
                    <w:t>9</w:t>
                  </w:r>
                </w:p>
              </w:tc>
              <w:tc>
                <w:tcPr>
                  <w:tcW w:w="1271" w:type="pct"/>
                  <w:shd w:val="clear" w:color="auto" w:fill="auto"/>
                  <w:vAlign w:val="center"/>
                </w:tcPr>
                <w:p>
                  <w:pPr>
                    <w:pStyle w:val="28"/>
                    <w:spacing w:line="240" w:lineRule="auto"/>
                    <w:ind w:right="46" w:rightChars="19"/>
                    <w:jc w:val="left"/>
                    <w:rPr>
                      <w:szCs w:val="21"/>
                    </w:rPr>
                  </w:pPr>
                  <w:r>
                    <w:rPr>
                      <w:rFonts w:hint="eastAsia"/>
                      <w:szCs w:val="21"/>
                    </w:rPr>
                    <w:t>次氯酸钠、乙醚、醋酸等废包装</w:t>
                  </w:r>
                </w:p>
              </w:tc>
              <w:tc>
                <w:tcPr>
                  <w:tcW w:w="1045" w:type="pct"/>
                  <w:shd w:val="clear" w:color="auto" w:fill="auto"/>
                  <w:vAlign w:val="center"/>
                </w:tcPr>
                <w:p>
                  <w:pPr>
                    <w:pStyle w:val="28"/>
                    <w:spacing w:line="240" w:lineRule="auto"/>
                    <w:ind w:right="46" w:rightChars="19"/>
                    <w:rPr>
                      <w:szCs w:val="21"/>
                    </w:rPr>
                  </w:pPr>
                  <w:r>
                    <w:rPr>
                      <w:rFonts w:hint="eastAsia"/>
                      <w:szCs w:val="21"/>
                    </w:rPr>
                    <w:t>0.001</w:t>
                  </w:r>
                </w:p>
              </w:tc>
              <w:tc>
                <w:tcPr>
                  <w:tcW w:w="724" w:type="pct"/>
                  <w:shd w:val="clear" w:color="auto" w:fill="auto"/>
                  <w:vAlign w:val="center"/>
                </w:tcPr>
                <w:p>
                  <w:pPr>
                    <w:pStyle w:val="28"/>
                    <w:spacing w:line="240" w:lineRule="auto"/>
                    <w:ind w:right="46" w:rightChars="19"/>
                    <w:rPr>
                      <w:szCs w:val="21"/>
                    </w:rPr>
                  </w:pPr>
                  <w:r>
                    <w:rPr>
                      <w:rFonts w:hint="eastAsia"/>
                      <w:szCs w:val="21"/>
                    </w:rPr>
                    <w:t>50</w:t>
                  </w:r>
                </w:p>
              </w:tc>
              <w:tc>
                <w:tcPr>
                  <w:tcW w:w="765" w:type="pct"/>
                  <w:shd w:val="clear" w:color="auto" w:fill="auto"/>
                  <w:vAlign w:val="center"/>
                </w:tcPr>
                <w:p>
                  <w:pPr>
                    <w:spacing w:line="240" w:lineRule="auto"/>
                    <w:ind w:firstLine="0" w:firstLineChars="0"/>
                    <w:jc w:val="center"/>
                    <w:rPr>
                      <w:rFonts w:ascii="宋体" w:hAnsi="宋体" w:cs="宋体"/>
                      <w:color w:val="000000"/>
                      <w:sz w:val="21"/>
                      <w:szCs w:val="21"/>
                    </w:rPr>
                  </w:pPr>
                  <w:r>
                    <w:rPr>
                      <w:rFonts w:hint="eastAsia"/>
                      <w:color w:val="000000"/>
                      <w:sz w:val="21"/>
                      <w:szCs w:val="21"/>
                    </w:rPr>
                    <w:t>0.00002</w:t>
                  </w:r>
                </w:p>
              </w:tc>
              <w:tc>
                <w:tcPr>
                  <w:tcW w:w="717" w:type="pct"/>
                  <w:vMerge w:val="continue"/>
                  <w:shd w:val="clear" w:color="auto" w:fill="auto"/>
                  <w:vAlign w:val="center"/>
                </w:tcPr>
                <w:p>
                  <w:pPr>
                    <w:pStyle w:val="28"/>
                    <w:spacing w:line="240" w:lineRule="auto"/>
                    <w:ind w:right="46" w:rightChars="19"/>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3518" w:type="pct"/>
                  <w:gridSpan w:val="4"/>
                  <w:shd w:val="clear" w:color="auto" w:fill="auto"/>
                </w:tcPr>
                <w:p>
                  <w:pPr>
                    <w:pStyle w:val="28"/>
                    <w:spacing w:line="240" w:lineRule="auto"/>
                    <w:ind w:right="46" w:rightChars="19"/>
                    <w:rPr>
                      <w:szCs w:val="21"/>
                    </w:rPr>
                  </w:pPr>
                  <w:r>
                    <w:rPr>
                      <w:rFonts w:hint="eastAsia"/>
                      <w:szCs w:val="21"/>
                    </w:rPr>
                    <w:t>项目Q值</w:t>
                  </w:r>
                  <w:r>
                    <w:rPr>
                      <w:szCs w:val="21"/>
                    </w:rPr>
                    <w:t>∑</w:t>
                  </w:r>
                </w:p>
              </w:tc>
              <w:tc>
                <w:tcPr>
                  <w:tcW w:w="765" w:type="pct"/>
                  <w:shd w:val="clear" w:color="auto" w:fill="auto"/>
                  <w:vAlign w:val="center"/>
                </w:tcPr>
                <w:p>
                  <w:pPr>
                    <w:pStyle w:val="28"/>
                    <w:spacing w:line="240" w:lineRule="auto"/>
                    <w:ind w:right="46" w:rightChars="19"/>
                    <w:rPr>
                      <w:szCs w:val="21"/>
                    </w:rPr>
                  </w:pPr>
                  <w:r>
                    <w:rPr>
                      <w:szCs w:val="21"/>
                    </w:rPr>
                    <w:t>0.0</w:t>
                  </w:r>
                  <w:r>
                    <w:rPr>
                      <w:rFonts w:hint="eastAsia"/>
                      <w:szCs w:val="21"/>
                    </w:rPr>
                    <w:t>24252</w:t>
                  </w:r>
                </w:p>
              </w:tc>
              <w:tc>
                <w:tcPr>
                  <w:tcW w:w="717" w:type="pct"/>
                  <w:vMerge w:val="continue"/>
                  <w:shd w:val="clear" w:color="auto" w:fill="auto"/>
                  <w:vAlign w:val="center"/>
                </w:tcPr>
                <w:p>
                  <w:pPr>
                    <w:pStyle w:val="28"/>
                    <w:spacing w:line="240" w:lineRule="auto"/>
                    <w:ind w:right="46" w:rightChars="19"/>
                    <w:rPr>
                      <w:szCs w:val="21"/>
                    </w:rPr>
                  </w:pPr>
                </w:p>
              </w:tc>
            </w:tr>
          </w:tbl>
          <w:p>
            <w:pPr>
              <w:spacing w:line="240" w:lineRule="auto"/>
              <w:ind w:left="120" w:leftChars="50" w:right="120" w:rightChars="50" w:firstLine="0" w:firstLineChars="0"/>
              <w:jc w:val="left"/>
              <w:rPr>
                <w:sz w:val="18"/>
                <w:szCs w:val="18"/>
              </w:rPr>
            </w:pPr>
            <w:r>
              <w:rPr>
                <w:rFonts w:hint="eastAsia"/>
                <w:sz w:val="18"/>
                <w:szCs w:val="18"/>
              </w:rPr>
              <w:t>氧化钙对照《建设项目环境风险评价技术导则》（HJ169-2018）附录B中健康危险急性毒性物质（类别2，类别3）的临界量为50；危险废物对照（HJ169-2018）附录B中健康危险急性毒性物质（类别2，类别3）的临界量为50。</w:t>
            </w:r>
          </w:p>
          <w:p>
            <w:pPr>
              <w:ind w:left="120" w:leftChars="50" w:right="120" w:rightChars="50" w:firstLine="480"/>
              <w:jc w:val="left"/>
            </w:pPr>
            <w:r>
              <w:rPr>
                <w:rFonts w:hint="eastAsia"/>
              </w:rPr>
              <w:t>由上表可知，Q=0.024232＜1，根据《建设项目环境影响报告表编制技术指南（污染影响类）（试行）》要求，项目无需开展环境风险专项评价，应明确有毒有害和易燃易爆等危险物质和风险源分布情况及可能影响途径，并提出相应环境风险防范措施。</w:t>
            </w:r>
          </w:p>
          <w:p>
            <w:pPr>
              <w:ind w:left="120" w:leftChars="50" w:right="120" w:rightChars="50" w:firstLine="480"/>
              <w:jc w:val="left"/>
            </w:pPr>
            <w:r>
              <w:rPr>
                <w:rFonts w:hint="eastAsia"/>
              </w:rPr>
              <w:t>（2）风险源分布情况</w:t>
            </w:r>
          </w:p>
          <w:p>
            <w:pPr>
              <w:ind w:left="120" w:leftChars="50" w:right="120" w:rightChars="50" w:firstLine="480"/>
              <w:jc w:val="left"/>
            </w:pPr>
            <w:r>
              <w:rPr>
                <w:rFonts w:hint="eastAsia"/>
              </w:rPr>
              <w:t>医院占地较小，使用试剂主要分布于药房及污水处理站、</w:t>
            </w:r>
            <w:r>
              <w:rPr>
                <w:rFonts w:hint="eastAsia"/>
                <w:szCs w:val="21"/>
              </w:rPr>
              <w:t>危险废物暂存于医疗废物暂存间和危废暂存间。</w:t>
            </w:r>
          </w:p>
          <w:p>
            <w:pPr>
              <w:ind w:left="120" w:leftChars="50" w:right="120" w:rightChars="50" w:firstLine="480"/>
              <w:jc w:val="left"/>
            </w:pPr>
            <w:r>
              <w:rPr>
                <w:rFonts w:hint="eastAsia"/>
              </w:rPr>
              <w:t>（3）可能影响途径</w:t>
            </w:r>
          </w:p>
          <w:p>
            <w:pPr>
              <w:ind w:left="120" w:leftChars="50" w:right="120" w:rightChars="50" w:firstLine="480"/>
              <w:jc w:val="left"/>
            </w:pPr>
            <w:r>
              <w:rPr>
                <w:rFonts w:hint="eastAsia"/>
              </w:rPr>
              <w:t>当存放次氯酸钠溶液的容器、乙醚、醋酸的容器发生泄漏、遇明火引发火灾会对周边区域大气环境、地下水等造成一定影响；但由于储存量较小，且为单独存放，可最大程度避免大面积泄漏，因此，发生风险后一般泄漏量较小，持续时间较短，不会对周围居民及大气环境、地下水环境等产生严重影响。</w:t>
            </w:r>
          </w:p>
          <w:p>
            <w:pPr>
              <w:ind w:left="120" w:leftChars="50" w:right="120" w:rightChars="50" w:firstLine="480"/>
              <w:jc w:val="left"/>
            </w:pPr>
            <w:r>
              <w:rPr>
                <w:rFonts w:hint="eastAsia"/>
              </w:rPr>
              <w:t>危险废物和医疗废物发生遗撒事故，由于医疗废物及危险废物储存量较小，且医疗废物暂存间和危废暂存间地面进行重点防渗，发生医疗废物及危险废物遗撒事故时及时进行清扫收集，不会对周围环境产生影响。</w:t>
            </w:r>
          </w:p>
          <w:p>
            <w:pPr>
              <w:ind w:left="120" w:leftChars="50" w:right="120" w:rightChars="50" w:firstLine="480"/>
              <w:jc w:val="left"/>
            </w:pPr>
            <w:r>
              <w:rPr>
                <w:rFonts w:hint="eastAsia"/>
              </w:rPr>
              <w:t>（4）环境风险防范措施</w:t>
            </w:r>
          </w:p>
          <w:p>
            <w:pPr>
              <w:ind w:left="120" w:leftChars="50" w:right="120" w:rightChars="50" w:firstLine="480"/>
              <w:jc w:val="left"/>
            </w:pPr>
            <w:r>
              <w:rPr>
                <w:rFonts w:hint="eastAsia"/>
              </w:rPr>
              <w:t>为使环境风险减小到最低限度，结合本项目危险物质特性及风险可能影响的途径，医院应采用以下风险防范措施：</w:t>
            </w:r>
          </w:p>
          <w:p>
            <w:pPr>
              <w:ind w:left="120" w:leftChars="50" w:right="120" w:rightChars="50" w:firstLine="480"/>
              <w:jc w:val="left"/>
            </w:pPr>
            <w:r>
              <w:rPr>
                <w:rFonts w:hint="eastAsia"/>
              </w:rPr>
              <w:t>①医疗废物的分类收集</w:t>
            </w:r>
          </w:p>
          <w:p>
            <w:pPr>
              <w:ind w:left="120" w:leftChars="50" w:right="120" w:rightChars="50" w:firstLine="480"/>
              <w:jc w:val="left"/>
            </w:pPr>
            <w:r>
              <w:rPr>
                <w:rFonts w:hint="eastAsia"/>
              </w:rPr>
              <w:t>项目医疗废物严格按照《医疗卫生机构医疗废物管理办法》，采用专用容器，明确各类废弃物标识，分类包装、分类对方，本着及时、方便、安全、快捷的原则进行收集。感染性废物、病理性废物、损伤性废物、药物性废物及化学性废物不能混合收集；放入包装物或容器内的病理性废物、损伤性废物不得取出。当盛装的医疗废物达到包装物或者容器的3/4时，应当使用有效的封口方式，使包装物或者容器的封口紧实、严密。</w:t>
            </w:r>
          </w:p>
          <w:p>
            <w:pPr>
              <w:ind w:left="120" w:leftChars="50" w:right="120" w:rightChars="50" w:firstLine="480"/>
              <w:jc w:val="left"/>
            </w:pPr>
            <w:r>
              <w:rPr>
                <w:rFonts w:hint="eastAsia"/>
              </w:rPr>
              <w:t>所有锐利物都必须单独存放，并统一按医学废物处理。收集锐利物包装容器必须使用硬质、防漏、防刺破材料。针或刀应保存在有明显标记、防泄漏、防刺破的容器内，处理含有锐利物品的感染性废料时应使用防刺破手套。</w:t>
            </w:r>
          </w:p>
          <w:p>
            <w:pPr>
              <w:ind w:left="120" w:leftChars="50" w:right="120" w:rightChars="50" w:firstLine="480"/>
              <w:jc w:val="left"/>
            </w:pPr>
            <w:r>
              <w:rPr>
                <w:rFonts w:hint="eastAsia"/>
              </w:rPr>
              <w:t>②医疗垃圾的贮存和运送</w:t>
            </w:r>
          </w:p>
          <w:p>
            <w:pPr>
              <w:ind w:left="120" w:leftChars="50" w:right="120" w:rightChars="50" w:firstLine="480"/>
              <w:jc w:val="left"/>
              <w:rPr>
                <w:szCs w:val="22"/>
              </w:rPr>
            </w:pPr>
            <w:r>
              <w:rPr>
                <w:rFonts w:hint="eastAsia"/>
                <w:szCs w:val="22"/>
              </w:rPr>
              <w:t>医疗废物暂存时间不得超过2天，应得到及时、有效的处理。医疗废物暂存应做到以下几点：</w:t>
            </w:r>
          </w:p>
          <w:p>
            <w:pPr>
              <w:ind w:left="120" w:leftChars="50" w:right="120" w:rightChars="50" w:firstLine="480"/>
              <w:jc w:val="left"/>
              <w:rPr>
                <w:szCs w:val="22"/>
              </w:rPr>
            </w:pPr>
            <w:r>
              <w:rPr>
                <w:rFonts w:hint="eastAsia"/>
                <w:szCs w:val="22"/>
              </w:rPr>
              <w:t>a.</w:t>
            </w:r>
            <w:r>
              <w:rPr>
                <w:rFonts w:hint="eastAsia"/>
              </w:rPr>
              <w:t xml:space="preserve"> </w:t>
            </w:r>
            <w:r>
              <w:rPr>
                <w:rFonts w:hint="eastAsia"/>
                <w:szCs w:val="22"/>
              </w:rPr>
              <w:t>暂时贮存场所需分办公区、医疗废物贮存间，本项目医院暂存区能够满足该项要求；</w:t>
            </w:r>
          </w:p>
          <w:p>
            <w:pPr>
              <w:ind w:left="120" w:leftChars="50" w:right="120" w:rightChars="50" w:firstLine="480"/>
              <w:jc w:val="left"/>
              <w:rPr>
                <w:szCs w:val="22"/>
              </w:rPr>
            </w:pPr>
            <w:r>
              <w:rPr>
                <w:rFonts w:hint="eastAsia"/>
                <w:szCs w:val="22"/>
              </w:rPr>
              <w:t>b.</w:t>
            </w:r>
            <w:r>
              <w:rPr>
                <w:rFonts w:hint="eastAsia"/>
              </w:rPr>
              <w:t xml:space="preserve"> </w:t>
            </w:r>
            <w:r>
              <w:rPr>
                <w:rFonts w:hint="eastAsia"/>
                <w:szCs w:val="22"/>
              </w:rPr>
              <w:t>远离医疗区、食品加工区、人员活动区，方便医疗废物运送人员及运送工具、车辆的出入，项目医疗废物暂存间位于医院1楼楼梯下方，距离院区出入口较近，远离医疗区、食品加工区、人员活动区，满足要求。</w:t>
            </w:r>
          </w:p>
          <w:p>
            <w:pPr>
              <w:ind w:left="120" w:leftChars="50" w:right="120" w:rightChars="50" w:firstLine="480"/>
              <w:jc w:val="left"/>
              <w:rPr>
                <w:szCs w:val="22"/>
              </w:rPr>
            </w:pPr>
            <w:r>
              <w:rPr>
                <w:rFonts w:hint="eastAsia"/>
                <w:szCs w:val="22"/>
              </w:rPr>
              <w:t>c.</w:t>
            </w:r>
            <w:r>
              <w:rPr>
                <w:rFonts w:hint="eastAsia"/>
              </w:rPr>
              <w:t xml:space="preserve"> </w:t>
            </w:r>
            <w:r>
              <w:rPr>
                <w:rFonts w:hint="eastAsia"/>
                <w:szCs w:val="22"/>
              </w:rPr>
              <w:t>设置严密的封闭措施，设专（兼）职人员管理，防止非工作人员接触医疗废物。本项目医疗废物设专人管理，并有严密的封闭措施，能够满足上述要求。</w:t>
            </w:r>
          </w:p>
          <w:p>
            <w:pPr>
              <w:ind w:left="120" w:leftChars="50" w:right="120" w:rightChars="50" w:firstLine="480"/>
              <w:jc w:val="left"/>
              <w:rPr>
                <w:szCs w:val="22"/>
              </w:rPr>
            </w:pPr>
            <w:r>
              <w:rPr>
                <w:rFonts w:hint="eastAsia"/>
                <w:szCs w:val="22"/>
              </w:rPr>
              <w:t>d.</w:t>
            </w:r>
            <w:r>
              <w:rPr>
                <w:rFonts w:hint="eastAsia"/>
              </w:rPr>
              <w:t xml:space="preserve"> </w:t>
            </w:r>
            <w:r>
              <w:rPr>
                <w:rFonts w:hint="eastAsia"/>
                <w:szCs w:val="22"/>
              </w:rPr>
              <w:t>设置防鼠、防蚊蝇等安全措施；防止渗漏和雨水冲刷，易于清洁和消毒，避免阳光直射。本项目医废暂存间位于医院1层，暂存间内进行防渗漏处理，同时定期对暂存间进行消毒，能够满足要求。</w:t>
            </w:r>
          </w:p>
          <w:p>
            <w:pPr>
              <w:ind w:left="120" w:leftChars="50" w:right="120" w:rightChars="50" w:firstLine="480"/>
              <w:jc w:val="left"/>
            </w:pPr>
            <w:r>
              <w:rPr>
                <w:rFonts w:hint="eastAsia"/>
              </w:rPr>
              <w:t>③污水处理间消毒剂风险防范措施</w:t>
            </w:r>
          </w:p>
          <w:p>
            <w:pPr>
              <w:ind w:left="120" w:leftChars="50" w:right="120" w:rightChars="50" w:firstLine="480"/>
              <w:jc w:val="left"/>
            </w:pPr>
            <w:r>
              <w:rPr>
                <w:rFonts w:hint="eastAsia"/>
              </w:rPr>
              <w:t>消毒剂由专人管理，次氯酸钠采用自动化设备，避免人员接触，操作人员需进行过专业培训，严格遵守操作规程，避免发生污染、意外事件。</w:t>
            </w:r>
          </w:p>
          <w:p>
            <w:pPr>
              <w:ind w:left="120" w:leftChars="50" w:right="120" w:rightChars="50" w:firstLine="480"/>
              <w:jc w:val="left"/>
            </w:pPr>
            <w:r>
              <w:rPr>
                <w:rFonts w:hint="eastAsia"/>
              </w:rPr>
              <w:t>④危废暂存间风险防范措施</w:t>
            </w:r>
          </w:p>
          <w:p>
            <w:pPr>
              <w:ind w:left="120" w:leftChars="50" w:right="120" w:rightChars="50" w:firstLine="480"/>
              <w:jc w:val="left"/>
            </w:pPr>
            <w:r>
              <w:rPr>
                <w:rFonts w:hint="eastAsia"/>
                <w:szCs w:val="22"/>
              </w:rPr>
              <w:t>a.</w:t>
            </w:r>
            <w:r>
              <w:rPr>
                <w:rFonts w:hint="eastAsia"/>
              </w:rPr>
              <w:t xml:space="preserve"> </w:t>
            </w:r>
            <w:r>
              <w:rPr>
                <w:rFonts w:hint="eastAsia"/>
                <w:szCs w:val="22"/>
              </w:rPr>
              <w:t>建立危险废物登记制度，对其产生的危险废物进行登记。登记内容应当包括危险废物的来源、种类、重量或者数量、处置方法、最终去向以及经办人签名等项目；</w:t>
            </w:r>
          </w:p>
          <w:p>
            <w:pPr>
              <w:ind w:left="120" w:leftChars="50" w:right="120" w:rightChars="50" w:firstLine="480"/>
              <w:jc w:val="left"/>
              <w:rPr>
                <w:szCs w:val="22"/>
              </w:rPr>
            </w:pPr>
            <w:r>
              <w:rPr>
                <w:rFonts w:hint="eastAsia"/>
                <w:szCs w:val="22"/>
              </w:rPr>
              <w:t>b.</w:t>
            </w:r>
            <w:r>
              <w:rPr>
                <w:rFonts w:hint="eastAsia"/>
              </w:rPr>
              <w:t xml:space="preserve"> </w:t>
            </w:r>
            <w:r>
              <w:rPr>
                <w:rFonts w:hint="eastAsia"/>
                <w:szCs w:val="22"/>
              </w:rPr>
              <w:t>及时收集其医院运行活动中产生的危险废物，并按照类别分别置于防渗漏、防锐器穿透等符合国家有关环境保护要求的专用包装物、容器内，并按国家规定要求设置明显的危险废物警示标识和说明；</w:t>
            </w:r>
          </w:p>
          <w:p>
            <w:pPr>
              <w:ind w:left="120" w:leftChars="50" w:right="120" w:rightChars="50" w:firstLine="480"/>
              <w:jc w:val="left"/>
              <w:rPr>
                <w:szCs w:val="22"/>
              </w:rPr>
            </w:pPr>
            <w:r>
              <w:rPr>
                <w:rFonts w:hint="eastAsia"/>
                <w:szCs w:val="22"/>
              </w:rPr>
              <w:t>c.</w:t>
            </w:r>
            <w:r>
              <w:rPr>
                <w:rFonts w:hint="eastAsia"/>
              </w:rPr>
              <w:t xml:space="preserve"> </w:t>
            </w:r>
            <w:r>
              <w:rPr>
                <w:rFonts w:hint="eastAsia"/>
                <w:szCs w:val="22"/>
              </w:rPr>
              <w:t>配备符合国家法律、行政法规和有关技术规范要求的危险废物暂时贮存柜（箱）或者其他设施、设备；</w:t>
            </w:r>
          </w:p>
          <w:p>
            <w:pPr>
              <w:ind w:left="120" w:leftChars="50" w:right="120" w:rightChars="50" w:firstLine="480"/>
              <w:jc w:val="left"/>
              <w:rPr>
                <w:szCs w:val="22"/>
              </w:rPr>
            </w:pPr>
            <w:r>
              <w:rPr>
                <w:rFonts w:hint="eastAsia"/>
                <w:szCs w:val="22"/>
              </w:rPr>
              <w:t>d.</w:t>
            </w:r>
            <w:r>
              <w:rPr>
                <w:rFonts w:hint="eastAsia"/>
              </w:rPr>
              <w:t xml:space="preserve"> </w:t>
            </w:r>
            <w:r>
              <w:rPr>
                <w:rFonts w:hint="eastAsia"/>
                <w:szCs w:val="22"/>
              </w:rPr>
              <w:t>按照国家有关规定对危险废物就地进行无害化处理，并根据就近集中处置的原则，及时将经无害化处理后的危险废物交由依法取得危险废物经营许可证的单位集中处置；</w:t>
            </w:r>
          </w:p>
          <w:p>
            <w:pPr>
              <w:ind w:left="120" w:leftChars="50" w:right="120" w:rightChars="50" w:firstLine="480"/>
              <w:jc w:val="left"/>
              <w:rPr>
                <w:szCs w:val="22"/>
              </w:rPr>
            </w:pPr>
            <w:r>
              <w:rPr>
                <w:rFonts w:hint="eastAsia"/>
                <w:szCs w:val="22"/>
              </w:rPr>
              <w:t>e.</w:t>
            </w:r>
            <w:r>
              <w:rPr>
                <w:rFonts w:hint="eastAsia"/>
              </w:rPr>
              <w:t xml:space="preserve"> </w:t>
            </w:r>
            <w:r>
              <w:rPr>
                <w:rFonts w:hint="eastAsia"/>
                <w:szCs w:val="22"/>
              </w:rPr>
              <w:t>转移危险废物的，应当按照《固体废物污染环境防治法》和国家环境保护总局的有关规定，执行危险废物转移联单制度。</w:t>
            </w:r>
          </w:p>
          <w:p>
            <w:pPr>
              <w:ind w:left="120" w:leftChars="50" w:right="120" w:rightChars="50" w:firstLine="480"/>
              <w:jc w:val="left"/>
              <w:rPr>
                <w:szCs w:val="22"/>
              </w:rPr>
            </w:pPr>
            <w:r>
              <w:rPr>
                <w:szCs w:val="22"/>
              </w:rPr>
              <w:t>f.</w:t>
            </w:r>
            <w:r>
              <w:rPr>
                <w:rFonts w:hint="eastAsia"/>
              </w:rPr>
              <w:t xml:space="preserve"> </w:t>
            </w:r>
            <w:r>
              <w:rPr>
                <w:rFonts w:hint="eastAsia"/>
                <w:szCs w:val="22"/>
              </w:rPr>
              <w:t>不得随意丢弃、倾倒、堆放危险废物，不得将危险废物混入其他废物和生活垃圾中。</w:t>
            </w:r>
          </w:p>
          <w:p>
            <w:pPr>
              <w:ind w:left="120" w:leftChars="50" w:right="120" w:rightChars="50" w:firstLine="480"/>
              <w:jc w:val="left"/>
            </w:pPr>
            <w:r>
              <w:rPr>
                <w:rFonts w:hint="eastAsia"/>
              </w:rPr>
              <w:t>在做好风险防范措施的基础上，本项目环境风险可控。</w:t>
            </w:r>
          </w:p>
          <w:p>
            <w:pPr>
              <w:ind w:left="120" w:leftChars="50" w:right="120" w:rightChars="50" w:firstLine="0" w:firstLineChars="0"/>
              <w:jc w:val="left"/>
              <w:rPr>
                <w:b/>
                <w:lang w:val="zh-CN"/>
              </w:rPr>
            </w:pPr>
            <w:r>
              <w:rPr>
                <w:rFonts w:hint="eastAsia"/>
                <w:b/>
                <w:lang w:val="zh-CN"/>
              </w:rPr>
              <w:t>7、生态环境</w:t>
            </w:r>
          </w:p>
          <w:p>
            <w:pPr>
              <w:ind w:left="120" w:leftChars="50" w:right="120" w:rightChars="50" w:firstLine="480"/>
              <w:jc w:val="left"/>
            </w:pPr>
            <w:r>
              <w:rPr>
                <w:rFonts w:hint="eastAsia"/>
              </w:rPr>
              <w:t>项目租赁河北省石家庄市高新区学苑路30号副6号傲湖小区1号商业楼01-204，位于石家庄高新区且不新增占地，项目实施不会对项目区域生态造成明显影响。</w:t>
            </w:r>
          </w:p>
          <w:p>
            <w:pPr>
              <w:ind w:left="120" w:leftChars="50" w:right="120" w:rightChars="50" w:firstLine="0" w:firstLineChars="0"/>
              <w:jc w:val="left"/>
              <w:rPr>
                <w:b/>
                <w:lang w:val="zh-CN"/>
              </w:rPr>
            </w:pPr>
            <w:r>
              <w:rPr>
                <w:rFonts w:hint="eastAsia"/>
                <w:b/>
                <w:lang w:val="zh-CN"/>
              </w:rPr>
              <w:t>8、电磁辐射</w:t>
            </w:r>
          </w:p>
          <w:p>
            <w:pPr>
              <w:ind w:left="120" w:leftChars="50" w:right="120" w:rightChars="50" w:firstLine="480"/>
              <w:jc w:val="left"/>
            </w:pPr>
            <w:r>
              <w:rPr>
                <w:rFonts w:hint="eastAsia"/>
              </w:rPr>
              <w:t>本项目不属于电磁辐射类项目，不需要开展电磁辐射环境影响分析和环保措施。</w:t>
            </w:r>
          </w:p>
          <w:p>
            <w:pPr>
              <w:ind w:left="120" w:leftChars="50" w:right="120" w:rightChars="50" w:firstLine="0" w:firstLineChars="0"/>
              <w:jc w:val="left"/>
              <w:rPr>
                <w:b/>
                <w:lang w:val="zh-CN"/>
              </w:rPr>
            </w:pPr>
            <w:r>
              <w:rPr>
                <w:rFonts w:hint="eastAsia"/>
                <w:b/>
                <w:lang w:val="zh-CN"/>
              </w:rPr>
              <w:t>9、环境管理</w:t>
            </w:r>
          </w:p>
          <w:p>
            <w:pPr>
              <w:ind w:firstLine="480"/>
            </w:pPr>
            <w:r>
              <w:rPr>
                <w:rFonts w:hint="eastAsia"/>
              </w:rPr>
              <w:t>（1）环境管理制度</w:t>
            </w:r>
          </w:p>
          <w:p>
            <w:pPr>
              <w:ind w:firstLine="480"/>
            </w:pPr>
            <w:r>
              <w:rPr>
                <w:rFonts w:hint="eastAsia"/>
              </w:rPr>
              <w:t>环境管理应根据建设单位的特点与主要环境因素，依据相关的法律法规，制定具体的方针、目标、指标和实现的方案；结合本项目组织机构的特点，由主要领导负责，规定各部门员工承担相应的管理职责并予以制度化，使之纳入建设单位的日常管理中。</w:t>
            </w:r>
          </w:p>
          <w:p>
            <w:pPr>
              <w:ind w:firstLine="480"/>
            </w:pPr>
            <w:r>
              <w:rPr>
                <w:rFonts w:hint="eastAsia"/>
              </w:rPr>
              <w:t>为保证环境保护设施的安全稳定运行，本项目应建立健全环境保护管理规章制度，完善各项操作规程，其中主要应建立以下制度：</w:t>
            </w:r>
          </w:p>
          <w:p>
            <w:pPr>
              <w:ind w:firstLine="480"/>
            </w:pPr>
            <w:r>
              <w:rPr>
                <w:rFonts w:hint="eastAsia"/>
              </w:rPr>
              <w:t>①岗位责任制度：按照“谁主管，谁负责”的原则，落实各项岗位责任制度，明确管理内容和目标，落实管理责任并签定环保管理责任书。</w:t>
            </w:r>
          </w:p>
          <w:p>
            <w:pPr>
              <w:ind w:firstLine="480"/>
            </w:pPr>
            <w:r>
              <w:rPr>
                <w:rFonts w:hint="eastAsia"/>
              </w:rPr>
              <w:t>②检查制度：按照日查、周查、月查、季度性检查等建立完善的环境保护设施定期检查制度，保证环境保护设施的正常运行。</w:t>
            </w:r>
          </w:p>
          <w:p>
            <w:pPr>
              <w:ind w:firstLine="480"/>
            </w:pPr>
            <w:r>
              <w:rPr>
                <w:rFonts w:hint="eastAsia"/>
              </w:rPr>
              <w:t>③建立报告制度：对排放的废水等污染物实行排污许可证管理，按照相关要求进行排污许可填报。</w:t>
            </w:r>
          </w:p>
          <w:p>
            <w:pPr>
              <w:ind w:firstLine="480"/>
            </w:pPr>
            <w:r>
              <w:rPr>
                <w:rFonts w:hint="eastAsia"/>
              </w:rPr>
              <w:t>④坚决做到污染达标排放：医院应定期进行自行或委托监测，确保项目废气的稳定达标排放。</w:t>
            </w:r>
          </w:p>
          <w:p>
            <w:pPr>
              <w:ind w:firstLine="480"/>
            </w:pPr>
            <w:r>
              <w:rPr>
                <w:rFonts w:hint="eastAsia"/>
              </w:rPr>
              <w:t>⑤培训教育制度：对化验室、污水处理间操作人员实行岗前、岗中等培训制度，使操作人员熟悉操作规程及环境保护设施的基本工作原理，了解环境重要性，掌握事故预防和处理措施。</w:t>
            </w:r>
          </w:p>
          <w:p>
            <w:pPr>
              <w:ind w:firstLine="480"/>
            </w:pPr>
            <w:r>
              <w:rPr>
                <w:rFonts w:hint="eastAsia"/>
              </w:rPr>
              <w:t>（2）环境管理措施</w:t>
            </w:r>
          </w:p>
          <w:p>
            <w:pPr>
              <w:ind w:firstLine="480"/>
            </w:pPr>
            <w:r>
              <w:rPr>
                <w:rFonts w:hint="eastAsia"/>
              </w:rPr>
              <w:t>结合本项目管理模式和和特点，提出以下环境管理措施：</w:t>
            </w:r>
          </w:p>
          <w:p>
            <w:pPr>
              <w:ind w:firstLine="480"/>
            </w:pPr>
            <w:r>
              <w:rPr>
                <w:rFonts w:hint="eastAsia"/>
              </w:rPr>
              <w:t>①对技术工人进行上岗前的环保知识法规教育及操作规范的培训，使各项环保设施的操作规范化，保证环保设施的正常运转。</w:t>
            </w:r>
          </w:p>
          <w:p>
            <w:pPr>
              <w:ind w:firstLine="480"/>
            </w:pPr>
            <w:r>
              <w:rPr>
                <w:rFonts w:hint="eastAsia"/>
              </w:rPr>
              <w:t>②制定各环保设施操作规程，定期维修设备，使各项环保设施在生产过程中处于良好的运行状态。</w:t>
            </w:r>
          </w:p>
          <w:p>
            <w:pPr>
              <w:ind w:firstLine="480"/>
            </w:pPr>
            <w:r>
              <w:rPr>
                <w:rFonts w:hint="eastAsia"/>
              </w:rPr>
              <w:t>③加强对环保设施的运行管理，如环保设施出现故障，应立即停产检修，严禁事故排放。</w:t>
            </w:r>
          </w:p>
          <w:p>
            <w:pPr>
              <w:ind w:firstLine="480"/>
            </w:pPr>
            <w:r>
              <w:rPr>
                <w:rFonts w:hint="eastAsia"/>
              </w:rPr>
              <w:t>④专人负责固体废物收集和暂存场所的维护工作，防止固体废物在厂内产生二次污染。</w:t>
            </w:r>
          </w:p>
          <w:p>
            <w:pPr>
              <w:ind w:firstLine="480"/>
            </w:pPr>
            <w:r>
              <w:rPr>
                <w:rFonts w:hint="eastAsia"/>
              </w:rPr>
              <w:t>⑤加强环境监测工作，重点是各污染源的监测，并注意做好记录，监测中如发现异常情况应及时向有关部门通报，及时采取应急措施，防止事故排放。</w:t>
            </w:r>
          </w:p>
          <w:p>
            <w:pPr>
              <w:ind w:firstLine="480"/>
            </w:pPr>
            <w:r>
              <w:rPr>
                <w:rFonts w:hint="eastAsia"/>
              </w:rPr>
              <w:t>⑥定期向环保主管部门汇报环保工作情况，污染治理设施运行情况，建视性监测结果。</w:t>
            </w:r>
          </w:p>
          <w:p>
            <w:pPr>
              <w:ind w:firstLine="480"/>
            </w:pPr>
            <w:r>
              <w:rPr>
                <w:rFonts w:hint="eastAsia"/>
              </w:rPr>
              <w:t>⑦建立本单位的环境保护工作档案，包括污染物排放情况；污染治理设施的运行、操作和管理情况；监测记录；污染事故情况及有关记录；其他与污染防治有关的情况和资料等。</w:t>
            </w:r>
          </w:p>
          <w:p>
            <w:pPr>
              <w:ind w:firstLine="480"/>
            </w:pPr>
            <w:r>
              <w:rPr>
                <w:rFonts w:hint="eastAsia"/>
              </w:rPr>
              <w:t>（3）环保机构定员</w:t>
            </w:r>
          </w:p>
          <w:p>
            <w:pPr>
              <w:ind w:firstLine="480"/>
            </w:pPr>
            <w:r>
              <w:rPr>
                <w:rFonts w:hint="eastAsia"/>
              </w:rPr>
              <w:t>为加强环境管理和环境监测工作，至少设1名环保人员，负责建立环保档案、环保治理设施的日常运行和生产系统环保领域的监督管理。为保证工作质量，环保管理人员需经培训合格后方能上岗。</w:t>
            </w:r>
          </w:p>
          <w:p>
            <w:pPr>
              <w:ind w:firstLine="480"/>
            </w:pPr>
            <w:r>
              <w:rPr>
                <w:rFonts w:hint="eastAsia"/>
              </w:rPr>
              <w:t>（4）排污许可证管理</w:t>
            </w:r>
          </w:p>
          <w:p>
            <w:pPr>
              <w:ind w:firstLine="480"/>
            </w:pPr>
            <w:r>
              <w:t>①排污口位置和数量、排放方式、排放去向、排放污染物种类、排放浓度和排放量、执行的排放标准等符合相关的规定，不得私设暗管或以其他方式逃避监管。</w:t>
            </w:r>
          </w:p>
          <w:p>
            <w:pPr>
              <w:ind w:firstLine="480"/>
            </w:pPr>
            <w:r>
              <w:t>②遵守法律规定的最新环境保护要求等。</w:t>
            </w:r>
          </w:p>
          <w:p>
            <w:pPr>
              <w:ind w:firstLine="480"/>
            </w:pPr>
            <w:r>
              <w:rPr>
                <w:rFonts w:hint="eastAsia" w:ascii="宋体" w:hAnsi="宋体" w:cs="宋体"/>
              </w:rPr>
              <w:t>③</w:t>
            </w:r>
            <w:r>
              <w:t>排污口规范化设置，排放口按照《环境保护图形标志—排放口（源）》（GB15562.1-1995）、《环境保护图形标志—固体废物贮存（处置）场》（GB15562.2-1995）及其修改单、《危险废物识别标志设置技术规范》（HJ1276-2022）的规定设置相应的环保图形标志牌。</w:t>
            </w:r>
          </w:p>
          <w:p>
            <w:pPr>
              <w:ind w:firstLine="480"/>
            </w:pPr>
          </w:p>
          <w:p>
            <w:pPr>
              <w:ind w:firstLine="480"/>
            </w:pPr>
          </w:p>
          <w:p>
            <w:pPr>
              <w:ind w:firstLine="0" w:firstLineChars="0"/>
            </w:pPr>
          </w:p>
        </w:tc>
      </w:tr>
    </w:tbl>
    <w:p>
      <w:pPr>
        <w:spacing w:line="240" w:lineRule="auto"/>
        <w:ind w:right="46" w:rightChars="19" w:firstLine="0" w:firstLineChars="0"/>
        <w:sectPr>
          <w:pgSz w:w="11906" w:h="16838"/>
          <w:pgMar w:top="1440" w:right="1800" w:bottom="1440" w:left="1800" w:header="851" w:footer="992" w:gutter="0"/>
          <w:cols w:space="425" w:num="1"/>
          <w:docGrid w:type="lines" w:linePitch="312" w:charSpace="0"/>
        </w:sectPr>
      </w:pPr>
    </w:p>
    <w:p>
      <w:pPr>
        <w:pStyle w:val="2"/>
        <w:ind w:right="46" w:rightChars="19"/>
      </w:pPr>
      <w:r>
        <w:rPr>
          <w:rFonts w:hint="eastAsia"/>
        </w:rPr>
        <w:t>五、环境保护措施监督检查清单</w:t>
      </w:r>
    </w:p>
    <w:tbl>
      <w:tblPr>
        <w:tblStyle w:val="17"/>
        <w:tblW w:w="1001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798"/>
        <w:gridCol w:w="1421"/>
        <w:gridCol w:w="1364"/>
        <w:gridCol w:w="1984"/>
        <w:gridCol w:w="1134"/>
        <w:gridCol w:w="1188"/>
        <w:gridCol w:w="212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798" w:type="dxa"/>
            <w:tcBorders>
              <w:tl2br w:val="single" w:color="auto" w:sz="4" w:space="0"/>
            </w:tcBorders>
            <w:vAlign w:val="center"/>
          </w:tcPr>
          <w:p>
            <w:pPr>
              <w:spacing w:line="240" w:lineRule="auto"/>
              <w:ind w:right="46" w:rightChars="19" w:firstLine="0" w:firstLineChars="0"/>
              <w:jc w:val="right"/>
              <w:rPr>
                <w:sz w:val="21"/>
                <w:szCs w:val="21"/>
              </w:rPr>
            </w:pPr>
            <w:r>
              <w:rPr>
                <w:rFonts w:hint="eastAsia"/>
                <w:sz w:val="21"/>
                <w:szCs w:val="21"/>
              </w:rPr>
              <w:t>内容</w:t>
            </w:r>
          </w:p>
          <w:p>
            <w:pPr>
              <w:spacing w:line="240" w:lineRule="auto"/>
              <w:ind w:right="46" w:rightChars="19" w:firstLine="0" w:firstLineChars="0"/>
              <w:jc w:val="left"/>
              <w:rPr>
                <w:sz w:val="21"/>
                <w:szCs w:val="21"/>
              </w:rPr>
            </w:pPr>
            <w:r>
              <w:rPr>
                <w:rFonts w:hint="eastAsia"/>
                <w:sz w:val="21"/>
                <w:szCs w:val="21"/>
              </w:rPr>
              <w:t>要素</w:t>
            </w:r>
          </w:p>
        </w:tc>
        <w:tc>
          <w:tcPr>
            <w:tcW w:w="1421" w:type="dxa"/>
            <w:vAlign w:val="center"/>
          </w:tcPr>
          <w:p>
            <w:pPr>
              <w:spacing w:line="240" w:lineRule="auto"/>
              <w:ind w:right="46" w:rightChars="19" w:firstLine="0" w:firstLineChars="0"/>
              <w:jc w:val="center"/>
              <w:rPr>
                <w:sz w:val="21"/>
                <w:szCs w:val="21"/>
              </w:rPr>
            </w:pPr>
            <w:r>
              <w:rPr>
                <w:sz w:val="21"/>
                <w:szCs w:val="21"/>
              </w:rPr>
              <w:t>排放口/污染源</w:t>
            </w:r>
          </w:p>
        </w:tc>
        <w:tc>
          <w:tcPr>
            <w:tcW w:w="1364" w:type="dxa"/>
            <w:vAlign w:val="center"/>
          </w:tcPr>
          <w:p>
            <w:pPr>
              <w:spacing w:line="240" w:lineRule="auto"/>
              <w:ind w:right="46" w:rightChars="19" w:firstLine="0" w:firstLineChars="0"/>
              <w:jc w:val="center"/>
              <w:rPr>
                <w:sz w:val="21"/>
                <w:szCs w:val="21"/>
              </w:rPr>
            </w:pPr>
            <w:r>
              <w:rPr>
                <w:sz w:val="21"/>
                <w:szCs w:val="21"/>
              </w:rPr>
              <w:t>污染物项目</w:t>
            </w:r>
          </w:p>
        </w:tc>
        <w:tc>
          <w:tcPr>
            <w:tcW w:w="1984" w:type="dxa"/>
            <w:vAlign w:val="center"/>
          </w:tcPr>
          <w:p>
            <w:pPr>
              <w:spacing w:line="240" w:lineRule="auto"/>
              <w:ind w:right="46" w:rightChars="19" w:firstLine="0" w:firstLineChars="0"/>
              <w:jc w:val="center"/>
              <w:rPr>
                <w:sz w:val="21"/>
                <w:szCs w:val="21"/>
              </w:rPr>
            </w:pPr>
            <w:r>
              <w:rPr>
                <w:sz w:val="21"/>
                <w:szCs w:val="21"/>
              </w:rPr>
              <w:t>环境保护措施</w:t>
            </w:r>
          </w:p>
        </w:tc>
        <w:tc>
          <w:tcPr>
            <w:tcW w:w="4448" w:type="dxa"/>
            <w:gridSpan w:val="3"/>
            <w:vAlign w:val="center"/>
          </w:tcPr>
          <w:p>
            <w:pPr>
              <w:spacing w:line="240" w:lineRule="auto"/>
              <w:ind w:right="46" w:rightChars="19" w:firstLine="0" w:firstLineChars="0"/>
              <w:jc w:val="center"/>
              <w:rPr>
                <w:sz w:val="21"/>
                <w:szCs w:val="21"/>
              </w:rPr>
            </w:pPr>
            <w:r>
              <w:rPr>
                <w:sz w:val="21"/>
                <w:szCs w:val="21"/>
              </w:rPr>
              <w:t>执行标准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798" w:type="dxa"/>
            <w:vMerge w:val="restart"/>
            <w:vAlign w:val="center"/>
          </w:tcPr>
          <w:p>
            <w:pPr>
              <w:spacing w:line="240" w:lineRule="auto"/>
              <w:ind w:right="46" w:rightChars="19" w:firstLine="0" w:firstLineChars="0"/>
              <w:jc w:val="center"/>
              <w:rPr>
                <w:sz w:val="21"/>
                <w:szCs w:val="21"/>
              </w:rPr>
            </w:pPr>
            <w:r>
              <w:rPr>
                <w:rFonts w:hint="eastAsia"/>
                <w:sz w:val="21"/>
                <w:szCs w:val="21"/>
              </w:rPr>
              <w:t>大气环境</w:t>
            </w:r>
          </w:p>
        </w:tc>
        <w:tc>
          <w:tcPr>
            <w:tcW w:w="1421" w:type="dxa"/>
            <w:vMerge w:val="restart"/>
            <w:vAlign w:val="center"/>
          </w:tcPr>
          <w:p>
            <w:pPr>
              <w:spacing w:line="240" w:lineRule="auto"/>
              <w:ind w:right="46" w:rightChars="19" w:firstLine="0" w:firstLineChars="0"/>
              <w:jc w:val="center"/>
              <w:rPr>
                <w:sz w:val="21"/>
                <w:szCs w:val="21"/>
              </w:rPr>
            </w:pPr>
            <w:r>
              <w:rPr>
                <w:rFonts w:hint="eastAsia"/>
                <w:sz w:val="21"/>
                <w:szCs w:val="21"/>
              </w:rPr>
              <w:t>医院废气（DA001）</w:t>
            </w:r>
          </w:p>
        </w:tc>
        <w:tc>
          <w:tcPr>
            <w:tcW w:w="1364" w:type="dxa"/>
            <w:vAlign w:val="center"/>
          </w:tcPr>
          <w:p>
            <w:pPr>
              <w:spacing w:line="240" w:lineRule="auto"/>
              <w:ind w:right="46" w:rightChars="19" w:firstLine="0" w:firstLineChars="0"/>
              <w:jc w:val="center"/>
              <w:rPr>
                <w:sz w:val="21"/>
                <w:szCs w:val="21"/>
              </w:rPr>
            </w:pPr>
            <w:r>
              <w:rPr>
                <w:rFonts w:hint="eastAsia"/>
                <w:sz w:val="21"/>
                <w:szCs w:val="21"/>
              </w:rPr>
              <w:t>NH</w:t>
            </w:r>
            <w:r>
              <w:rPr>
                <w:rFonts w:hint="eastAsia"/>
                <w:sz w:val="21"/>
                <w:szCs w:val="21"/>
                <w:vertAlign w:val="subscript"/>
              </w:rPr>
              <w:t>3</w:t>
            </w:r>
          </w:p>
        </w:tc>
        <w:tc>
          <w:tcPr>
            <w:tcW w:w="1984" w:type="dxa"/>
            <w:vMerge w:val="restart"/>
            <w:vAlign w:val="center"/>
          </w:tcPr>
          <w:p>
            <w:pPr>
              <w:pStyle w:val="6"/>
              <w:ind w:right="46" w:rightChars="19" w:firstLine="0" w:firstLineChars="0"/>
              <w:jc w:val="left"/>
              <w:rPr>
                <w:szCs w:val="21"/>
                <w:lang w:eastAsia="zh-CN"/>
              </w:rPr>
            </w:pPr>
            <w:r>
              <w:rPr>
                <w:rFonts w:hint="eastAsia"/>
                <w:szCs w:val="21"/>
                <w:lang w:eastAsia="zh-CN"/>
              </w:rPr>
              <w:t>煎药室设置集气罩，污水处理池体设有集气管收集废气，收集后</w:t>
            </w:r>
            <w:r>
              <w:rPr>
                <w:rFonts w:hint="eastAsia"/>
                <w:szCs w:val="21"/>
              </w:rPr>
              <w:t>经密闭管道引至屋顶两级活性炭吸附装置</w:t>
            </w:r>
            <w:r>
              <w:rPr>
                <w:szCs w:val="21"/>
              </w:rPr>
              <w:t>+</w:t>
            </w:r>
            <w:r>
              <w:rPr>
                <w:rFonts w:hint="eastAsia"/>
                <w:szCs w:val="21"/>
                <w:lang w:eastAsia="zh-CN"/>
              </w:rPr>
              <w:t>15</w:t>
            </w:r>
            <w:r>
              <w:rPr>
                <w:szCs w:val="21"/>
              </w:rPr>
              <w:t>m</w:t>
            </w:r>
            <w:r>
              <w:rPr>
                <w:rFonts w:hint="eastAsia"/>
                <w:szCs w:val="21"/>
              </w:rPr>
              <w:t>高排气筒</w:t>
            </w:r>
            <w:r>
              <w:rPr>
                <w:rFonts w:hint="eastAsia"/>
                <w:szCs w:val="21"/>
                <w:lang w:eastAsia="zh-CN"/>
              </w:rPr>
              <w:t>（高出楼顶5m）</w:t>
            </w:r>
          </w:p>
        </w:tc>
        <w:tc>
          <w:tcPr>
            <w:tcW w:w="2322" w:type="dxa"/>
            <w:gridSpan w:val="2"/>
            <w:vAlign w:val="center"/>
          </w:tcPr>
          <w:p>
            <w:pPr>
              <w:spacing w:line="240" w:lineRule="auto"/>
              <w:ind w:right="46" w:rightChars="19" w:firstLine="0" w:firstLineChars="0"/>
              <w:jc w:val="center"/>
              <w:rPr>
                <w:sz w:val="21"/>
                <w:szCs w:val="21"/>
              </w:rPr>
            </w:pPr>
            <w:r>
              <w:rPr>
                <w:rFonts w:hint="eastAsia"/>
                <w:sz w:val="21"/>
                <w:szCs w:val="21"/>
              </w:rPr>
              <w:t>15m排气筒：4.9kg/h</w:t>
            </w:r>
          </w:p>
        </w:tc>
        <w:tc>
          <w:tcPr>
            <w:tcW w:w="2126" w:type="dxa"/>
            <w:vMerge w:val="restart"/>
            <w:vAlign w:val="center"/>
          </w:tcPr>
          <w:p>
            <w:pPr>
              <w:spacing w:line="240" w:lineRule="auto"/>
              <w:ind w:right="46" w:rightChars="19" w:firstLine="0" w:firstLineChars="0"/>
              <w:jc w:val="center"/>
              <w:rPr>
                <w:sz w:val="21"/>
                <w:szCs w:val="21"/>
              </w:rPr>
            </w:pPr>
            <w:r>
              <w:rPr>
                <w:rFonts w:hint="eastAsia"/>
                <w:sz w:val="21"/>
                <w:szCs w:val="21"/>
              </w:rPr>
              <w:t>《恶臭污染物排放标准》（GB14554-93）表2标准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798" w:type="dxa"/>
            <w:vMerge w:val="continue"/>
            <w:vAlign w:val="center"/>
          </w:tcPr>
          <w:p>
            <w:pPr>
              <w:spacing w:line="240" w:lineRule="auto"/>
              <w:ind w:right="46" w:rightChars="19" w:firstLine="0" w:firstLineChars="0"/>
              <w:jc w:val="center"/>
              <w:rPr>
                <w:sz w:val="21"/>
                <w:szCs w:val="21"/>
              </w:rPr>
            </w:pPr>
          </w:p>
        </w:tc>
        <w:tc>
          <w:tcPr>
            <w:tcW w:w="1421" w:type="dxa"/>
            <w:vMerge w:val="continue"/>
            <w:vAlign w:val="center"/>
          </w:tcPr>
          <w:p>
            <w:pPr>
              <w:spacing w:line="240" w:lineRule="auto"/>
              <w:ind w:right="46" w:rightChars="19" w:firstLine="0" w:firstLineChars="0"/>
              <w:jc w:val="center"/>
              <w:rPr>
                <w:sz w:val="21"/>
                <w:szCs w:val="21"/>
              </w:rPr>
            </w:pPr>
          </w:p>
        </w:tc>
        <w:tc>
          <w:tcPr>
            <w:tcW w:w="1364" w:type="dxa"/>
            <w:vAlign w:val="center"/>
          </w:tcPr>
          <w:p>
            <w:pPr>
              <w:spacing w:line="240" w:lineRule="auto"/>
              <w:ind w:right="46" w:rightChars="19" w:firstLine="0" w:firstLineChars="0"/>
              <w:jc w:val="center"/>
              <w:rPr>
                <w:sz w:val="21"/>
                <w:szCs w:val="21"/>
              </w:rPr>
            </w:pPr>
            <w:r>
              <w:rPr>
                <w:rFonts w:hint="eastAsia"/>
                <w:sz w:val="21"/>
                <w:szCs w:val="21"/>
              </w:rPr>
              <w:t>H</w:t>
            </w:r>
            <w:r>
              <w:rPr>
                <w:rFonts w:hint="eastAsia"/>
                <w:sz w:val="21"/>
                <w:szCs w:val="21"/>
                <w:vertAlign w:val="subscript"/>
              </w:rPr>
              <w:t>2</w:t>
            </w:r>
            <w:r>
              <w:rPr>
                <w:rFonts w:hint="eastAsia"/>
                <w:sz w:val="21"/>
                <w:szCs w:val="21"/>
              </w:rPr>
              <w:t>S</w:t>
            </w:r>
          </w:p>
        </w:tc>
        <w:tc>
          <w:tcPr>
            <w:tcW w:w="1984" w:type="dxa"/>
            <w:vMerge w:val="continue"/>
            <w:vAlign w:val="center"/>
          </w:tcPr>
          <w:p>
            <w:pPr>
              <w:pStyle w:val="6"/>
              <w:ind w:right="46" w:rightChars="19" w:firstLine="0" w:firstLineChars="0"/>
              <w:jc w:val="left"/>
              <w:rPr>
                <w:szCs w:val="21"/>
                <w:lang w:eastAsia="zh-CN"/>
              </w:rPr>
            </w:pPr>
          </w:p>
        </w:tc>
        <w:tc>
          <w:tcPr>
            <w:tcW w:w="2322" w:type="dxa"/>
            <w:gridSpan w:val="2"/>
            <w:vAlign w:val="center"/>
          </w:tcPr>
          <w:p>
            <w:pPr>
              <w:spacing w:line="240" w:lineRule="auto"/>
              <w:ind w:right="46" w:rightChars="19" w:firstLine="0" w:firstLineChars="0"/>
              <w:jc w:val="center"/>
              <w:rPr>
                <w:sz w:val="21"/>
                <w:szCs w:val="21"/>
              </w:rPr>
            </w:pPr>
            <w:r>
              <w:rPr>
                <w:rFonts w:hint="eastAsia"/>
                <w:sz w:val="21"/>
                <w:szCs w:val="21"/>
              </w:rPr>
              <w:t>15m排气筒：0.33kg/h</w:t>
            </w:r>
          </w:p>
        </w:tc>
        <w:tc>
          <w:tcPr>
            <w:tcW w:w="2126" w:type="dxa"/>
            <w:vMerge w:val="continue"/>
            <w:vAlign w:val="center"/>
          </w:tcPr>
          <w:p>
            <w:pPr>
              <w:spacing w:line="240" w:lineRule="auto"/>
              <w:ind w:right="46" w:rightChars="19" w:firstLine="0" w:firstLineChars="0"/>
              <w:jc w:val="left"/>
              <w:rPr>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798" w:type="dxa"/>
            <w:vMerge w:val="continue"/>
            <w:vAlign w:val="center"/>
          </w:tcPr>
          <w:p>
            <w:pPr>
              <w:spacing w:line="240" w:lineRule="auto"/>
              <w:ind w:right="46" w:rightChars="19" w:firstLine="0" w:firstLineChars="0"/>
              <w:jc w:val="center"/>
              <w:rPr>
                <w:sz w:val="21"/>
                <w:szCs w:val="21"/>
              </w:rPr>
            </w:pPr>
          </w:p>
        </w:tc>
        <w:tc>
          <w:tcPr>
            <w:tcW w:w="1421" w:type="dxa"/>
            <w:vMerge w:val="continue"/>
            <w:vAlign w:val="center"/>
          </w:tcPr>
          <w:p>
            <w:pPr>
              <w:spacing w:line="240" w:lineRule="auto"/>
              <w:ind w:right="46" w:rightChars="19" w:firstLine="0" w:firstLineChars="0"/>
              <w:jc w:val="center"/>
              <w:rPr>
                <w:sz w:val="21"/>
                <w:szCs w:val="21"/>
              </w:rPr>
            </w:pPr>
          </w:p>
        </w:tc>
        <w:tc>
          <w:tcPr>
            <w:tcW w:w="1364" w:type="dxa"/>
            <w:vAlign w:val="center"/>
          </w:tcPr>
          <w:p>
            <w:pPr>
              <w:spacing w:line="240" w:lineRule="auto"/>
              <w:ind w:right="46" w:rightChars="19" w:firstLine="0" w:firstLineChars="0"/>
              <w:jc w:val="center"/>
              <w:rPr>
                <w:sz w:val="21"/>
                <w:szCs w:val="21"/>
                <w:lang w:val="zh-CN"/>
              </w:rPr>
            </w:pPr>
            <w:r>
              <w:rPr>
                <w:rFonts w:hint="eastAsia"/>
                <w:sz w:val="21"/>
                <w:szCs w:val="21"/>
                <w:lang w:val="zh-CN"/>
              </w:rPr>
              <w:t>臭气浓度</w:t>
            </w:r>
          </w:p>
        </w:tc>
        <w:tc>
          <w:tcPr>
            <w:tcW w:w="1984" w:type="dxa"/>
            <w:vMerge w:val="continue"/>
            <w:vAlign w:val="center"/>
          </w:tcPr>
          <w:p>
            <w:pPr>
              <w:pStyle w:val="6"/>
              <w:ind w:right="46" w:rightChars="19" w:firstLine="0" w:firstLineChars="0"/>
              <w:jc w:val="left"/>
              <w:rPr>
                <w:szCs w:val="21"/>
                <w:lang w:eastAsia="zh-CN"/>
              </w:rPr>
            </w:pPr>
          </w:p>
        </w:tc>
        <w:tc>
          <w:tcPr>
            <w:tcW w:w="2322" w:type="dxa"/>
            <w:gridSpan w:val="2"/>
            <w:vAlign w:val="center"/>
          </w:tcPr>
          <w:p>
            <w:pPr>
              <w:spacing w:line="240" w:lineRule="auto"/>
              <w:ind w:right="46" w:rightChars="19" w:firstLine="0" w:firstLineChars="0"/>
              <w:jc w:val="center"/>
              <w:rPr>
                <w:sz w:val="21"/>
                <w:szCs w:val="21"/>
              </w:rPr>
            </w:pPr>
            <w:r>
              <w:rPr>
                <w:rFonts w:hint="eastAsia"/>
                <w:sz w:val="21"/>
                <w:szCs w:val="21"/>
              </w:rPr>
              <w:t>2000（无量纲）</w:t>
            </w:r>
          </w:p>
        </w:tc>
        <w:tc>
          <w:tcPr>
            <w:tcW w:w="2126" w:type="dxa"/>
            <w:vMerge w:val="continue"/>
            <w:vAlign w:val="center"/>
          </w:tcPr>
          <w:p>
            <w:pPr>
              <w:spacing w:line="240" w:lineRule="auto"/>
              <w:ind w:right="46" w:rightChars="19" w:firstLine="0" w:firstLineChars="0"/>
              <w:jc w:val="left"/>
              <w:rPr>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798" w:type="dxa"/>
            <w:vMerge w:val="continue"/>
            <w:vAlign w:val="center"/>
          </w:tcPr>
          <w:p>
            <w:pPr>
              <w:spacing w:line="240" w:lineRule="auto"/>
              <w:ind w:right="46" w:rightChars="19" w:firstLine="0" w:firstLineChars="0"/>
              <w:jc w:val="center"/>
              <w:rPr>
                <w:sz w:val="21"/>
                <w:szCs w:val="21"/>
              </w:rPr>
            </w:pPr>
          </w:p>
        </w:tc>
        <w:tc>
          <w:tcPr>
            <w:tcW w:w="1421" w:type="dxa"/>
            <w:vMerge w:val="restart"/>
            <w:vAlign w:val="center"/>
          </w:tcPr>
          <w:p>
            <w:pPr>
              <w:spacing w:line="240" w:lineRule="auto"/>
              <w:ind w:right="46" w:rightChars="19" w:firstLine="0" w:firstLineChars="0"/>
              <w:jc w:val="center"/>
              <w:rPr>
                <w:sz w:val="21"/>
                <w:szCs w:val="21"/>
              </w:rPr>
            </w:pPr>
            <w:r>
              <w:rPr>
                <w:rFonts w:hint="eastAsia"/>
                <w:sz w:val="21"/>
                <w:szCs w:val="21"/>
              </w:rPr>
              <w:t>无组织废气</w:t>
            </w:r>
          </w:p>
        </w:tc>
        <w:tc>
          <w:tcPr>
            <w:tcW w:w="1364" w:type="dxa"/>
            <w:vAlign w:val="center"/>
          </w:tcPr>
          <w:p>
            <w:pPr>
              <w:spacing w:line="240" w:lineRule="auto"/>
              <w:ind w:right="46" w:rightChars="19" w:firstLine="0" w:firstLineChars="0"/>
              <w:jc w:val="center"/>
              <w:rPr>
                <w:sz w:val="21"/>
                <w:szCs w:val="21"/>
              </w:rPr>
            </w:pPr>
            <w:r>
              <w:rPr>
                <w:rFonts w:hint="eastAsia"/>
                <w:sz w:val="21"/>
                <w:szCs w:val="21"/>
              </w:rPr>
              <w:t>NH</w:t>
            </w:r>
            <w:r>
              <w:rPr>
                <w:rFonts w:hint="eastAsia"/>
                <w:sz w:val="21"/>
                <w:szCs w:val="21"/>
                <w:vertAlign w:val="subscript"/>
              </w:rPr>
              <w:t>3</w:t>
            </w:r>
          </w:p>
        </w:tc>
        <w:tc>
          <w:tcPr>
            <w:tcW w:w="1984" w:type="dxa"/>
            <w:vMerge w:val="restart"/>
            <w:vAlign w:val="center"/>
          </w:tcPr>
          <w:p>
            <w:pPr>
              <w:pStyle w:val="6"/>
              <w:ind w:right="46" w:rightChars="19" w:firstLine="0" w:firstLineChars="0"/>
              <w:jc w:val="left"/>
              <w:rPr>
                <w:szCs w:val="21"/>
                <w:lang w:eastAsia="zh-CN"/>
              </w:rPr>
            </w:pPr>
            <w:r>
              <w:rPr>
                <w:rFonts w:hint="eastAsia"/>
                <w:szCs w:val="21"/>
                <w:lang w:eastAsia="zh-CN"/>
              </w:rPr>
              <w:t>池体密闭，喷洒除臭剂</w:t>
            </w:r>
          </w:p>
        </w:tc>
        <w:tc>
          <w:tcPr>
            <w:tcW w:w="1134" w:type="dxa"/>
            <w:vMerge w:val="restart"/>
            <w:vAlign w:val="center"/>
          </w:tcPr>
          <w:p>
            <w:pPr>
              <w:spacing w:line="240" w:lineRule="auto"/>
              <w:ind w:right="46" w:rightChars="19" w:firstLine="0" w:firstLineChars="0"/>
              <w:jc w:val="center"/>
              <w:rPr>
                <w:sz w:val="21"/>
                <w:szCs w:val="21"/>
              </w:rPr>
            </w:pPr>
            <w:r>
              <w:rPr>
                <w:rFonts w:hint="eastAsia"/>
                <w:sz w:val="21"/>
                <w:szCs w:val="21"/>
              </w:rPr>
              <w:t>污水处理站周边大气污染物最高允许排放浓度</w:t>
            </w:r>
          </w:p>
        </w:tc>
        <w:tc>
          <w:tcPr>
            <w:tcW w:w="1188" w:type="dxa"/>
            <w:vAlign w:val="center"/>
          </w:tcPr>
          <w:p>
            <w:pPr>
              <w:spacing w:line="240" w:lineRule="auto"/>
              <w:ind w:firstLine="0" w:firstLineChars="0"/>
              <w:jc w:val="center"/>
              <w:rPr>
                <w:sz w:val="21"/>
                <w:szCs w:val="21"/>
              </w:rPr>
            </w:pPr>
            <w:r>
              <w:rPr>
                <w:rFonts w:hint="eastAsia"/>
                <w:sz w:val="21"/>
                <w:szCs w:val="21"/>
              </w:rPr>
              <w:t>1.0mg/m</w:t>
            </w:r>
            <w:r>
              <w:rPr>
                <w:rFonts w:hint="eastAsia"/>
                <w:sz w:val="21"/>
                <w:szCs w:val="21"/>
                <w:vertAlign w:val="superscript"/>
              </w:rPr>
              <w:t>3</w:t>
            </w:r>
          </w:p>
        </w:tc>
        <w:tc>
          <w:tcPr>
            <w:tcW w:w="2126" w:type="dxa"/>
            <w:vMerge w:val="restart"/>
            <w:vAlign w:val="center"/>
          </w:tcPr>
          <w:p>
            <w:pPr>
              <w:spacing w:line="240" w:lineRule="auto"/>
              <w:ind w:right="46" w:rightChars="19" w:firstLine="0" w:firstLineChars="0"/>
              <w:jc w:val="left"/>
              <w:rPr>
                <w:sz w:val="21"/>
                <w:szCs w:val="21"/>
              </w:rPr>
            </w:pPr>
            <w:r>
              <w:rPr>
                <w:rFonts w:hint="eastAsia"/>
                <w:sz w:val="21"/>
                <w:szCs w:val="21"/>
              </w:rPr>
              <w:t>《医疗机构水污染物排放标准》（GB18466-2005）中表3标准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798" w:type="dxa"/>
            <w:vMerge w:val="continue"/>
            <w:vAlign w:val="center"/>
          </w:tcPr>
          <w:p>
            <w:pPr>
              <w:spacing w:line="240" w:lineRule="auto"/>
              <w:ind w:right="46" w:rightChars="19" w:firstLine="0" w:firstLineChars="0"/>
              <w:jc w:val="center"/>
              <w:rPr>
                <w:sz w:val="21"/>
                <w:szCs w:val="21"/>
              </w:rPr>
            </w:pPr>
          </w:p>
        </w:tc>
        <w:tc>
          <w:tcPr>
            <w:tcW w:w="1421" w:type="dxa"/>
            <w:vMerge w:val="continue"/>
            <w:vAlign w:val="center"/>
          </w:tcPr>
          <w:p>
            <w:pPr>
              <w:spacing w:line="240" w:lineRule="auto"/>
              <w:ind w:right="46" w:rightChars="19" w:firstLine="0" w:firstLineChars="0"/>
              <w:jc w:val="center"/>
              <w:rPr>
                <w:sz w:val="21"/>
                <w:szCs w:val="21"/>
              </w:rPr>
            </w:pPr>
          </w:p>
        </w:tc>
        <w:tc>
          <w:tcPr>
            <w:tcW w:w="1364" w:type="dxa"/>
            <w:vAlign w:val="center"/>
          </w:tcPr>
          <w:p>
            <w:pPr>
              <w:spacing w:line="240" w:lineRule="auto"/>
              <w:ind w:right="46" w:rightChars="19" w:firstLine="0" w:firstLineChars="0"/>
              <w:jc w:val="center"/>
              <w:rPr>
                <w:sz w:val="21"/>
                <w:szCs w:val="21"/>
              </w:rPr>
            </w:pPr>
            <w:r>
              <w:rPr>
                <w:rFonts w:hint="eastAsia"/>
                <w:sz w:val="21"/>
                <w:szCs w:val="21"/>
              </w:rPr>
              <w:t>H</w:t>
            </w:r>
            <w:r>
              <w:rPr>
                <w:rFonts w:hint="eastAsia"/>
                <w:sz w:val="21"/>
                <w:szCs w:val="21"/>
                <w:vertAlign w:val="subscript"/>
              </w:rPr>
              <w:t>2</w:t>
            </w:r>
            <w:r>
              <w:rPr>
                <w:rFonts w:hint="eastAsia"/>
                <w:sz w:val="21"/>
                <w:szCs w:val="21"/>
              </w:rPr>
              <w:t>S</w:t>
            </w:r>
          </w:p>
        </w:tc>
        <w:tc>
          <w:tcPr>
            <w:tcW w:w="1984" w:type="dxa"/>
            <w:vMerge w:val="continue"/>
            <w:vAlign w:val="center"/>
          </w:tcPr>
          <w:p>
            <w:pPr>
              <w:pStyle w:val="6"/>
              <w:ind w:right="46" w:rightChars="19" w:firstLine="0" w:firstLineChars="0"/>
              <w:jc w:val="left"/>
              <w:rPr>
                <w:szCs w:val="21"/>
                <w:lang w:eastAsia="zh-CN"/>
              </w:rPr>
            </w:pPr>
          </w:p>
        </w:tc>
        <w:tc>
          <w:tcPr>
            <w:tcW w:w="1134" w:type="dxa"/>
            <w:vMerge w:val="continue"/>
            <w:vAlign w:val="center"/>
          </w:tcPr>
          <w:p>
            <w:pPr>
              <w:spacing w:line="240" w:lineRule="auto"/>
              <w:ind w:right="46" w:rightChars="19" w:firstLine="0" w:firstLineChars="0"/>
              <w:jc w:val="center"/>
              <w:rPr>
                <w:sz w:val="21"/>
                <w:szCs w:val="21"/>
              </w:rPr>
            </w:pPr>
          </w:p>
        </w:tc>
        <w:tc>
          <w:tcPr>
            <w:tcW w:w="1188" w:type="dxa"/>
            <w:vAlign w:val="center"/>
          </w:tcPr>
          <w:p>
            <w:pPr>
              <w:spacing w:line="240" w:lineRule="auto"/>
              <w:ind w:firstLine="0" w:firstLineChars="0"/>
              <w:jc w:val="center"/>
              <w:rPr>
                <w:sz w:val="21"/>
                <w:szCs w:val="21"/>
              </w:rPr>
            </w:pPr>
            <w:r>
              <w:rPr>
                <w:rFonts w:hint="eastAsia"/>
                <w:sz w:val="21"/>
                <w:szCs w:val="21"/>
              </w:rPr>
              <w:t>0.03mg/m</w:t>
            </w:r>
            <w:r>
              <w:rPr>
                <w:rFonts w:hint="eastAsia"/>
                <w:sz w:val="21"/>
                <w:szCs w:val="21"/>
                <w:vertAlign w:val="superscript"/>
              </w:rPr>
              <w:t>3</w:t>
            </w:r>
          </w:p>
        </w:tc>
        <w:tc>
          <w:tcPr>
            <w:tcW w:w="2126" w:type="dxa"/>
            <w:vMerge w:val="continue"/>
            <w:vAlign w:val="center"/>
          </w:tcPr>
          <w:p>
            <w:pPr>
              <w:spacing w:line="240" w:lineRule="auto"/>
              <w:ind w:right="46" w:rightChars="19" w:firstLine="0" w:firstLineChars="0"/>
              <w:jc w:val="left"/>
              <w:rPr>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798" w:type="dxa"/>
            <w:vMerge w:val="continue"/>
            <w:vAlign w:val="center"/>
          </w:tcPr>
          <w:p>
            <w:pPr>
              <w:spacing w:line="240" w:lineRule="auto"/>
              <w:ind w:right="46" w:rightChars="19" w:firstLine="0" w:firstLineChars="0"/>
              <w:jc w:val="center"/>
              <w:rPr>
                <w:sz w:val="21"/>
                <w:szCs w:val="21"/>
              </w:rPr>
            </w:pPr>
          </w:p>
        </w:tc>
        <w:tc>
          <w:tcPr>
            <w:tcW w:w="1421" w:type="dxa"/>
            <w:vMerge w:val="continue"/>
            <w:vAlign w:val="center"/>
          </w:tcPr>
          <w:p>
            <w:pPr>
              <w:spacing w:line="240" w:lineRule="auto"/>
              <w:ind w:right="46" w:rightChars="19" w:firstLine="0" w:firstLineChars="0"/>
              <w:jc w:val="center"/>
              <w:rPr>
                <w:sz w:val="21"/>
                <w:szCs w:val="21"/>
              </w:rPr>
            </w:pPr>
          </w:p>
        </w:tc>
        <w:tc>
          <w:tcPr>
            <w:tcW w:w="1364" w:type="dxa"/>
            <w:vAlign w:val="center"/>
          </w:tcPr>
          <w:p>
            <w:pPr>
              <w:spacing w:line="240" w:lineRule="auto"/>
              <w:ind w:right="46" w:rightChars="19" w:firstLine="0" w:firstLineChars="0"/>
              <w:jc w:val="center"/>
              <w:rPr>
                <w:sz w:val="21"/>
                <w:szCs w:val="21"/>
              </w:rPr>
            </w:pPr>
            <w:r>
              <w:rPr>
                <w:rFonts w:hint="eastAsia"/>
                <w:sz w:val="21"/>
                <w:szCs w:val="21"/>
              </w:rPr>
              <w:t>甲烷</w:t>
            </w:r>
          </w:p>
        </w:tc>
        <w:tc>
          <w:tcPr>
            <w:tcW w:w="1984" w:type="dxa"/>
            <w:vMerge w:val="continue"/>
            <w:vAlign w:val="center"/>
          </w:tcPr>
          <w:p>
            <w:pPr>
              <w:pStyle w:val="6"/>
              <w:ind w:right="46" w:rightChars="19" w:firstLine="0" w:firstLineChars="0"/>
              <w:jc w:val="left"/>
              <w:rPr>
                <w:szCs w:val="21"/>
                <w:lang w:eastAsia="zh-CN"/>
              </w:rPr>
            </w:pPr>
          </w:p>
        </w:tc>
        <w:tc>
          <w:tcPr>
            <w:tcW w:w="1134" w:type="dxa"/>
            <w:vMerge w:val="continue"/>
            <w:vAlign w:val="center"/>
          </w:tcPr>
          <w:p>
            <w:pPr>
              <w:spacing w:line="240" w:lineRule="auto"/>
              <w:ind w:right="46" w:rightChars="19" w:firstLine="0" w:firstLineChars="0"/>
              <w:jc w:val="center"/>
              <w:rPr>
                <w:sz w:val="21"/>
                <w:szCs w:val="21"/>
              </w:rPr>
            </w:pPr>
          </w:p>
        </w:tc>
        <w:tc>
          <w:tcPr>
            <w:tcW w:w="1188" w:type="dxa"/>
            <w:vAlign w:val="center"/>
          </w:tcPr>
          <w:p>
            <w:pPr>
              <w:spacing w:line="240" w:lineRule="auto"/>
              <w:ind w:right="46" w:rightChars="19" w:firstLine="0" w:firstLineChars="0"/>
              <w:jc w:val="center"/>
              <w:rPr>
                <w:sz w:val="21"/>
                <w:szCs w:val="21"/>
              </w:rPr>
            </w:pPr>
            <w:r>
              <w:rPr>
                <w:rFonts w:hint="eastAsia"/>
                <w:sz w:val="21"/>
                <w:szCs w:val="21"/>
              </w:rPr>
              <w:t>1%</w:t>
            </w:r>
          </w:p>
        </w:tc>
        <w:tc>
          <w:tcPr>
            <w:tcW w:w="2126" w:type="dxa"/>
            <w:vMerge w:val="continue"/>
            <w:vAlign w:val="center"/>
          </w:tcPr>
          <w:p>
            <w:pPr>
              <w:spacing w:line="240" w:lineRule="auto"/>
              <w:ind w:right="46" w:rightChars="19" w:firstLine="0" w:firstLineChars="0"/>
              <w:jc w:val="left"/>
              <w:rPr>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798" w:type="dxa"/>
            <w:vMerge w:val="continue"/>
            <w:vAlign w:val="center"/>
          </w:tcPr>
          <w:p>
            <w:pPr>
              <w:spacing w:line="240" w:lineRule="auto"/>
              <w:ind w:right="46" w:rightChars="19" w:firstLine="0" w:firstLineChars="0"/>
              <w:jc w:val="center"/>
              <w:rPr>
                <w:sz w:val="21"/>
                <w:szCs w:val="21"/>
              </w:rPr>
            </w:pPr>
          </w:p>
        </w:tc>
        <w:tc>
          <w:tcPr>
            <w:tcW w:w="1421" w:type="dxa"/>
            <w:vMerge w:val="continue"/>
            <w:vAlign w:val="center"/>
          </w:tcPr>
          <w:p>
            <w:pPr>
              <w:spacing w:line="240" w:lineRule="auto"/>
              <w:ind w:right="46" w:rightChars="19" w:firstLine="0" w:firstLineChars="0"/>
              <w:jc w:val="center"/>
              <w:rPr>
                <w:sz w:val="21"/>
                <w:szCs w:val="21"/>
              </w:rPr>
            </w:pPr>
          </w:p>
        </w:tc>
        <w:tc>
          <w:tcPr>
            <w:tcW w:w="1364" w:type="dxa"/>
            <w:vAlign w:val="center"/>
          </w:tcPr>
          <w:p>
            <w:pPr>
              <w:spacing w:line="240" w:lineRule="auto"/>
              <w:ind w:right="46" w:rightChars="19" w:firstLine="0" w:firstLineChars="0"/>
              <w:jc w:val="center"/>
              <w:rPr>
                <w:sz w:val="21"/>
                <w:szCs w:val="21"/>
                <w:lang w:val="zh-CN"/>
              </w:rPr>
            </w:pPr>
            <w:r>
              <w:rPr>
                <w:rFonts w:hint="eastAsia"/>
                <w:sz w:val="21"/>
                <w:szCs w:val="21"/>
                <w:lang w:val="zh-CN"/>
              </w:rPr>
              <w:t>臭气浓度</w:t>
            </w:r>
          </w:p>
        </w:tc>
        <w:tc>
          <w:tcPr>
            <w:tcW w:w="1984" w:type="dxa"/>
            <w:vMerge w:val="continue"/>
            <w:vAlign w:val="center"/>
          </w:tcPr>
          <w:p>
            <w:pPr>
              <w:pStyle w:val="6"/>
              <w:ind w:right="46" w:rightChars="19" w:firstLine="0" w:firstLineChars="0"/>
              <w:jc w:val="left"/>
              <w:rPr>
                <w:szCs w:val="21"/>
                <w:lang w:eastAsia="zh-CN"/>
              </w:rPr>
            </w:pPr>
          </w:p>
        </w:tc>
        <w:tc>
          <w:tcPr>
            <w:tcW w:w="1134" w:type="dxa"/>
            <w:vMerge w:val="continue"/>
            <w:vAlign w:val="center"/>
          </w:tcPr>
          <w:p>
            <w:pPr>
              <w:spacing w:line="240" w:lineRule="auto"/>
              <w:ind w:right="46" w:rightChars="19" w:firstLine="0" w:firstLineChars="0"/>
              <w:jc w:val="center"/>
              <w:rPr>
                <w:sz w:val="21"/>
                <w:szCs w:val="21"/>
              </w:rPr>
            </w:pPr>
          </w:p>
        </w:tc>
        <w:tc>
          <w:tcPr>
            <w:tcW w:w="1188" w:type="dxa"/>
            <w:vAlign w:val="center"/>
          </w:tcPr>
          <w:p>
            <w:pPr>
              <w:spacing w:line="240" w:lineRule="auto"/>
              <w:ind w:right="46" w:rightChars="19" w:firstLine="0" w:firstLineChars="0"/>
              <w:jc w:val="center"/>
              <w:rPr>
                <w:sz w:val="21"/>
                <w:szCs w:val="21"/>
              </w:rPr>
            </w:pPr>
            <w:r>
              <w:rPr>
                <w:rFonts w:hint="eastAsia"/>
                <w:sz w:val="21"/>
                <w:szCs w:val="21"/>
              </w:rPr>
              <w:t>10（无量纲）</w:t>
            </w:r>
          </w:p>
        </w:tc>
        <w:tc>
          <w:tcPr>
            <w:tcW w:w="2126" w:type="dxa"/>
            <w:vMerge w:val="continue"/>
            <w:vAlign w:val="center"/>
          </w:tcPr>
          <w:p>
            <w:pPr>
              <w:spacing w:line="240" w:lineRule="auto"/>
              <w:ind w:right="46" w:rightChars="19" w:firstLine="0" w:firstLineChars="0"/>
              <w:jc w:val="left"/>
              <w:rPr>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798" w:type="dxa"/>
            <w:vAlign w:val="center"/>
          </w:tcPr>
          <w:p>
            <w:pPr>
              <w:spacing w:line="240" w:lineRule="auto"/>
              <w:ind w:right="46" w:rightChars="19" w:firstLine="0" w:firstLineChars="0"/>
              <w:jc w:val="center"/>
              <w:rPr>
                <w:sz w:val="21"/>
                <w:szCs w:val="21"/>
              </w:rPr>
            </w:pPr>
            <w:r>
              <w:rPr>
                <w:sz w:val="21"/>
                <w:szCs w:val="21"/>
              </w:rPr>
              <w:t>地表水环境</w:t>
            </w:r>
          </w:p>
        </w:tc>
        <w:tc>
          <w:tcPr>
            <w:tcW w:w="1421" w:type="dxa"/>
            <w:vAlign w:val="center"/>
          </w:tcPr>
          <w:p>
            <w:pPr>
              <w:spacing w:line="240" w:lineRule="auto"/>
              <w:ind w:right="46" w:rightChars="19" w:firstLine="0" w:firstLineChars="0"/>
              <w:jc w:val="center"/>
              <w:rPr>
                <w:sz w:val="21"/>
                <w:szCs w:val="21"/>
              </w:rPr>
            </w:pPr>
            <w:r>
              <w:rPr>
                <w:rFonts w:hint="eastAsia"/>
                <w:sz w:val="21"/>
                <w:szCs w:val="21"/>
              </w:rPr>
              <w:t>医院总排水口</w:t>
            </w:r>
          </w:p>
        </w:tc>
        <w:tc>
          <w:tcPr>
            <w:tcW w:w="1364" w:type="dxa"/>
            <w:vAlign w:val="center"/>
          </w:tcPr>
          <w:p>
            <w:pPr>
              <w:spacing w:line="240" w:lineRule="auto"/>
              <w:ind w:right="46" w:rightChars="19" w:firstLine="0" w:firstLineChars="0"/>
              <w:jc w:val="left"/>
              <w:rPr>
                <w:sz w:val="21"/>
                <w:szCs w:val="21"/>
                <w:lang w:val="zh-CN"/>
              </w:rPr>
            </w:pPr>
            <w:r>
              <w:rPr>
                <w:rFonts w:hint="eastAsia"/>
                <w:sz w:val="21"/>
                <w:szCs w:val="21"/>
              </w:rPr>
              <w:t>流量、pH、SS、COD</w:t>
            </w:r>
            <w:r>
              <w:rPr>
                <w:sz w:val="21"/>
                <w:szCs w:val="21"/>
              </w:rPr>
              <w:t>cr、BOD</w:t>
            </w:r>
            <w:r>
              <w:rPr>
                <w:sz w:val="21"/>
                <w:szCs w:val="21"/>
                <w:vertAlign w:val="subscript"/>
              </w:rPr>
              <w:t>5</w:t>
            </w:r>
            <w:r>
              <w:rPr>
                <w:rFonts w:hint="eastAsia"/>
                <w:sz w:val="21"/>
                <w:szCs w:val="21"/>
              </w:rPr>
              <w:t>、</w:t>
            </w:r>
            <w:r>
              <w:rPr>
                <w:sz w:val="21"/>
                <w:szCs w:val="21"/>
              </w:rPr>
              <w:t>TP、TN、NH</w:t>
            </w:r>
            <w:r>
              <w:rPr>
                <w:sz w:val="21"/>
                <w:szCs w:val="21"/>
                <w:vertAlign w:val="subscript"/>
              </w:rPr>
              <w:t>3</w:t>
            </w:r>
            <w:r>
              <w:rPr>
                <w:sz w:val="21"/>
                <w:szCs w:val="21"/>
              </w:rPr>
              <w:t>-N</w:t>
            </w:r>
            <w:r>
              <w:rPr>
                <w:rFonts w:hint="eastAsia"/>
                <w:sz w:val="21"/>
                <w:szCs w:val="21"/>
              </w:rPr>
              <w:t>、LAS、挥发酚、粪大肠菌群数、动植物油、总余氯</w:t>
            </w:r>
          </w:p>
        </w:tc>
        <w:tc>
          <w:tcPr>
            <w:tcW w:w="1984" w:type="dxa"/>
            <w:vAlign w:val="center"/>
          </w:tcPr>
          <w:p>
            <w:pPr>
              <w:pStyle w:val="6"/>
              <w:ind w:right="46" w:rightChars="19" w:firstLine="0" w:firstLineChars="0"/>
              <w:jc w:val="left"/>
              <w:rPr>
                <w:szCs w:val="21"/>
                <w:lang w:eastAsia="zh-CN"/>
              </w:rPr>
            </w:pPr>
            <w:r>
              <w:rPr>
                <w:rFonts w:hint="eastAsia"/>
                <w:szCs w:val="21"/>
                <w:lang w:eastAsia="zh-CN"/>
              </w:rPr>
              <w:t>化验室废水经酸碱中和后与其他废水共同经化粪池+污水处理设施处理后排入市政排水管网</w:t>
            </w:r>
          </w:p>
        </w:tc>
        <w:tc>
          <w:tcPr>
            <w:tcW w:w="2322" w:type="dxa"/>
            <w:gridSpan w:val="2"/>
            <w:vAlign w:val="center"/>
          </w:tcPr>
          <w:p>
            <w:pPr>
              <w:spacing w:line="240" w:lineRule="auto"/>
              <w:ind w:right="46" w:rightChars="19" w:firstLine="0" w:firstLineChars="0"/>
              <w:jc w:val="left"/>
              <w:rPr>
                <w:sz w:val="21"/>
                <w:szCs w:val="21"/>
              </w:rPr>
            </w:pPr>
            <w:r>
              <w:rPr>
                <w:rFonts w:hint="eastAsia"/>
                <w:sz w:val="21"/>
                <w:szCs w:val="21"/>
              </w:rPr>
              <w:t>pH：6-9</w:t>
            </w:r>
          </w:p>
          <w:p>
            <w:pPr>
              <w:spacing w:line="240" w:lineRule="auto"/>
              <w:ind w:right="46" w:rightChars="19" w:firstLine="0" w:firstLineChars="0"/>
              <w:jc w:val="left"/>
              <w:rPr>
                <w:sz w:val="21"/>
                <w:szCs w:val="21"/>
              </w:rPr>
            </w:pPr>
            <w:r>
              <w:rPr>
                <w:sz w:val="21"/>
                <w:szCs w:val="21"/>
              </w:rPr>
              <w:t>SS</w:t>
            </w:r>
            <w:r>
              <w:rPr>
                <w:rFonts w:hint="eastAsia"/>
                <w:sz w:val="21"/>
                <w:szCs w:val="21"/>
              </w:rPr>
              <w:t>：60mg/L</w:t>
            </w:r>
          </w:p>
          <w:p>
            <w:pPr>
              <w:spacing w:line="240" w:lineRule="auto"/>
              <w:ind w:right="46" w:rightChars="19" w:firstLine="0" w:firstLineChars="0"/>
              <w:jc w:val="left"/>
              <w:rPr>
                <w:sz w:val="21"/>
                <w:szCs w:val="21"/>
              </w:rPr>
            </w:pPr>
            <w:r>
              <w:rPr>
                <w:sz w:val="21"/>
                <w:szCs w:val="21"/>
              </w:rPr>
              <w:t>COD</w:t>
            </w:r>
            <w:r>
              <w:rPr>
                <w:rFonts w:hint="eastAsia"/>
                <w:sz w:val="21"/>
                <w:szCs w:val="21"/>
              </w:rPr>
              <w:t>：250mg/L</w:t>
            </w:r>
          </w:p>
          <w:p>
            <w:pPr>
              <w:spacing w:line="240" w:lineRule="auto"/>
              <w:ind w:right="46" w:rightChars="19" w:firstLine="0" w:firstLineChars="0"/>
              <w:jc w:val="left"/>
              <w:rPr>
                <w:sz w:val="21"/>
                <w:szCs w:val="21"/>
              </w:rPr>
            </w:pPr>
            <w:r>
              <w:rPr>
                <w:sz w:val="21"/>
                <w:szCs w:val="21"/>
              </w:rPr>
              <w:t>BOD</w:t>
            </w:r>
            <w:r>
              <w:rPr>
                <w:sz w:val="21"/>
                <w:szCs w:val="21"/>
                <w:vertAlign w:val="subscript"/>
              </w:rPr>
              <w:t>5</w:t>
            </w:r>
            <w:r>
              <w:rPr>
                <w:rFonts w:hint="eastAsia"/>
                <w:sz w:val="21"/>
                <w:szCs w:val="21"/>
              </w:rPr>
              <w:t>：100mg/L</w:t>
            </w:r>
          </w:p>
          <w:p>
            <w:pPr>
              <w:spacing w:line="240" w:lineRule="auto"/>
              <w:ind w:right="46" w:rightChars="19" w:firstLine="0" w:firstLineChars="0"/>
              <w:jc w:val="left"/>
              <w:rPr>
                <w:sz w:val="21"/>
                <w:szCs w:val="21"/>
              </w:rPr>
            </w:pPr>
            <w:r>
              <w:rPr>
                <w:sz w:val="21"/>
                <w:szCs w:val="21"/>
              </w:rPr>
              <w:t>NH</w:t>
            </w:r>
            <w:r>
              <w:rPr>
                <w:sz w:val="21"/>
                <w:szCs w:val="21"/>
                <w:vertAlign w:val="subscript"/>
              </w:rPr>
              <w:t>3</w:t>
            </w:r>
            <w:r>
              <w:rPr>
                <w:sz w:val="21"/>
                <w:szCs w:val="21"/>
              </w:rPr>
              <w:t>-N</w:t>
            </w:r>
            <w:r>
              <w:rPr>
                <w:rFonts w:hint="eastAsia"/>
                <w:sz w:val="21"/>
                <w:szCs w:val="21"/>
              </w:rPr>
              <w:t>：40mg/L</w:t>
            </w:r>
          </w:p>
          <w:p>
            <w:pPr>
              <w:spacing w:line="240" w:lineRule="auto"/>
              <w:ind w:right="46" w:rightChars="19" w:firstLine="0" w:firstLineChars="0"/>
              <w:jc w:val="left"/>
              <w:rPr>
                <w:sz w:val="21"/>
                <w:szCs w:val="21"/>
              </w:rPr>
            </w:pPr>
            <w:r>
              <w:rPr>
                <w:sz w:val="21"/>
                <w:szCs w:val="21"/>
              </w:rPr>
              <w:t>TP</w:t>
            </w:r>
            <w:r>
              <w:rPr>
                <w:rFonts w:hint="eastAsia"/>
                <w:sz w:val="21"/>
                <w:szCs w:val="21"/>
              </w:rPr>
              <w:t>：5mg/L</w:t>
            </w:r>
          </w:p>
          <w:p>
            <w:pPr>
              <w:spacing w:line="240" w:lineRule="auto"/>
              <w:ind w:right="46" w:rightChars="19" w:firstLine="0" w:firstLineChars="0"/>
              <w:jc w:val="left"/>
              <w:rPr>
                <w:sz w:val="21"/>
                <w:szCs w:val="21"/>
              </w:rPr>
            </w:pPr>
            <w:r>
              <w:rPr>
                <w:sz w:val="21"/>
                <w:szCs w:val="21"/>
              </w:rPr>
              <w:t>TN</w:t>
            </w:r>
            <w:r>
              <w:rPr>
                <w:rFonts w:hint="eastAsia"/>
                <w:sz w:val="21"/>
                <w:szCs w:val="21"/>
              </w:rPr>
              <w:t>：40mg/L</w:t>
            </w:r>
          </w:p>
          <w:p>
            <w:pPr>
              <w:spacing w:line="240" w:lineRule="auto"/>
              <w:ind w:right="46" w:rightChars="19" w:firstLine="0" w:firstLineChars="0"/>
              <w:jc w:val="left"/>
              <w:rPr>
                <w:sz w:val="21"/>
                <w:szCs w:val="21"/>
              </w:rPr>
            </w:pPr>
            <w:r>
              <w:rPr>
                <w:rFonts w:hint="eastAsia"/>
                <w:sz w:val="21"/>
                <w:szCs w:val="21"/>
              </w:rPr>
              <w:t>LAS：10mg/L</w:t>
            </w:r>
          </w:p>
          <w:p>
            <w:pPr>
              <w:spacing w:line="240" w:lineRule="auto"/>
              <w:ind w:right="46" w:rightChars="19" w:firstLine="0" w:firstLineChars="0"/>
              <w:jc w:val="left"/>
              <w:rPr>
                <w:sz w:val="21"/>
                <w:szCs w:val="21"/>
              </w:rPr>
            </w:pPr>
            <w:r>
              <w:rPr>
                <w:rFonts w:hint="eastAsia"/>
                <w:sz w:val="21"/>
                <w:szCs w:val="21"/>
              </w:rPr>
              <w:t>挥发酚：1.0mg/L</w:t>
            </w:r>
          </w:p>
          <w:p>
            <w:pPr>
              <w:spacing w:line="240" w:lineRule="auto"/>
              <w:ind w:right="46" w:rightChars="19" w:firstLine="0" w:firstLineChars="0"/>
              <w:jc w:val="left"/>
              <w:rPr>
                <w:sz w:val="21"/>
                <w:szCs w:val="21"/>
              </w:rPr>
            </w:pPr>
            <w:r>
              <w:rPr>
                <w:rFonts w:hint="eastAsia"/>
                <w:sz w:val="21"/>
                <w:szCs w:val="21"/>
              </w:rPr>
              <w:t>粪大肠菌群数：5000</w:t>
            </w:r>
            <w:r>
              <w:rPr>
                <w:sz w:val="21"/>
                <w:szCs w:val="21"/>
              </w:rPr>
              <w:t xml:space="preserve"> MPN/L</w:t>
            </w:r>
          </w:p>
          <w:p>
            <w:pPr>
              <w:spacing w:line="240" w:lineRule="auto"/>
              <w:ind w:right="46" w:rightChars="19" w:firstLine="0" w:firstLineChars="0"/>
              <w:jc w:val="left"/>
              <w:rPr>
                <w:sz w:val="21"/>
                <w:szCs w:val="21"/>
              </w:rPr>
            </w:pPr>
            <w:r>
              <w:rPr>
                <w:rFonts w:hint="eastAsia"/>
                <w:sz w:val="21"/>
                <w:szCs w:val="21"/>
              </w:rPr>
              <w:t>动植物油：20mg/L</w:t>
            </w:r>
          </w:p>
          <w:p>
            <w:pPr>
              <w:spacing w:line="240" w:lineRule="auto"/>
              <w:ind w:right="46" w:rightChars="19" w:firstLine="0" w:firstLineChars="0"/>
              <w:jc w:val="left"/>
              <w:rPr>
                <w:sz w:val="21"/>
                <w:szCs w:val="21"/>
              </w:rPr>
            </w:pPr>
            <w:r>
              <w:rPr>
                <w:rFonts w:hint="eastAsia"/>
                <w:sz w:val="21"/>
                <w:szCs w:val="21"/>
              </w:rPr>
              <w:t>总余氯：2-8</w:t>
            </w:r>
          </w:p>
        </w:tc>
        <w:tc>
          <w:tcPr>
            <w:tcW w:w="2126" w:type="dxa"/>
            <w:vAlign w:val="center"/>
          </w:tcPr>
          <w:p>
            <w:pPr>
              <w:spacing w:line="240" w:lineRule="auto"/>
              <w:ind w:right="46" w:rightChars="19" w:firstLine="0" w:firstLineChars="0"/>
              <w:jc w:val="left"/>
              <w:rPr>
                <w:sz w:val="21"/>
                <w:szCs w:val="21"/>
              </w:rPr>
            </w:pPr>
            <w:r>
              <w:rPr>
                <w:rFonts w:hint="eastAsia"/>
                <w:sz w:val="21"/>
                <w:szCs w:val="21"/>
              </w:rPr>
              <w:t>《医疗机构水污染物排放标准》（GB18466-2005）表2中预处理标准，同时满足与石家庄高新技术产业开发区供水排水公司签订的污水排放协议要求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798" w:type="dxa"/>
            <w:vMerge w:val="restart"/>
            <w:vAlign w:val="center"/>
          </w:tcPr>
          <w:p>
            <w:pPr>
              <w:spacing w:line="240" w:lineRule="auto"/>
              <w:ind w:right="46" w:rightChars="19" w:firstLine="0" w:firstLineChars="0"/>
              <w:jc w:val="center"/>
              <w:rPr>
                <w:sz w:val="21"/>
                <w:szCs w:val="21"/>
              </w:rPr>
            </w:pPr>
            <w:r>
              <w:rPr>
                <w:sz w:val="21"/>
                <w:szCs w:val="21"/>
              </w:rPr>
              <w:t>声环境</w:t>
            </w:r>
          </w:p>
        </w:tc>
        <w:tc>
          <w:tcPr>
            <w:tcW w:w="1421" w:type="dxa"/>
            <w:vMerge w:val="restart"/>
            <w:vAlign w:val="center"/>
          </w:tcPr>
          <w:p>
            <w:pPr>
              <w:spacing w:line="240" w:lineRule="auto"/>
              <w:ind w:right="46" w:rightChars="19" w:firstLine="0" w:firstLineChars="0"/>
              <w:jc w:val="left"/>
              <w:rPr>
                <w:sz w:val="21"/>
                <w:szCs w:val="21"/>
              </w:rPr>
            </w:pPr>
            <w:r>
              <w:rPr>
                <w:rFonts w:hint="eastAsia"/>
                <w:sz w:val="21"/>
                <w:szCs w:val="21"/>
              </w:rPr>
              <w:t>污水处理泵类、污水处理风机、煎药室风机、废气处理系统风机、空调系统热泵机组/冷却塔、离心机等仪器设备</w:t>
            </w:r>
          </w:p>
        </w:tc>
        <w:tc>
          <w:tcPr>
            <w:tcW w:w="1364" w:type="dxa"/>
            <w:vMerge w:val="restart"/>
            <w:vAlign w:val="center"/>
          </w:tcPr>
          <w:p>
            <w:pPr>
              <w:spacing w:line="240" w:lineRule="auto"/>
              <w:ind w:right="46" w:rightChars="19" w:firstLine="0" w:firstLineChars="0"/>
              <w:jc w:val="center"/>
              <w:rPr>
                <w:sz w:val="21"/>
                <w:szCs w:val="21"/>
                <w:lang w:val="zh-CN"/>
              </w:rPr>
            </w:pPr>
            <w:r>
              <w:rPr>
                <w:sz w:val="21"/>
                <w:szCs w:val="21"/>
              </w:rPr>
              <w:t>A声级</w:t>
            </w:r>
          </w:p>
        </w:tc>
        <w:tc>
          <w:tcPr>
            <w:tcW w:w="1984" w:type="dxa"/>
            <w:vMerge w:val="restart"/>
            <w:vAlign w:val="center"/>
          </w:tcPr>
          <w:p>
            <w:pPr>
              <w:pStyle w:val="6"/>
              <w:ind w:right="46" w:rightChars="19" w:firstLine="0" w:firstLineChars="0"/>
              <w:jc w:val="left"/>
              <w:rPr>
                <w:szCs w:val="21"/>
                <w:lang w:eastAsia="zh-CN"/>
              </w:rPr>
            </w:pPr>
            <w:r>
              <w:rPr>
                <w:rFonts w:hint="eastAsia"/>
                <w:szCs w:val="21"/>
                <w:lang w:eastAsia="zh-CN"/>
              </w:rPr>
              <w:t>选用低噪声设备、采取合理布局、隔声减震、厂房隔声等措施</w:t>
            </w:r>
          </w:p>
        </w:tc>
        <w:tc>
          <w:tcPr>
            <w:tcW w:w="2322" w:type="dxa"/>
            <w:gridSpan w:val="2"/>
            <w:vAlign w:val="center"/>
          </w:tcPr>
          <w:p>
            <w:pPr>
              <w:spacing w:line="240" w:lineRule="auto"/>
              <w:ind w:right="46" w:rightChars="19" w:firstLine="0" w:firstLineChars="0"/>
              <w:jc w:val="left"/>
              <w:rPr>
                <w:sz w:val="21"/>
                <w:szCs w:val="21"/>
              </w:rPr>
            </w:pPr>
            <w:r>
              <w:rPr>
                <w:rFonts w:hint="eastAsia"/>
                <w:sz w:val="21"/>
                <w:szCs w:val="21"/>
              </w:rPr>
              <w:t>昼间：55dB（A）</w:t>
            </w:r>
          </w:p>
          <w:p>
            <w:pPr>
              <w:spacing w:line="240" w:lineRule="auto"/>
              <w:ind w:right="46" w:rightChars="19" w:firstLine="0" w:firstLineChars="0"/>
              <w:jc w:val="left"/>
              <w:rPr>
                <w:sz w:val="21"/>
                <w:szCs w:val="21"/>
              </w:rPr>
            </w:pPr>
            <w:r>
              <w:rPr>
                <w:rFonts w:hint="eastAsia"/>
                <w:sz w:val="21"/>
                <w:szCs w:val="21"/>
              </w:rPr>
              <w:t>夜间：45dB（A）</w:t>
            </w:r>
          </w:p>
        </w:tc>
        <w:tc>
          <w:tcPr>
            <w:tcW w:w="2126" w:type="dxa"/>
            <w:vAlign w:val="center"/>
          </w:tcPr>
          <w:p>
            <w:pPr>
              <w:spacing w:line="240" w:lineRule="auto"/>
              <w:ind w:right="46" w:rightChars="19" w:firstLine="0" w:firstLineChars="0"/>
              <w:jc w:val="left"/>
              <w:rPr>
                <w:sz w:val="21"/>
                <w:szCs w:val="21"/>
              </w:rPr>
            </w:pPr>
            <w:r>
              <w:rPr>
                <w:rFonts w:hint="eastAsia"/>
                <w:sz w:val="21"/>
                <w:szCs w:val="21"/>
              </w:rPr>
              <w:t>北、东、南厂界：</w:t>
            </w:r>
            <w:r>
              <w:rPr>
                <w:sz w:val="21"/>
                <w:szCs w:val="21"/>
              </w:rPr>
              <w:t>《工业企业厂界环境噪声排放标准》（GB12348-2008）中的</w:t>
            </w:r>
            <w:r>
              <w:rPr>
                <w:rFonts w:hint="eastAsia"/>
                <w:sz w:val="21"/>
                <w:szCs w:val="21"/>
              </w:rPr>
              <w:t>1</w:t>
            </w:r>
            <w:r>
              <w:rPr>
                <w:sz w:val="21"/>
                <w:szCs w:val="21"/>
              </w:rPr>
              <w:t>类标准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98" w:type="dxa"/>
            <w:vMerge w:val="continue"/>
            <w:vAlign w:val="center"/>
          </w:tcPr>
          <w:p>
            <w:pPr>
              <w:spacing w:line="240" w:lineRule="auto"/>
              <w:ind w:right="46" w:rightChars="19" w:firstLine="0" w:firstLineChars="0"/>
              <w:jc w:val="center"/>
              <w:rPr>
                <w:sz w:val="21"/>
                <w:szCs w:val="21"/>
              </w:rPr>
            </w:pPr>
          </w:p>
        </w:tc>
        <w:tc>
          <w:tcPr>
            <w:tcW w:w="1421" w:type="dxa"/>
            <w:vMerge w:val="continue"/>
            <w:vAlign w:val="center"/>
          </w:tcPr>
          <w:p>
            <w:pPr>
              <w:spacing w:line="240" w:lineRule="auto"/>
              <w:ind w:right="46" w:rightChars="19" w:firstLine="0" w:firstLineChars="0"/>
              <w:jc w:val="center"/>
              <w:rPr>
                <w:sz w:val="21"/>
                <w:szCs w:val="21"/>
              </w:rPr>
            </w:pPr>
          </w:p>
        </w:tc>
        <w:tc>
          <w:tcPr>
            <w:tcW w:w="1364" w:type="dxa"/>
            <w:vMerge w:val="continue"/>
            <w:vAlign w:val="center"/>
          </w:tcPr>
          <w:p>
            <w:pPr>
              <w:spacing w:line="240" w:lineRule="auto"/>
              <w:ind w:right="46" w:rightChars="19" w:firstLine="0" w:firstLineChars="0"/>
              <w:jc w:val="center"/>
              <w:rPr>
                <w:sz w:val="21"/>
                <w:szCs w:val="21"/>
              </w:rPr>
            </w:pPr>
          </w:p>
        </w:tc>
        <w:tc>
          <w:tcPr>
            <w:tcW w:w="1984" w:type="dxa"/>
            <w:vMerge w:val="continue"/>
            <w:vAlign w:val="center"/>
          </w:tcPr>
          <w:p>
            <w:pPr>
              <w:pStyle w:val="6"/>
              <w:ind w:right="46" w:rightChars="19" w:firstLine="0" w:firstLineChars="0"/>
              <w:jc w:val="left"/>
              <w:rPr>
                <w:szCs w:val="21"/>
                <w:lang w:eastAsia="zh-CN"/>
              </w:rPr>
            </w:pPr>
          </w:p>
        </w:tc>
        <w:tc>
          <w:tcPr>
            <w:tcW w:w="2322" w:type="dxa"/>
            <w:gridSpan w:val="2"/>
            <w:vAlign w:val="center"/>
          </w:tcPr>
          <w:p>
            <w:pPr>
              <w:spacing w:line="240" w:lineRule="auto"/>
              <w:ind w:right="46" w:rightChars="19" w:firstLine="0" w:firstLineChars="0"/>
              <w:jc w:val="left"/>
              <w:rPr>
                <w:sz w:val="21"/>
                <w:szCs w:val="21"/>
              </w:rPr>
            </w:pPr>
            <w:r>
              <w:rPr>
                <w:rFonts w:hint="eastAsia"/>
                <w:sz w:val="21"/>
                <w:szCs w:val="21"/>
              </w:rPr>
              <w:t>昼间：70dB（A）</w:t>
            </w:r>
          </w:p>
          <w:p>
            <w:pPr>
              <w:spacing w:line="240" w:lineRule="auto"/>
              <w:ind w:right="46" w:rightChars="19" w:firstLine="0" w:firstLineChars="0"/>
              <w:jc w:val="left"/>
              <w:rPr>
                <w:sz w:val="21"/>
                <w:szCs w:val="21"/>
              </w:rPr>
            </w:pPr>
            <w:r>
              <w:rPr>
                <w:rFonts w:hint="eastAsia"/>
                <w:sz w:val="21"/>
                <w:szCs w:val="21"/>
              </w:rPr>
              <w:t>夜间：55dB（A）</w:t>
            </w:r>
          </w:p>
        </w:tc>
        <w:tc>
          <w:tcPr>
            <w:tcW w:w="2126" w:type="dxa"/>
            <w:vAlign w:val="center"/>
          </w:tcPr>
          <w:p>
            <w:pPr>
              <w:spacing w:line="240" w:lineRule="auto"/>
              <w:ind w:right="46" w:rightChars="19" w:firstLine="0" w:firstLineChars="0"/>
              <w:jc w:val="left"/>
              <w:rPr>
                <w:sz w:val="21"/>
                <w:szCs w:val="21"/>
              </w:rPr>
            </w:pPr>
            <w:r>
              <w:rPr>
                <w:rFonts w:hint="eastAsia"/>
                <w:sz w:val="21"/>
                <w:szCs w:val="21"/>
              </w:rPr>
              <w:t>西厂界：</w:t>
            </w:r>
            <w:r>
              <w:rPr>
                <w:sz w:val="21"/>
                <w:szCs w:val="21"/>
              </w:rPr>
              <w:t>《工业企业厂界环境噪声排放标准》（GB12348-2008）中的</w:t>
            </w:r>
            <w:r>
              <w:rPr>
                <w:rFonts w:hint="eastAsia"/>
                <w:sz w:val="21"/>
                <w:szCs w:val="21"/>
              </w:rPr>
              <w:t>4</w:t>
            </w:r>
            <w:r>
              <w:rPr>
                <w:sz w:val="21"/>
                <w:szCs w:val="21"/>
              </w:rPr>
              <w:t>类标准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798" w:type="dxa"/>
            <w:vMerge w:val="restart"/>
            <w:vAlign w:val="center"/>
          </w:tcPr>
          <w:p>
            <w:pPr>
              <w:spacing w:line="240" w:lineRule="auto"/>
              <w:ind w:right="46" w:rightChars="19" w:firstLine="0" w:firstLineChars="0"/>
              <w:jc w:val="center"/>
              <w:rPr>
                <w:sz w:val="21"/>
                <w:szCs w:val="21"/>
              </w:rPr>
            </w:pPr>
            <w:r>
              <w:rPr>
                <w:rFonts w:hint="eastAsia"/>
                <w:sz w:val="21"/>
                <w:szCs w:val="21"/>
              </w:rPr>
              <w:t>固体废物</w:t>
            </w:r>
          </w:p>
        </w:tc>
        <w:tc>
          <w:tcPr>
            <w:tcW w:w="1421" w:type="dxa"/>
            <w:vAlign w:val="center"/>
          </w:tcPr>
          <w:p>
            <w:pPr>
              <w:pStyle w:val="28"/>
              <w:spacing w:line="240" w:lineRule="auto"/>
              <w:ind w:right="46" w:rightChars="19"/>
              <w:rPr>
                <w:szCs w:val="21"/>
              </w:rPr>
            </w:pPr>
            <w:r>
              <w:rPr>
                <w:rFonts w:hint="eastAsia"/>
                <w:szCs w:val="21"/>
              </w:rPr>
              <w:t>职工、病人</w:t>
            </w:r>
          </w:p>
        </w:tc>
        <w:tc>
          <w:tcPr>
            <w:tcW w:w="1364" w:type="dxa"/>
            <w:vAlign w:val="center"/>
          </w:tcPr>
          <w:p>
            <w:pPr>
              <w:pStyle w:val="28"/>
              <w:spacing w:line="240" w:lineRule="auto"/>
              <w:ind w:right="46" w:rightChars="19"/>
              <w:rPr>
                <w:szCs w:val="21"/>
              </w:rPr>
            </w:pPr>
            <w:r>
              <w:rPr>
                <w:rFonts w:hint="eastAsia"/>
                <w:szCs w:val="21"/>
              </w:rPr>
              <w:t>生活垃圾</w:t>
            </w:r>
          </w:p>
        </w:tc>
        <w:tc>
          <w:tcPr>
            <w:tcW w:w="1984" w:type="dxa"/>
            <w:vAlign w:val="center"/>
          </w:tcPr>
          <w:p>
            <w:pPr>
              <w:pStyle w:val="28"/>
              <w:spacing w:line="240" w:lineRule="auto"/>
              <w:ind w:right="46" w:rightChars="19"/>
              <w:jc w:val="left"/>
              <w:rPr>
                <w:szCs w:val="21"/>
              </w:rPr>
            </w:pPr>
            <w:r>
              <w:rPr>
                <w:rFonts w:hint="eastAsia"/>
                <w:szCs w:val="21"/>
              </w:rPr>
              <w:t>环卫部门统一清运处理</w:t>
            </w:r>
          </w:p>
        </w:tc>
        <w:tc>
          <w:tcPr>
            <w:tcW w:w="4448" w:type="dxa"/>
            <w:gridSpan w:val="3"/>
            <w:vMerge w:val="restart"/>
            <w:vAlign w:val="center"/>
          </w:tcPr>
          <w:p>
            <w:pPr>
              <w:spacing w:line="240" w:lineRule="auto"/>
              <w:ind w:right="46" w:rightChars="19" w:firstLine="0" w:firstLineChars="0"/>
              <w:jc w:val="left"/>
              <w:rPr>
                <w:sz w:val="21"/>
                <w:szCs w:val="21"/>
              </w:rPr>
            </w:pPr>
            <w:r>
              <w:rPr>
                <w:rFonts w:hint="eastAsia"/>
                <w:sz w:val="21"/>
                <w:szCs w:val="21"/>
              </w:rPr>
              <w:t>《一般工业固体废物贮存和填埋污染控制标准》（GB18599-2020）相关规定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798" w:type="dxa"/>
            <w:vMerge w:val="continue"/>
            <w:vAlign w:val="center"/>
          </w:tcPr>
          <w:p>
            <w:pPr>
              <w:spacing w:line="240" w:lineRule="auto"/>
              <w:ind w:right="46" w:rightChars="19" w:firstLine="0" w:firstLineChars="0"/>
              <w:jc w:val="center"/>
              <w:rPr>
                <w:sz w:val="21"/>
                <w:szCs w:val="21"/>
              </w:rPr>
            </w:pPr>
          </w:p>
        </w:tc>
        <w:tc>
          <w:tcPr>
            <w:tcW w:w="1421" w:type="dxa"/>
            <w:vAlign w:val="center"/>
          </w:tcPr>
          <w:p>
            <w:pPr>
              <w:pStyle w:val="28"/>
              <w:spacing w:line="240" w:lineRule="auto"/>
              <w:ind w:right="46" w:rightChars="19"/>
              <w:rPr>
                <w:szCs w:val="21"/>
              </w:rPr>
            </w:pPr>
            <w:r>
              <w:rPr>
                <w:rFonts w:hint="eastAsia"/>
                <w:szCs w:val="21"/>
              </w:rPr>
              <w:t>煎药室</w:t>
            </w:r>
          </w:p>
        </w:tc>
        <w:tc>
          <w:tcPr>
            <w:tcW w:w="1364" w:type="dxa"/>
            <w:vAlign w:val="center"/>
          </w:tcPr>
          <w:p>
            <w:pPr>
              <w:pStyle w:val="28"/>
              <w:spacing w:line="240" w:lineRule="auto"/>
              <w:ind w:right="46" w:rightChars="19"/>
              <w:rPr>
                <w:szCs w:val="21"/>
              </w:rPr>
            </w:pPr>
            <w:r>
              <w:rPr>
                <w:rFonts w:hint="eastAsia"/>
                <w:szCs w:val="21"/>
              </w:rPr>
              <w:t>中药渣</w:t>
            </w:r>
          </w:p>
        </w:tc>
        <w:tc>
          <w:tcPr>
            <w:tcW w:w="1984" w:type="dxa"/>
            <w:vAlign w:val="center"/>
          </w:tcPr>
          <w:p>
            <w:pPr>
              <w:pStyle w:val="28"/>
              <w:spacing w:line="240" w:lineRule="auto"/>
              <w:ind w:right="46" w:rightChars="19"/>
              <w:jc w:val="left"/>
              <w:rPr>
                <w:szCs w:val="21"/>
              </w:rPr>
            </w:pPr>
            <w:r>
              <w:rPr>
                <w:rFonts w:hint="eastAsia"/>
                <w:szCs w:val="21"/>
              </w:rPr>
              <w:t>暂存于密闭桶内，定期由肥料生产企业定期拉运制作肥料</w:t>
            </w:r>
          </w:p>
        </w:tc>
        <w:tc>
          <w:tcPr>
            <w:tcW w:w="4448" w:type="dxa"/>
            <w:gridSpan w:val="3"/>
            <w:vMerge w:val="continue"/>
            <w:vAlign w:val="center"/>
          </w:tcPr>
          <w:p>
            <w:pPr>
              <w:spacing w:line="240" w:lineRule="auto"/>
              <w:ind w:right="46" w:rightChars="19" w:firstLine="0" w:firstLineChars="0"/>
              <w:jc w:val="left"/>
              <w:rPr>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798" w:type="dxa"/>
            <w:vMerge w:val="continue"/>
            <w:vAlign w:val="center"/>
          </w:tcPr>
          <w:p>
            <w:pPr>
              <w:spacing w:line="240" w:lineRule="auto"/>
              <w:ind w:right="46" w:rightChars="19" w:firstLine="0" w:firstLineChars="0"/>
              <w:jc w:val="center"/>
              <w:rPr>
                <w:sz w:val="21"/>
                <w:szCs w:val="21"/>
              </w:rPr>
            </w:pPr>
          </w:p>
        </w:tc>
        <w:tc>
          <w:tcPr>
            <w:tcW w:w="1421" w:type="dxa"/>
            <w:vAlign w:val="center"/>
          </w:tcPr>
          <w:p>
            <w:pPr>
              <w:pStyle w:val="28"/>
              <w:spacing w:line="240" w:lineRule="auto"/>
              <w:ind w:right="46" w:rightChars="19"/>
              <w:rPr>
                <w:szCs w:val="21"/>
              </w:rPr>
            </w:pPr>
            <w:r>
              <w:rPr>
                <w:rFonts w:hint="eastAsia"/>
                <w:szCs w:val="21"/>
              </w:rPr>
              <w:t>药品、器材</w:t>
            </w:r>
          </w:p>
        </w:tc>
        <w:tc>
          <w:tcPr>
            <w:tcW w:w="1364" w:type="dxa"/>
            <w:vAlign w:val="center"/>
          </w:tcPr>
          <w:p>
            <w:pPr>
              <w:pStyle w:val="28"/>
              <w:spacing w:line="240" w:lineRule="auto"/>
              <w:ind w:right="46" w:rightChars="19"/>
              <w:rPr>
                <w:szCs w:val="21"/>
              </w:rPr>
            </w:pPr>
            <w:r>
              <w:rPr>
                <w:rFonts w:hint="eastAsia"/>
                <w:szCs w:val="21"/>
              </w:rPr>
              <w:t>废外包装物</w:t>
            </w:r>
          </w:p>
        </w:tc>
        <w:tc>
          <w:tcPr>
            <w:tcW w:w="1984" w:type="dxa"/>
            <w:vAlign w:val="center"/>
          </w:tcPr>
          <w:p>
            <w:pPr>
              <w:pStyle w:val="28"/>
              <w:spacing w:line="240" w:lineRule="auto"/>
              <w:ind w:right="46" w:rightChars="19"/>
              <w:jc w:val="left"/>
              <w:rPr>
                <w:szCs w:val="21"/>
              </w:rPr>
            </w:pPr>
            <w:r>
              <w:rPr>
                <w:rFonts w:hint="eastAsia"/>
                <w:szCs w:val="21"/>
              </w:rPr>
              <w:t>物资回收部门回收</w:t>
            </w:r>
          </w:p>
        </w:tc>
        <w:tc>
          <w:tcPr>
            <w:tcW w:w="4448" w:type="dxa"/>
            <w:gridSpan w:val="3"/>
            <w:vMerge w:val="continue"/>
            <w:vAlign w:val="center"/>
          </w:tcPr>
          <w:p>
            <w:pPr>
              <w:spacing w:line="240" w:lineRule="auto"/>
              <w:ind w:right="46" w:rightChars="19" w:firstLine="0" w:firstLineChars="0"/>
              <w:jc w:val="left"/>
              <w:rPr>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798" w:type="dxa"/>
            <w:vMerge w:val="continue"/>
            <w:vAlign w:val="center"/>
          </w:tcPr>
          <w:p>
            <w:pPr>
              <w:spacing w:line="240" w:lineRule="auto"/>
              <w:ind w:right="46" w:rightChars="19" w:firstLine="0" w:firstLineChars="0"/>
              <w:jc w:val="center"/>
              <w:rPr>
                <w:sz w:val="21"/>
                <w:szCs w:val="21"/>
              </w:rPr>
            </w:pPr>
          </w:p>
        </w:tc>
        <w:tc>
          <w:tcPr>
            <w:tcW w:w="1421" w:type="dxa"/>
            <w:vAlign w:val="center"/>
          </w:tcPr>
          <w:p>
            <w:pPr>
              <w:pStyle w:val="28"/>
              <w:spacing w:line="240" w:lineRule="auto"/>
              <w:ind w:right="46" w:rightChars="19"/>
              <w:rPr>
                <w:szCs w:val="21"/>
              </w:rPr>
            </w:pPr>
            <w:r>
              <w:rPr>
                <w:rFonts w:hint="eastAsia"/>
                <w:szCs w:val="21"/>
              </w:rPr>
              <w:t>软水制备</w:t>
            </w:r>
          </w:p>
        </w:tc>
        <w:tc>
          <w:tcPr>
            <w:tcW w:w="1364" w:type="dxa"/>
            <w:vAlign w:val="center"/>
          </w:tcPr>
          <w:p>
            <w:pPr>
              <w:pStyle w:val="28"/>
              <w:spacing w:line="240" w:lineRule="auto"/>
              <w:ind w:right="46" w:rightChars="19"/>
              <w:jc w:val="left"/>
              <w:rPr>
                <w:szCs w:val="21"/>
              </w:rPr>
            </w:pPr>
            <w:r>
              <w:rPr>
                <w:rFonts w:hint="eastAsia"/>
                <w:szCs w:val="21"/>
              </w:rPr>
              <w:t>废离子交换树脂</w:t>
            </w:r>
          </w:p>
        </w:tc>
        <w:tc>
          <w:tcPr>
            <w:tcW w:w="1984" w:type="dxa"/>
            <w:vAlign w:val="center"/>
          </w:tcPr>
          <w:p>
            <w:pPr>
              <w:pStyle w:val="28"/>
              <w:spacing w:line="240" w:lineRule="auto"/>
              <w:ind w:right="46" w:rightChars="19"/>
              <w:jc w:val="left"/>
              <w:rPr>
                <w:szCs w:val="21"/>
              </w:rPr>
            </w:pPr>
            <w:r>
              <w:rPr>
                <w:rFonts w:hint="eastAsia"/>
                <w:szCs w:val="21"/>
              </w:rPr>
              <w:t>厂家更换回收带走</w:t>
            </w:r>
          </w:p>
        </w:tc>
        <w:tc>
          <w:tcPr>
            <w:tcW w:w="4448" w:type="dxa"/>
            <w:gridSpan w:val="3"/>
            <w:vMerge w:val="continue"/>
            <w:vAlign w:val="center"/>
          </w:tcPr>
          <w:p>
            <w:pPr>
              <w:spacing w:line="240" w:lineRule="auto"/>
              <w:ind w:right="46" w:rightChars="19" w:firstLine="0" w:firstLineChars="0"/>
              <w:jc w:val="left"/>
              <w:rPr>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798" w:type="dxa"/>
            <w:vMerge w:val="continue"/>
            <w:vAlign w:val="center"/>
          </w:tcPr>
          <w:p>
            <w:pPr>
              <w:spacing w:line="240" w:lineRule="auto"/>
              <w:ind w:right="46" w:rightChars="19" w:firstLine="0" w:firstLineChars="0"/>
              <w:jc w:val="center"/>
              <w:rPr>
                <w:sz w:val="21"/>
                <w:szCs w:val="21"/>
              </w:rPr>
            </w:pPr>
          </w:p>
        </w:tc>
        <w:tc>
          <w:tcPr>
            <w:tcW w:w="1421" w:type="dxa"/>
            <w:vAlign w:val="center"/>
          </w:tcPr>
          <w:p>
            <w:pPr>
              <w:pStyle w:val="28"/>
              <w:spacing w:line="240" w:lineRule="auto"/>
              <w:ind w:right="46" w:rightChars="19"/>
              <w:rPr>
                <w:szCs w:val="21"/>
              </w:rPr>
            </w:pPr>
            <w:r>
              <w:rPr>
                <w:rFonts w:hint="eastAsia"/>
                <w:szCs w:val="21"/>
              </w:rPr>
              <w:t>门诊、住院等</w:t>
            </w:r>
          </w:p>
        </w:tc>
        <w:tc>
          <w:tcPr>
            <w:tcW w:w="1364" w:type="dxa"/>
            <w:vAlign w:val="center"/>
          </w:tcPr>
          <w:p>
            <w:pPr>
              <w:pStyle w:val="28"/>
              <w:spacing w:line="240" w:lineRule="auto"/>
              <w:ind w:right="46" w:rightChars="19"/>
              <w:rPr>
                <w:szCs w:val="21"/>
              </w:rPr>
            </w:pPr>
            <w:r>
              <w:rPr>
                <w:rFonts w:hint="eastAsia"/>
                <w:szCs w:val="21"/>
              </w:rPr>
              <w:t>医疗废物(含废药品)</w:t>
            </w:r>
          </w:p>
        </w:tc>
        <w:tc>
          <w:tcPr>
            <w:tcW w:w="1984" w:type="dxa"/>
            <w:vMerge w:val="restart"/>
            <w:vAlign w:val="center"/>
          </w:tcPr>
          <w:p>
            <w:pPr>
              <w:pStyle w:val="6"/>
              <w:ind w:right="46" w:rightChars="19" w:firstLine="0" w:firstLineChars="0"/>
              <w:jc w:val="left"/>
              <w:rPr>
                <w:szCs w:val="21"/>
                <w:lang w:eastAsia="zh-CN"/>
              </w:rPr>
            </w:pPr>
            <w:r>
              <w:rPr>
                <w:rFonts w:hint="eastAsia"/>
                <w:szCs w:val="21"/>
                <w:lang w:eastAsia="zh-CN"/>
              </w:rPr>
              <w:t>暂存于医疗废物暂存间，定期交有资质单位处置</w:t>
            </w:r>
          </w:p>
        </w:tc>
        <w:tc>
          <w:tcPr>
            <w:tcW w:w="4448" w:type="dxa"/>
            <w:gridSpan w:val="3"/>
            <w:vMerge w:val="restart"/>
            <w:vAlign w:val="center"/>
          </w:tcPr>
          <w:p>
            <w:pPr>
              <w:spacing w:line="240" w:lineRule="auto"/>
              <w:ind w:right="46" w:rightChars="19" w:firstLine="0" w:firstLineChars="0"/>
              <w:jc w:val="center"/>
              <w:rPr>
                <w:sz w:val="21"/>
                <w:szCs w:val="21"/>
              </w:rPr>
            </w:pPr>
            <w:r>
              <w:rPr>
                <w:rFonts w:hint="eastAsia"/>
                <w:sz w:val="21"/>
                <w:szCs w:val="21"/>
              </w:rPr>
              <w:t>《危险废物贮存污染控制标准》（GB18597-2023）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798" w:type="dxa"/>
            <w:vMerge w:val="continue"/>
            <w:vAlign w:val="center"/>
          </w:tcPr>
          <w:p>
            <w:pPr>
              <w:spacing w:line="240" w:lineRule="auto"/>
              <w:ind w:right="46" w:rightChars="19" w:firstLine="0" w:firstLineChars="0"/>
              <w:jc w:val="center"/>
              <w:rPr>
                <w:sz w:val="21"/>
                <w:szCs w:val="21"/>
              </w:rPr>
            </w:pPr>
          </w:p>
        </w:tc>
        <w:tc>
          <w:tcPr>
            <w:tcW w:w="1421" w:type="dxa"/>
            <w:vMerge w:val="restart"/>
            <w:vAlign w:val="center"/>
          </w:tcPr>
          <w:p>
            <w:pPr>
              <w:pStyle w:val="28"/>
              <w:spacing w:line="240" w:lineRule="auto"/>
              <w:ind w:right="46" w:rightChars="19"/>
              <w:rPr>
                <w:szCs w:val="21"/>
              </w:rPr>
            </w:pPr>
            <w:r>
              <w:rPr>
                <w:rFonts w:hint="eastAsia"/>
                <w:szCs w:val="21"/>
              </w:rPr>
              <w:t>污水处理间</w:t>
            </w:r>
          </w:p>
        </w:tc>
        <w:tc>
          <w:tcPr>
            <w:tcW w:w="1364" w:type="dxa"/>
            <w:vAlign w:val="center"/>
          </w:tcPr>
          <w:p>
            <w:pPr>
              <w:pStyle w:val="28"/>
              <w:spacing w:line="240" w:lineRule="auto"/>
              <w:ind w:right="46" w:rightChars="19"/>
              <w:rPr>
                <w:szCs w:val="21"/>
              </w:rPr>
            </w:pPr>
            <w:r>
              <w:rPr>
                <w:rFonts w:hint="eastAsia"/>
                <w:szCs w:val="21"/>
              </w:rPr>
              <w:t>污泥、栅渣</w:t>
            </w:r>
          </w:p>
        </w:tc>
        <w:tc>
          <w:tcPr>
            <w:tcW w:w="1984" w:type="dxa"/>
            <w:vMerge w:val="continue"/>
            <w:vAlign w:val="center"/>
          </w:tcPr>
          <w:p>
            <w:pPr>
              <w:pStyle w:val="6"/>
              <w:ind w:right="46" w:rightChars="19" w:firstLine="0" w:firstLineChars="0"/>
              <w:jc w:val="left"/>
              <w:rPr>
                <w:szCs w:val="21"/>
                <w:lang w:eastAsia="zh-CN"/>
              </w:rPr>
            </w:pPr>
          </w:p>
        </w:tc>
        <w:tc>
          <w:tcPr>
            <w:tcW w:w="4448" w:type="dxa"/>
            <w:gridSpan w:val="3"/>
            <w:vMerge w:val="continue"/>
            <w:vAlign w:val="center"/>
          </w:tcPr>
          <w:p>
            <w:pPr>
              <w:spacing w:line="240" w:lineRule="auto"/>
              <w:ind w:right="46" w:rightChars="19" w:firstLine="420"/>
              <w:jc w:val="left"/>
              <w:rPr>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798" w:type="dxa"/>
            <w:vMerge w:val="continue"/>
            <w:vAlign w:val="center"/>
          </w:tcPr>
          <w:p>
            <w:pPr>
              <w:spacing w:line="240" w:lineRule="auto"/>
              <w:ind w:right="46" w:rightChars="19" w:firstLine="0" w:firstLineChars="0"/>
              <w:jc w:val="center"/>
              <w:rPr>
                <w:sz w:val="21"/>
                <w:szCs w:val="21"/>
              </w:rPr>
            </w:pPr>
          </w:p>
        </w:tc>
        <w:tc>
          <w:tcPr>
            <w:tcW w:w="1421" w:type="dxa"/>
            <w:vMerge w:val="continue"/>
            <w:vAlign w:val="center"/>
          </w:tcPr>
          <w:p>
            <w:pPr>
              <w:pStyle w:val="28"/>
              <w:spacing w:line="240" w:lineRule="auto"/>
              <w:ind w:right="46" w:rightChars="19"/>
              <w:rPr>
                <w:szCs w:val="21"/>
              </w:rPr>
            </w:pPr>
          </w:p>
        </w:tc>
        <w:tc>
          <w:tcPr>
            <w:tcW w:w="1364" w:type="dxa"/>
            <w:vAlign w:val="center"/>
          </w:tcPr>
          <w:p>
            <w:pPr>
              <w:pStyle w:val="28"/>
              <w:spacing w:line="240" w:lineRule="auto"/>
              <w:ind w:right="46" w:rightChars="19"/>
              <w:jc w:val="left"/>
              <w:rPr>
                <w:szCs w:val="21"/>
              </w:rPr>
            </w:pPr>
            <w:r>
              <w:rPr>
                <w:rFonts w:hint="eastAsia"/>
                <w:szCs w:val="21"/>
              </w:rPr>
              <w:t>在线检测废液</w:t>
            </w:r>
          </w:p>
        </w:tc>
        <w:tc>
          <w:tcPr>
            <w:tcW w:w="1984" w:type="dxa"/>
            <w:vMerge w:val="restart"/>
            <w:vAlign w:val="center"/>
          </w:tcPr>
          <w:p>
            <w:pPr>
              <w:pStyle w:val="6"/>
              <w:ind w:right="46" w:rightChars="19" w:firstLine="0" w:firstLineChars="0"/>
              <w:jc w:val="left"/>
              <w:rPr>
                <w:szCs w:val="21"/>
                <w:lang w:eastAsia="zh-CN"/>
              </w:rPr>
            </w:pPr>
            <w:r>
              <w:rPr>
                <w:rFonts w:hint="eastAsia"/>
                <w:szCs w:val="21"/>
                <w:lang w:eastAsia="zh-CN"/>
              </w:rPr>
              <w:t>暂存于危险废物暂存间，定期交有资质单位处置</w:t>
            </w:r>
          </w:p>
        </w:tc>
        <w:tc>
          <w:tcPr>
            <w:tcW w:w="4448" w:type="dxa"/>
            <w:gridSpan w:val="3"/>
            <w:vMerge w:val="continue"/>
            <w:vAlign w:val="center"/>
          </w:tcPr>
          <w:p>
            <w:pPr>
              <w:spacing w:line="240" w:lineRule="auto"/>
              <w:ind w:right="46" w:rightChars="19" w:firstLine="0" w:firstLineChars="0"/>
              <w:jc w:val="left"/>
              <w:rPr>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798" w:type="dxa"/>
            <w:vMerge w:val="continue"/>
            <w:vAlign w:val="center"/>
          </w:tcPr>
          <w:p>
            <w:pPr>
              <w:spacing w:line="240" w:lineRule="auto"/>
              <w:ind w:right="46" w:rightChars="19" w:firstLine="0" w:firstLineChars="0"/>
              <w:jc w:val="center"/>
              <w:rPr>
                <w:sz w:val="21"/>
                <w:szCs w:val="21"/>
              </w:rPr>
            </w:pPr>
          </w:p>
        </w:tc>
        <w:tc>
          <w:tcPr>
            <w:tcW w:w="1421" w:type="dxa"/>
            <w:vAlign w:val="center"/>
          </w:tcPr>
          <w:p>
            <w:pPr>
              <w:pStyle w:val="28"/>
              <w:spacing w:line="240" w:lineRule="auto"/>
              <w:ind w:right="46" w:rightChars="19"/>
              <w:rPr>
                <w:szCs w:val="21"/>
              </w:rPr>
            </w:pPr>
            <w:r>
              <w:rPr>
                <w:rFonts w:hint="eastAsia"/>
                <w:szCs w:val="21"/>
              </w:rPr>
              <w:t>废气处理</w:t>
            </w:r>
          </w:p>
        </w:tc>
        <w:tc>
          <w:tcPr>
            <w:tcW w:w="1364" w:type="dxa"/>
            <w:vAlign w:val="center"/>
          </w:tcPr>
          <w:p>
            <w:pPr>
              <w:pStyle w:val="28"/>
              <w:spacing w:line="240" w:lineRule="auto"/>
              <w:ind w:right="46" w:rightChars="19"/>
              <w:rPr>
                <w:szCs w:val="21"/>
              </w:rPr>
            </w:pPr>
            <w:r>
              <w:rPr>
                <w:rFonts w:hint="eastAsia"/>
                <w:szCs w:val="21"/>
              </w:rPr>
              <w:t>废活性炭</w:t>
            </w:r>
          </w:p>
        </w:tc>
        <w:tc>
          <w:tcPr>
            <w:tcW w:w="1984" w:type="dxa"/>
            <w:vMerge w:val="continue"/>
            <w:vAlign w:val="center"/>
          </w:tcPr>
          <w:p>
            <w:pPr>
              <w:pStyle w:val="6"/>
              <w:ind w:right="46" w:rightChars="19" w:firstLine="0" w:firstLineChars="0"/>
              <w:jc w:val="left"/>
              <w:rPr>
                <w:szCs w:val="21"/>
                <w:lang w:eastAsia="zh-CN"/>
              </w:rPr>
            </w:pPr>
          </w:p>
        </w:tc>
        <w:tc>
          <w:tcPr>
            <w:tcW w:w="4448" w:type="dxa"/>
            <w:gridSpan w:val="3"/>
            <w:vMerge w:val="continue"/>
            <w:vAlign w:val="center"/>
          </w:tcPr>
          <w:p>
            <w:pPr>
              <w:spacing w:line="240" w:lineRule="auto"/>
              <w:ind w:right="46" w:rightChars="19" w:firstLine="0" w:firstLineChars="0"/>
              <w:jc w:val="left"/>
              <w:rPr>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798" w:type="dxa"/>
            <w:vMerge w:val="continue"/>
            <w:vAlign w:val="center"/>
          </w:tcPr>
          <w:p>
            <w:pPr>
              <w:spacing w:line="240" w:lineRule="auto"/>
              <w:ind w:right="46" w:rightChars="19" w:firstLine="0" w:firstLineChars="0"/>
              <w:jc w:val="center"/>
              <w:rPr>
                <w:sz w:val="21"/>
                <w:szCs w:val="21"/>
              </w:rPr>
            </w:pPr>
          </w:p>
        </w:tc>
        <w:tc>
          <w:tcPr>
            <w:tcW w:w="1421" w:type="dxa"/>
            <w:vAlign w:val="center"/>
          </w:tcPr>
          <w:p>
            <w:pPr>
              <w:pStyle w:val="28"/>
              <w:spacing w:line="240" w:lineRule="auto"/>
              <w:ind w:right="46" w:rightChars="19"/>
              <w:rPr>
                <w:szCs w:val="21"/>
              </w:rPr>
            </w:pPr>
            <w:r>
              <w:rPr>
                <w:rFonts w:hint="eastAsia"/>
                <w:szCs w:val="21"/>
              </w:rPr>
              <w:t>污水处理等过程</w:t>
            </w:r>
          </w:p>
        </w:tc>
        <w:tc>
          <w:tcPr>
            <w:tcW w:w="1364" w:type="dxa"/>
            <w:vAlign w:val="center"/>
          </w:tcPr>
          <w:p>
            <w:pPr>
              <w:pStyle w:val="28"/>
              <w:spacing w:line="240" w:lineRule="auto"/>
              <w:ind w:right="46" w:rightChars="19"/>
              <w:rPr>
                <w:szCs w:val="21"/>
              </w:rPr>
            </w:pPr>
            <w:r>
              <w:rPr>
                <w:rFonts w:hint="eastAsia"/>
                <w:szCs w:val="21"/>
              </w:rPr>
              <w:t>药剂废包装</w:t>
            </w:r>
          </w:p>
        </w:tc>
        <w:tc>
          <w:tcPr>
            <w:tcW w:w="1984" w:type="dxa"/>
            <w:vMerge w:val="continue"/>
            <w:vAlign w:val="center"/>
          </w:tcPr>
          <w:p>
            <w:pPr>
              <w:pStyle w:val="6"/>
              <w:ind w:right="46" w:rightChars="19" w:firstLine="0" w:firstLineChars="0"/>
              <w:jc w:val="left"/>
              <w:rPr>
                <w:szCs w:val="21"/>
                <w:lang w:eastAsia="zh-CN"/>
              </w:rPr>
            </w:pPr>
          </w:p>
        </w:tc>
        <w:tc>
          <w:tcPr>
            <w:tcW w:w="4448" w:type="dxa"/>
            <w:gridSpan w:val="3"/>
            <w:vMerge w:val="continue"/>
            <w:vAlign w:val="center"/>
          </w:tcPr>
          <w:p>
            <w:pPr>
              <w:spacing w:line="240" w:lineRule="auto"/>
              <w:ind w:right="46" w:rightChars="19" w:firstLine="0" w:firstLineChars="0"/>
              <w:jc w:val="left"/>
              <w:rPr>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798" w:type="dxa"/>
            <w:vAlign w:val="center"/>
          </w:tcPr>
          <w:p>
            <w:pPr>
              <w:spacing w:line="240" w:lineRule="auto"/>
              <w:ind w:right="46" w:rightChars="19" w:firstLine="0" w:firstLineChars="0"/>
              <w:jc w:val="center"/>
              <w:rPr>
                <w:sz w:val="21"/>
                <w:szCs w:val="21"/>
              </w:rPr>
            </w:pPr>
            <w:r>
              <w:rPr>
                <w:sz w:val="21"/>
                <w:szCs w:val="21"/>
              </w:rPr>
              <w:t>土壤及地下水污染防治措施</w:t>
            </w:r>
          </w:p>
        </w:tc>
        <w:tc>
          <w:tcPr>
            <w:tcW w:w="9217" w:type="dxa"/>
            <w:gridSpan w:val="6"/>
            <w:vAlign w:val="center"/>
          </w:tcPr>
          <w:p>
            <w:pPr>
              <w:adjustRightInd w:val="0"/>
              <w:snapToGrid w:val="0"/>
              <w:spacing w:line="240" w:lineRule="auto"/>
              <w:ind w:firstLine="0" w:firstLineChars="0"/>
              <w:jc w:val="left"/>
              <w:rPr>
                <w:bCs/>
                <w:sz w:val="21"/>
                <w:szCs w:val="21"/>
              </w:rPr>
            </w:pPr>
            <w:r>
              <w:rPr>
                <w:rFonts w:hint="eastAsia"/>
                <w:bCs/>
                <w:sz w:val="21"/>
                <w:szCs w:val="21"/>
              </w:rPr>
              <w:t>重点防渗区：①危废暂存间、医疗废物暂存间、污水处理间及污水处理池体为重点防渗，根据《危险废物贮存污染控制标准》（GB 18597-2023）要求执行，等效黏土防渗层Mb≥6.0m，K≤1×10</w:t>
            </w:r>
            <w:r>
              <w:rPr>
                <w:rFonts w:hint="eastAsia"/>
                <w:bCs/>
                <w:sz w:val="21"/>
                <w:szCs w:val="21"/>
                <w:vertAlign w:val="superscript"/>
              </w:rPr>
              <w:t>-10</w:t>
            </w:r>
            <w:r>
              <w:rPr>
                <w:rFonts w:hint="eastAsia"/>
                <w:bCs/>
                <w:sz w:val="21"/>
                <w:szCs w:val="21"/>
              </w:rPr>
              <w:t>cm/s；或参照GB18598执行。</w:t>
            </w:r>
          </w:p>
          <w:p>
            <w:pPr>
              <w:adjustRightInd w:val="0"/>
              <w:snapToGrid w:val="0"/>
              <w:spacing w:line="240" w:lineRule="auto"/>
              <w:ind w:firstLine="0" w:firstLineChars="0"/>
              <w:jc w:val="left"/>
              <w:rPr>
                <w:bCs/>
                <w:sz w:val="21"/>
                <w:szCs w:val="21"/>
              </w:rPr>
            </w:pPr>
            <w:r>
              <w:rPr>
                <w:rFonts w:hint="eastAsia"/>
                <w:bCs/>
                <w:sz w:val="21"/>
                <w:szCs w:val="21"/>
              </w:rPr>
              <w:t>一般防渗区：</w:t>
            </w:r>
            <w:r>
              <w:rPr>
                <w:rFonts w:hint="eastAsia"/>
                <w:bCs/>
                <w:sz w:val="21"/>
                <w:szCs w:val="21"/>
              </w:rPr>
              <w:fldChar w:fldCharType="begin"/>
            </w:r>
            <w:r>
              <w:rPr>
                <w:rFonts w:hint="eastAsia"/>
                <w:bCs/>
                <w:sz w:val="21"/>
                <w:szCs w:val="21"/>
              </w:rPr>
              <w:instrText xml:space="preserve"> = 2 \* GB3 \* MERGEFORMAT </w:instrText>
            </w:r>
            <w:r>
              <w:rPr>
                <w:rFonts w:hint="eastAsia"/>
                <w:bCs/>
                <w:sz w:val="21"/>
                <w:szCs w:val="21"/>
              </w:rPr>
              <w:fldChar w:fldCharType="separate"/>
            </w:r>
            <w:r>
              <w:rPr>
                <w:rFonts w:hint="eastAsia"/>
                <w:bCs/>
                <w:sz w:val="21"/>
                <w:szCs w:val="21"/>
              </w:rPr>
              <w:t>②</w:t>
            </w:r>
            <w:r>
              <w:rPr>
                <w:rFonts w:hint="eastAsia"/>
                <w:bCs/>
                <w:sz w:val="21"/>
                <w:szCs w:val="21"/>
              </w:rPr>
              <w:fldChar w:fldCharType="end"/>
            </w:r>
            <w:r>
              <w:rPr>
                <w:rFonts w:hint="eastAsia"/>
                <w:bCs/>
                <w:sz w:val="21"/>
                <w:szCs w:val="21"/>
              </w:rPr>
              <w:t>医院其他位置为一般防渗；防渗层渗透系数≤1×10</w:t>
            </w:r>
            <w:r>
              <w:rPr>
                <w:rFonts w:hint="eastAsia"/>
                <w:bCs/>
                <w:sz w:val="21"/>
                <w:szCs w:val="21"/>
                <w:vertAlign w:val="superscript"/>
              </w:rPr>
              <w:t>-7</w:t>
            </w:r>
            <w:r>
              <w:rPr>
                <w:rFonts w:hint="eastAsia"/>
                <w:bCs/>
                <w:sz w:val="21"/>
                <w:szCs w:val="21"/>
              </w:rPr>
              <w:t>cm/s，等效粘土防渗层Mb≥1.5m。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798" w:type="dxa"/>
            <w:vAlign w:val="center"/>
          </w:tcPr>
          <w:p>
            <w:pPr>
              <w:spacing w:line="240" w:lineRule="auto"/>
              <w:ind w:right="46" w:rightChars="19" w:firstLine="0" w:firstLineChars="0"/>
              <w:jc w:val="center"/>
              <w:rPr>
                <w:sz w:val="21"/>
                <w:szCs w:val="21"/>
              </w:rPr>
            </w:pPr>
            <w:r>
              <w:rPr>
                <w:sz w:val="21"/>
                <w:szCs w:val="21"/>
              </w:rPr>
              <w:t>环境风险防范措施</w:t>
            </w:r>
          </w:p>
        </w:tc>
        <w:tc>
          <w:tcPr>
            <w:tcW w:w="9217" w:type="dxa"/>
            <w:gridSpan w:val="6"/>
            <w:vAlign w:val="center"/>
          </w:tcPr>
          <w:p>
            <w:pPr>
              <w:adjustRightInd w:val="0"/>
              <w:snapToGrid w:val="0"/>
              <w:spacing w:line="240" w:lineRule="auto"/>
              <w:ind w:firstLine="0" w:firstLineChars="0"/>
              <w:jc w:val="left"/>
              <w:rPr>
                <w:bCs/>
                <w:sz w:val="21"/>
                <w:szCs w:val="21"/>
              </w:rPr>
            </w:pPr>
            <w:r>
              <w:rPr>
                <w:rFonts w:hint="eastAsia"/>
                <w:bCs/>
                <w:sz w:val="21"/>
                <w:szCs w:val="21"/>
              </w:rPr>
              <w:t>1、医疗废物风险防范措施</w:t>
            </w:r>
          </w:p>
          <w:p>
            <w:pPr>
              <w:adjustRightInd w:val="0"/>
              <w:snapToGrid w:val="0"/>
              <w:spacing w:line="240" w:lineRule="auto"/>
              <w:ind w:firstLine="0" w:firstLineChars="0"/>
              <w:jc w:val="left"/>
              <w:rPr>
                <w:bCs/>
                <w:sz w:val="21"/>
                <w:szCs w:val="21"/>
              </w:rPr>
            </w:pPr>
            <w:r>
              <w:rPr>
                <w:rFonts w:hint="eastAsia"/>
                <w:bCs/>
                <w:sz w:val="21"/>
                <w:szCs w:val="21"/>
              </w:rPr>
              <w:t>①医疗废物的分类收集</w:t>
            </w:r>
          </w:p>
          <w:p>
            <w:pPr>
              <w:adjustRightInd w:val="0"/>
              <w:snapToGrid w:val="0"/>
              <w:spacing w:line="240" w:lineRule="auto"/>
              <w:ind w:firstLine="0" w:firstLineChars="0"/>
              <w:jc w:val="left"/>
              <w:rPr>
                <w:bCs/>
                <w:sz w:val="21"/>
                <w:szCs w:val="21"/>
              </w:rPr>
            </w:pPr>
            <w:r>
              <w:rPr>
                <w:rFonts w:hint="eastAsia"/>
                <w:bCs/>
                <w:sz w:val="21"/>
                <w:szCs w:val="21"/>
              </w:rPr>
              <w:t>项目医疗废物严格按照《医疗卫生机构医疗废物管理办法》，采用专用容器，明确各类废弃物标识，分类包装、分类对方，本着及时、方便、安全、快捷的原则进行收集。感染性废物、病理性废物、损伤性废物、药物性废物及化学性废物不能混合收集；放入包装物或容器内的病理性废物、损伤性废物不得取出。当盛装的医疗废物达到包装物或者容器的3/4时，应当使用有效的封口方式，使包装物或者容器的封口紧实、严密。</w:t>
            </w:r>
          </w:p>
          <w:p>
            <w:pPr>
              <w:adjustRightInd w:val="0"/>
              <w:snapToGrid w:val="0"/>
              <w:spacing w:line="240" w:lineRule="auto"/>
              <w:ind w:firstLine="0" w:firstLineChars="0"/>
              <w:jc w:val="left"/>
              <w:rPr>
                <w:bCs/>
                <w:sz w:val="21"/>
                <w:szCs w:val="21"/>
              </w:rPr>
            </w:pPr>
            <w:r>
              <w:rPr>
                <w:rFonts w:hint="eastAsia"/>
                <w:bCs/>
                <w:sz w:val="21"/>
                <w:szCs w:val="21"/>
              </w:rPr>
              <w:t>所有锐利物都必须单独存放，并统一按医学废物处理。收集锐利物包装容器必须使用硬质、防漏、防刺破材料。针或刀应保存在有明显标记、防泄漏、防刺破的容器内，处理含有锐利物品的感染性废料时应使用防刺破手套。</w:t>
            </w:r>
          </w:p>
          <w:p>
            <w:pPr>
              <w:adjustRightInd w:val="0"/>
              <w:snapToGrid w:val="0"/>
              <w:spacing w:line="240" w:lineRule="auto"/>
              <w:ind w:firstLine="0" w:firstLineChars="0"/>
              <w:jc w:val="left"/>
              <w:rPr>
                <w:bCs/>
                <w:sz w:val="21"/>
                <w:szCs w:val="21"/>
              </w:rPr>
            </w:pPr>
            <w:r>
              <w:rPr>
                <w:rFonts w:hint="eastAsia"/>
                <w:bCs/>
                <w:sz w:val="21"/>
                <w:szCs w:val="21"/>
              </w:rPr>
              <w:t>②医疗垃圾的贮存和运送</w:t>
            </w:r>
          </w:p>
          <w:p>
            <w:pPr>
              <w:adjustRightInd w:val="0"/>
              <w:snapToGrid w:val="0"/>
              <w:spacing w:line="240" w:lineRule="auto"/>
              <w:ind w:firstLine="0" w:firstLineChars="0"/>
              <w:jc w:val="left"/>
              <w:rPr>
                <w:bCs/>
                <w:sz w:val="21"/>
                <w:szCs w:val="21"/>
              </w:rPr>
            </w:pPr>
            <w:r>
              <w:rPr>
                <w:rFonts w:hint="eastAsia"/>
                <w:bCs/>
                <w:sz w:val="21"/>
                <w:szCs w:val="21"/>
              </w:rPr>
              <w:t>医疗废物暂存时间不得超过2天，应得到及时、有效的处理。医疗废物暂存应做到以下几点：</w:t>
            </w:r>
          </w:p>
          <w:p>
            <w:pPr>
              <w:adjustRightInd w:val="0"/>
              <w:snapToGrid w:val="0"/>
              <w:spacing w:line="240" w:lineRule="auto"/>
              <w:ind w:firstLine="0" w:firstLineChars="0"/>
              <w:jc w:val="left"/>
              <w:rPr>
                <w:bCs/>
                <w:sz w:val="21"/>
                <w:szCs w:val="21"/>
              </w:rPr>
            </w:pPr>
            <w:r>
              <w:rPr>
                <w:rFonts w:hint="eastAsia"/>
                <w:bCs/>
                <w:sz w:val="21"/>
                <w:szCs w:val="21"/>
              </w:rPr>
              <w:t>a.暂时贮存场所需分办公区、医疗废物贮存间，项目暂存区能够满足该项要求；</w:t>
            </w:r>
          </w:p>
          <w:p>
            <w:pPr>
              <w:adjustRightInd w:val="0"/>
              <w:snapToGrid w:val="0"/>
              <w:spacing w:line="240" w:lineRule="auto"/>
              <w:ind w:firstLine="0" w:firstLineChars="0"/>
              <w:jc w:val="left"/>
              <w:rPr>
                <w:bCs/>
                <w:sz w:val="21"/>
                <w:szCs w:val="21"/>
              </w:rPr>
            </w:pPr>
            <w:r>
              <w:rPr>
                <w:rFonts w:hint="eastAsia"/>
                <w:bCs/>
                <w:sz w:val="21"/>
                <w:szCs w:val="21"/>
              </w:rPr>
              <w:t>b.远离医疗区、食品加工区、人员活动区，方便医疗废物运送人员及运送工具、车辆的出入，项目医疗废物暂存间位于医院1楼楼梯下方，距离院区出入口较近，远离医疗区、食品加工区、人员活动区，满足要求。</w:t>
            </w:r>
          </w:p>
          <w:p>
            <w:pPr>
              <w:adjustRightInd w:val="0"/>
              <w:snapToGrid w:val="0"/>
              <w:spacing w:line="240" w:lineRule="auto"/>
              <w:ind w:firstLine="0" w:firstLineChars="0"/>
              <w:jc w:val="left"/>
              <w:rPr>
                <w:bCs/>
                <w:sz w:val="21"/>
                <w:szCs w:val="21"/>
              </w:rPr>
            </w:pPr>
            <w:r>
              <w:rPr>
                <w:rFonts w:hint="eastAsia"/>
                <w:bCs/>
                <w:sz w:val="21"/>
                <w:szCs w:val="21"/>
              </w:rPr>
              <w:t>c.设置严密的封闭措施，设专（兼）职人员管理，防止非工作人员接触医疗废物。医院医疗废物设专人管理，并有严密的封闭措施，能够满足上述要求。</w:t>
            </w:r>
          </w:p>
          <w:p>
            <w:pPr>
              <w:adjustRightInd w:val="0"/>
              <w:snapToGrid w:val="0"/>
              <w:spacing w:line="240" w:lineRule="auto"/>
              <w:ind w:firstLine="0" w:firstLineChars="0"/>
              <w:jc w:val="left"/>
              <w:rPr>
                <w:bCs/>
                <w:sz w:val="21"/>
                <w:szCs w:val="21"/>
              </w:rPr>
            </w:pPr>
            <w:r>
              <w:rPr>
                <w:rFonts w:hint="eastAsia"/>
                <w:bCs/>
                <w:sz w:val="21"/>
                <w:szCs w:val="21"/>
              </w:rPr>
              <w:t>d.设置防鼠、防蚊蝇等安全措施；防止渗漏和雨水冲刷，易于清洁和消毒，避免阳光直射。本项目医废暂存间位于医院1层，暂存间内进行防渗漏处理，同时定期对暂存间进行消毒，能够满足要求。</w:t>
            </w:r>
          </w:p>
          <w:p>
            <w:pPr>
              <w:adjustRightInd w:val="0"/>
              <w:snapToGrid w:val="0"/>
              <w:spacing w:line="240" w:lineRule="auto"/>
              <w:ind w:firstLine="0" w:firstLineChars="0"/>
              <w:jc w:val="left"/>
              <w:rPr>
                <w:bCs/>
                <w:sz w:val="21"/>
                <w:szCs w:val="21"/>
              </w:rPr>
            </w:pPr>
            <w:r>
              <w:rPr>
                <w:rFonts w:hint="eastAsia"/>
                <w:bCs/>
                <w:sz w:val="21"/>
                <w:szCs w:val="21"/>
              </w:rPr>
              <w:t>2、污水处理间消毒剂风险防范措施</w:t>
            </w:r>
          </w:p>
          <w:p>
            <w:pPr>
              <w:adjustRightInd w:val="0"/>
              <w:snapToGrid w:val="0"/>
              <w:spacing w:line="240" w:lineRule="auto"/>
              <w:ind w:firstLine="0" w:firstLineChars="0"/>
              <w:jc w:val="left"/>
              <w:rPr>
                <w:bCs/>
                <w:sz w:val="21"/>
                <w:szCs w:val="21"/>
              </w:rPr>
            </w:pPr>
            <w:r>
              <w:rPr>
                <w:rFonts w:hint="eastAsia"/>
                <w:bCs/>
                <w:sz w:val="21"/>
                <w:szCs w:val="21"/>
              </w:rPr>
              <w:t>消毒剂由专人管理，次氯酸钠采用自动化设备，避免人员接触，操作人员需进行过专业培训，严格遵守操作规程，避免发生污染、意外事件。</w:t>
            </w:r>
          </w:p>
          <w:p>
            <w:pPr>
              <w:adjustRightInd w:val="0"/>
              <w:snapToGrid w:val="0"/>
              <w:spacing w:line="240" w:lineRule="auto"/>
              <w:ind w:firstLine="0" w:firstLineChars="0"/>
              <w:jc w:val="left"/>
              <w:rPr>
                <w:bCs/>
                <w:sz w:val="21"/>
                <w:szCs w:val="21"/>
              </w:rPr>
            </w:pPr>
            <w:r>
              <w:rPr>
                <w:rFonts w:hint="eastAsia"/>
                <w:bCs/>
                <w:sz w:val="21"/>
                <w:szCs w:val="21"/>
              </w:rPr>
              <w:t>3、危废暂存间风险防范措施</w:t>
            </w:r>
          </w:p>
          <w:p>
            <w:pPr>
              <w:adjustRightInd w:val="0"/>
              <w:snapToGrid w:val="0"/>
              <w:spacing w:line="240" w:lineRule="auto"/>
              <w:ind w:firstLine="0" w:firstLineChars="0"/>
              <w:jc w:val="left"/>
              <w:rPr>
                <w:bCs/>
                <w:sz w:val="21"/>
                <w:szCs w:val="21"/>
              </w:rPr>
            </w:pPr>
            <w:r>
              <w:rPr>
                <w:rFonts w:hint="eastAsia"/>
                <w:bCs/>
                <w:sz w:val="21"/>
                <w:szCs w:val="21"/>
              </w:rPr>
              <w:t>a. 建立危险废物登记制度，对其产生的危险废物进行登记。登记内容应当包括危险废物的来源、种类、重量或者数量、处置方法、最终去向以及经办人签名等项目；</w:t>
            </w:r>
          </w:p>
          <w:p>
            <w:pPr>
              <w:adjustRightInd w:val="0"/>
              <w:snapToGrid w:val="0"/>
              <w:spacing w:line="240" w:lineRule="auto"/>
              <w:ind w:firstLine="0" w:firstLineChars="0"/>
              <w:jc w:val="left"/>
              <w:rPr>
                <w:bCs/>
                <w:sz w:val="21"/>
                <w:szCs w:val="21"/>
              </w:rPr>
            </w:pPr>
            <w:r>
              <w:rPr>
                <w:rFonts w:hint="eastAsia"/>
                <w:bCs/>
                <w:sz w:val="21"/>
                <w:szCs w:val="21"/>
              </w:rPr>
              <w:t>b. 及时收集其医院运行活动中产生的危险废物，并按照类别分别置于防渗漏、防锐器穿透等符合国家有关环境保护要求的专用包装物、容器内，并按国家规定要求设置明显的危险废物警示标识和说明；</w:t>
            </w:r>
          </w:p>
          <w:p>
            <w:pPr>
              <w:adjustRightInd w:val="0"/>
              <w:snapToGrid w:val="0"/>
              <w:spacing w:line="240" w:lineRule="auto"/>
              <w:ind w:firstLine="0" w:firstLineChars="0"/>
              <w:jc w:val="left"/>
              <w:rPr>
                <w:bCs/>
                <w:sz w:val="21"/>
                <w:szCs w:val="21"/>
              </w:rPr>
            </w:pPr>
            <w:r>
              <w:rPr>
                <w:rFonts w:hint="eastAsia"/>
                <w:bCs/>
                <w:sz w:val="21"/>
                <w:szCs w:val="21"/>
              </w:rPr>
              <w:t>c. 配备符合国家法律、行政法规和有关技术规范要求的危险废物暂时贮存柜（箱）或者其他设施、设备；</w:t>
            </w:r>
          </w:p>
          <w:p>
            <w:pPr>
              <w:adjustRightInd w:val="0"/>
              <w:snapToGrid w:val="0"/>
              <w:spacing w:line="240" w:lineRule="auto"/>
              <w:ind w:firstLine="0" w:firstLineChars="0"/>
              <w:jc w:val="left"/>
              <w:rPr>
                <w:bCs/>
                <w:sz w:val="21"/>
                <w:szCs w:val="21"/>
              </w:rPr>
            </w:pPr>
            <w:r>
              <w:rPr>
                <w:rFonts w:hint="eastAsia"/>
                <w:bCs/>
                <w:sz w:val="21"/>
                <w:szCs w:val="21"/>
              </w:rPr>
              <w:t>d. 按照国家有关规定对危险废物就地进行无害化处理，并根据就近集中处置的原则，及时将经无害化处理后的危险废物交由依法取得危险废物经营许可证的单位集中处置；</w:t>
            </w:r>
          </w:p>
          <w:p>
            <w:pPr>
              <w:adjustRightInd w:val="0"/>
              <w:snapToGrid w:val="0"/>
              <w:spacing w:line="240" w:lineRule="auto"/>
              <w:ind w:firstLine="0" w:firstLineChars="0"/>
              <w:jc w:val="left"/>
              <w:rPr>
                <w:bCs/>
                <w:sz w:val="21"/>
                <w:szCs w:val="21"/>
              </w:rPr>
            </w:pPr>
            <w:r>
              <w:rPr>
                <w:rFonts w:hint="eastAsia"/>
                <w:bCs/>
                <w:sz w:val="21"/>
                <w:szCs w:val="21"/>
              </w:rPr>
              <w:t>e. 转移危险废物的，应当按照《固体废物污染环境防治法》和国家环境保护总局的有关规定，执行危险废物转移联单制度。</w:t>
            </w:r>
          </w:p>
          <w:p>
            <w:pPr>
              <w:adjustRightInd w:val="0"/>
              <w:snapToGrid w:val="0"/>
              <w:spacing w:line="240" w:lineRule="auto"/>
              <w:ind w:firstLine="0" w:firstLineChars="0"/>
              <w:jc w:val="left"/>
              <w:rPr>
                <w:bCs/>
                <w:sz w:val="21"/>
                <w:szCs w:val="21"/>
              </w:rPr>
            </w:pPr>
            <w:r>
              <w:rPr>
                <w:rFonts w:hint="eastAsia"/>
                <w:bCs/>
                <w:sz w:val="21"/>
                <w:szCs w:val="21"/>
              </w:rPr>
              <w:t>f. 不得随意丢弃、倾倒、堆放危险废物，不得将危险废物混入其他废物和生活垃圾中。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798" w:type="dxa"/>
            <w:vAlign w:val="center"/>
          </w:tcPr>
          <w:p>
            <w:pPr>
              <w:spacing w:line="240" w:lineRule="auto"/>
              <w:ind w:right="46" w:rightChars="19" w:firstLine="0" w:firstLineChars="0"/>
              <w:jc w:val="left"/>
              <w:rPr>
                <w:sz w:val="21"/>
                <w:szCs w:val="21"/>
              </w:rPr>
            </w:pPr>
            <w:r>
              <w:rPr>
                <w:sz w:val="21"/>
                <w:szCs w:val="21"/>
              </w:rPr>
              <w:t>生态保护措施</w:t>
            </w:r>
          </w:p>
        </w:tc>
        <w:tc>
          <w:tcPr>
            <w:tcW w:w="9217" w:type="dxa"/>
            <w:gridSpan w:val="6"/>
            <w:vAlign w:val="center"/>
          </w:tcPr>
          <w:p>
            <w:pPr>
              <w:spacing w:line="240" w:lineRule="auto"/>
              <w:ind w:right="46" w:rightChars="19" w:firstLine="0" w:firstLineChars="0"/>
              <w:jc w:val="center"/>
              <w:rPr>
                <w:sz w:val="21"/>
                <w:szCs w:val="21"/>
              </w:rPr>
            </w:pPr>
            <w:r>
              <w:rPr>
                <w:rFonts w:hint="eastAsia"/>
                <w:sz w:val="21"/>
                <w:szCs w:val="21"/>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98" w:type="dxa"/>
            <w:vAlign w:val="center"/>
          </w:tcPr>
          <w:p>
            <w:pPr>
              <w:spacing w:line="240" w:lineRule="auto"/>
              <w:ind w:firstLine="0" w:firstLineChars="0"/>
              <w:jc w:val="center"/>
              <w:rPr>
                <w:sz w:val="21"/>
                <w:szCs w:val="21"/>
              </w:rPr>
            </w:pPr>
            <w:r>
              <w:rPr>
                <w:rFonts w:hint="eastAsia"/>
              </w:rPr>
              <w:t>其他环境管理要求</w:t>
            </w:r>
          </w:p>
        </w:tc>
        <w:tc>
          <w:tcPr>
            <w:tcW w:w="9217" w:type="dxa"/>
            <w:gridSpan w:val="6"/>
            <w:vAlign w:val="center"/>
          </w:tcPr>
          <w:p>
            <w:pPr>
              <w:ind w:right="46" w:rightChars="19" w:firstLine="0" w:firstLineChars="0"/>
              <w:jc w:val="left"/>
              <w:rPr>
                <w:b/>
                <w:lang w:val="zh-CN"/>
              </w:rPr>
            </w:pPr>
            <w:r>
              <w:rPr>
                <w:rFonts w:hint="eastAsia"/>
                <w:b/>
                <w:lang w:val="zh-CN"/>
              </w:rPr>
              <w:t>1、环境监测计划</w:t>
            </w:r>
          </w:p>
          <w:p>
            <w:pPr>
              <w:ind w:firstLine="480"/>
              <w:rPr>
                <w:lang w:val="zh-CN"/>
              </w:rPr>
            </w:pPr>
            <w:r>
              <w:rPr>
                <w:rFonts w:hint="eastAsia"/>
                <w:lang w:val="zh-CN"/>
              </w:rPr>
              <w:t>根据生产工艺特点及污染物排放情况，提出如下监测要求：</w:t>
            </w:r>
          </w:p>
          <w:p>
            <w:pPr>
              <w:ind w:firstLine="480"/>
              <w:rPr>
                <w:lang w:val="zh-CN"/>
              </w:rPr>
            </w:pPr>
            <w:r>
              <w:rPr>
                <w:rFonts w:hint="eastAsia"/>
                <w:lang w:val="zh-CN"/>
              </w:rPr>
              <w:t>（1）</w:t>
            </w:r>
            <w:r>
              <w:rPr>
                <w:rFonts w:hint="eastAsia"/>
              </w:rPr>
              <w:t>医院</w:t>
            </w:r>
            <w:r>
              <w:rPr>
                <w:rFonts w:hint="eastAsia"/>
                <w:lang w:val="zh-CN"/>
              </w:rPr>
              <w:t>应定期申请有关部门进行监测。</w:t>
            </w:r>
          </w:p>
          <w:p>
            <w:pPr>
              <w:ind w:firstLine="480"/>
              <w:rPr>
                <w:lang w:val="zh-CN"/>
              </w:rPr>
            </w:pPr>
            <w:r>
              <w:rPr>
                <w:rFonts w:hint="eastAsia"/>
                <w:lang w:val="zh-CN"/>
              </w:rPr>
              <w:t>（2）污染源监测点位、监测项目、监测频次见下表。</w:t>
            </w:r>
          </w:p>
          <w:p>
            <w:pPr>
              <w:pStyle w:val="14"/>
            </w:pPr>
            <w:r>
              <w:rPr>
                <w:rFonts w:hint="eastAsia"/>
              </w:rPr>
              <w:t xml:space="preserve">表39  </w:t>
            </w:r>
            <w:r>
              <w:t xml:space="preserve"> </w:t>
            </w:r>
            <w:r>
              <w:rPr>
                <w:rFonts w:hint="eastAsia"/>
              </w:rPr>
              <w:t>项目监测工作计划</w:t>
            </w:r>
          </w:p>
          <w:tbl>
            <w:tblPr>
              <w:tblStyle w:val="16"/>
              <w:tblW w:w="492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511"/>
              <w:gridCol w:w="1044"/>
              <w:gridCol w:w="2007"/>
              <w:gridCol w:w="1005"/>
              <w:gridCol w:w="448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859" w:type="pct"/>
                  <w:gridSpan w:val="2"/>
                  <w:vAlign w:val="center"/>
                </w:tcPr>
                <w:p>
                  <w:pPr>
                    <w:spacing w:line="240" w:lineRule="auto"/>
                    <w:ind w:right="46" w:rightChars="19" w:firstLine="0" w:firstLineChars="0"/>
                    <w:jc w:val="center"/>
                    <w:rPr>
                      <w:sz w:val="21"/>
                      <w:szCs w:val="21"/>
                    </w:rPr>
                  </w:pPr>
                  <w:r>
                    <w:rPr>
                      <w:rFonts w:hint="eastAsia"/>
                      <w:sz w:val="21"/>
                      <w:szCs w:val="21"/>
                    </w:rPr>
                    <w:t>采样位置</w:t>
                  </w:r>
                </w:p>
              </w:tc>
              <w:tc>
                <w:tcPr>
                  <w:tcW w:w="1109" w:type="pct"/>
                  <w:shd w:val="clear" w:color="auto" w:fill="auto"/>
                  <w:vAlign w:val="center"/>
                </w:tcPr>
                <w:p>
                  <w:pPr>
                    <w:spacing w:line="240" w:lineRule="auto"/>
                    <w:ind w:right="46" w:rightChars="19" w:firstLine="0" w:firstLineChars="0"/>
                    <w:jc w:val="center"/>
                    <w:rPr>
                      <w:sz w:val="21"/>
                      <w:szCs w:val="21"/>
                    </w:rPr>
                  </w:pPr>
                  <w:r>
                    <w:rPr>
                      <w:rFonts w:hint="eastAsia"/>
                      <w:sz w:val="21"/>
                      <w:szCs w:val="21"/>
                    </w:rPr>
                    <w:t>监测因子</w:t>
                  </w:r>
                </w:p>
              </w:tc>
              <w:tc>
                <w:tcPr>
                  <w:tcW w:w="555" w:type="pct"/>
                  <w:shd w:val="clear" w:color="auto" w:fill="auto"/>
                  <w:vAlign w:val="center"/>
                </w:tcPr>
                <w:p>
                  <w:pPr>
                    <w:spacing w:line="240" w:lineRule="auto"/>
                    <w:ind w:right="46" w:rightChars="19" w:firstLine="0" w:firstLineChars="0"/>
                    <w:jc w:val="center"/>
                    <w:rPr>
                      <w:sz w:val="21"/>
                      <w:szCs w:val="21"/>
                    </w:rPr>
                  </w:pPr>
                  <w:r>
                    <w:rPr>
                      <w:rFonts w:hint="eastAsia"/>
                      <w:sz w:val="21"/>
                      <w:szCs w:val="21"/>
                    </w:rPr>
                    <w:t>监测频次</w:t>
                  </w:r>
                </w:p>
              </w:tc>
              <w:tc>
                <w:tcPr>
                  <w:tcW w:w="2477" w:type="pct"/>
                  <w:shd w:val="clear" w:color="auto" w:fill="auto"/>
                  <w:vAlign w:val="center"/>
                </w:tcPr>
                <w:p>
                  <w:pPr>
                    <w:spacing w:line="240" w:lineRule="auto"/>
                    <w:ind w:right="46" w:rightChars="19" w:firstLine="0" w:firstLineChars="0"/>
                    <w:jc w:val="center"/>
                    <w:rPr>
                      <w:sz w:val="21"/>
                      <w:szCs w:val="21"/>
                    </w:rPr>
                  </w:pPr>
                  <w:r>
                    <w:rPr>
                      <w:rFonts w:hint="eastAsia"/>
                      <w:sz w:val="21"/>
                      <w:szCs w:val="21"/>
                    </w:rPr>
                    <w:t>执行排放标准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282" w:type="pct"/>
                  <w:vMerge w:val="restart"/>
                  <w:vAlign w:val="center"/>
                </w:tcPr>
                <w:p>
                  <w:pPr>
                    <w:spacing w:line="240" w:lineRule="auto"/>
                    <w:ind w:right="46" w:rightChars="19" w:firstLine="0" w:firstLineChars="0"/>
                    <w:jc w:val="center"/>
                    <w:rPr>
                      <w:sz w:val="21"/>
                      <w:szCs w:val="21"/>
                    </w:rPr>
                  </w:pPr>
                  <w:r>
                    <w:rPr>
                      <w:rFonts w:hint="eastAsia"/>
                      <w:sz w:val="21"/>
                      <w:szCs w:val="21"/>
                    </w:rPr>
                    <w:t>有组织废气排气筒</w:t>
                  </w:r>
                </w:p>
              </w:tc>
              <w:tc>
                <w:tcPr>
                  <w:tcW w:w="577" w:type="pct"/>
                  <w:vMerge w:val="restart"/>
                  <w:vAlign w:val="center"/>
                </w:tcPr>
                <w:p>
                  <w:pPr>
                    <w:spacing w:line="240" w:lineRule="auto"/>
                    <w:ind w:firstLine="0" w:firstLineChars="0"/>
                    <w:jc w:val="center"/>
                    <w:rPr>
                      <w:sz w:val="21"/>
                      <w:szCs w:val="21"/>
                      <w:lang w:val="zh-CN"/>
                    </w:rPr>
                  </w:pPr>
                  <w:r>
                    <w:rPr>
                      <w:rFonts w:hint="eastAsia"/>
                      <w:sz w:val="21"/>
                      <w:szCs w:val="21"/>
                      <w:lang w:val="zh-CN"/>
                    </w:rPr>
                    <w:t>DA001</w:t>
                  </w:r>
                </w:p>
              </w:tc>
              <w:tc>
                <w:tcPr>
                  <w:tcW w:w="1109" w:type="pct"/>
                  <w:shd w:val="clear" w:color="auto" w:fill="auto"/>
                  <w:vAlign w:val="center"/>
                </w:tcPr>
                <w:p>
                  <w:pPr>
                    <w:spacing w:line="240" w:lineRule="auto"/>
                    <w:ind w:firstLine="0" w:firstLineChars="0"/>
                    <w:jc w:val="center"/>
                    <w:rPr>
                      <w:sz w:val="21"/>
                      <w:szCs w:val="21"/>
                      <w:lang w:val="zh-CN"/>
                    </w:rPr>
                  </w:pPr>
                  <w:r>
                    <w:rPr>
                      <w:rFonts w:hint="eastAsia"/>
                      <w:sz w:val="21"/>
                      <w:szCs w:val="21"/>
                    </w:rPr>
                    <w:t>NH</w:t>
                  </w:r>
                  <w:r>
                    <w:rPr>
                      <w:rFonts w:hint="eastAsia"/>
                      <w:sz w:val="21"/>
                      <w:szCs w:val="21"/>
                      <w:vertAlign w:val="subscript"/>
                    </w:rPr>
                    <w:t>3</w:t>
                  </w:r>
                </w:p>
              </w:tc>
              <w:tc>
                <w:tcPr>
                  <w:tcW w:w="555" w:type="pct"/>
                  <w:vMerge w:val="restart"/>
                  <w:shd w:val="clear" w:color="auto" w:fill="auto"/>
                  <w:vAlign w:val="center"/>
                </w:tcPr>
                <w:p>
                  <w:pPr>
                    <w:spacing w:line="240" w:lineRule="auto"/>
                    <w:ind w:right="46" w:rightChars="19" w:firstLine="0" w:firstLineChars="0"/>
                    <w:jc w:val="center"/>
                    <w:rPr>
                      <w:sz w:val="21"/>
                      <w:szCs w:val="21"/>
                    </w:rPr>
                  </w:pPr>
                  <w:r>
                    <w:rPr>
                      <w:rFonts w:hint="eastAsia"/>
                      <w:sz w:val="21"/>
                      <w:szCs w:val="21"/>
                    </w:rPr>
                    <w:t>1次/季度</w:t>
                  </w:r>
                </w:p>
              </w:tc>
              <w:tc>
                <w:tcPr>
                  <w:tcW w:w="2477" w:type="pct"/>
                  <w:vMerge w:val="restart"/>
                  <w:shd w:val="clear" w:color="auto" w:fill="auto"/>
                  <w:vAlign w:val="center"/>
                </w:tcPr>
                <w:p>
                  <w:pPr>
                    <w:spacing w:line="240" w:lineRule="auto"/>
                    <w:ind w:firstLine="0" w:firstLineChars="0"/>
                    <w:jc w:val="left"/>
                    <w:rPr>
                      <w:sz w:val="21"/>
                      <w:szCs w:val="21"/>
                      <w:lang w:val="zh-CN"/>
                    </w:rPr>
                  </w:pPr>
                  <w:r>
                    <w:rPr>
                      <w:rFonts w:hint="eastAsia"/>
                      <w:sz w:val="21"/>
                      <w:szCs w:val="21"/>
                      <w:lang w:val="zh-CN"/>
                    </w:rPr>
                    <w:t>《恶臭污染物排放标准》（GB14554-93）表2标准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282" w:type="pct"/>
                  <w:vMerge w:val="continue"/>
                  <w:vAlign w:val="center"/>
                </w:tcPr>
                <w:p>
                  <w:pPr>
                    <w:spacing w:line="240" w:lineRule="auto"/>
                    <w:ind w:right="46" w:rightChars="19" w:firstLine="0" w:firstLineChars="0"/>
                    <w:jc w:val="center"/>
                    <w:rPr>
                      <w:sz w:val="21"/>
                      <w:szCs w:val="21"/>
                    </w:rPr>
                  </w:pPr>
                </w:p>
              </w:tc>
              <w:tc>
                <w:tcPr>
                  <w:tcW w:w="577" w:type="pct"/>
                  <w:vMerge w:val="continue"/>
                  <w:vAlign w:val="center"/>
                </w:tcPr>
                <w:p>
                  <w:pPr>
                    <w:spacing w:line="240" w:lineRule="auto"/>
                    <w:ind w:firstLine="0" w:firstLineChars="0"/>
                    <w:jc w:val="center"/>
                    <w:rPr>
                      <w:sz w:val="21"/>
                      <w:szCs w:val="21"/>
                      <w:lang w:val="zh-CN"/>
                    </w:rPr>
                  </w:pPr>
                </w:p>
              </w:tc>
              <w:tc>
                <w:tcPr>
                  <w:tcW w:w="1109" w:type="pct"/>
                  <w:shd w:val="clear" w:color="auto" w:fill="auto"/>
                  <w:vAlign w:val="center"/>
                </w:tcPr>
                <w:p>
                  <w:pPr>
                    <w:spacing w:line="240" w:lineRule="auto"/>
                    <w:ind w:firstLine="0" w:firstLineChars="0"/>
                    <w:jc w:val="center"/>
                    <w:rPr>
                      <w:sz w:val="21"/>
                      <w:szCs w:val="21"/>
                      <w:lang w:val="zh-CN"/>
                    </w:rPr>
                  </w:pPr>
                  <w:r>
                    <w:rPr>
                      <w:rFonts w:hint="eastAsia"/>
                      <w:sz w:val="21"/>
                      <w:szCs w:val="21"/>
                    </w:rPr>
                    <w:t>H</w:t>
                  </w:r>
                  <w:r>
                    <w:rPr>
                      <w:rFonts w:hint="eastAsia"/>
                      <w:sz w:val="21"/>
                      <w:szCs w:val="21"/>
                      <w:vertAlign w:val="subscript"/>
                    </w:rPr>
                    <w:t>2</w:t>
                  </w:r>
                  <w:r>
                    <w:rPr>
                      <w:rFonts w:hint="eastAsia"/>
                      <w:sz w:val="21"/>
                      <w:szCs w:val="21"/>
                    </w:rPr>
                    <w:t>S</w:t>
                  </w:r>
                </w:p>
              </w:tc>
              <w:tc>
                <w:tcPr>
                  <w:tcW w:w="555" w:type="pct"/>
                  <w:vMerge w:val="continue"/>
                  <w:shd w:val="clear" w:color="auto" w:fill="auto"/>
                  <w:vAlign w:val="center"/>
                </w:tcPr>
                <w:p>
                  <w:pPr>
                    <w:spacing w:line="240" w:lineRule="auto"/>
                    <w:ind w:right="46" w:rightChars="19" w:firstLine="0" w:firstLineChars="0"/>
                    <w:jc w:val="center"/>
                    <w:rPr>
                      <w:sz w:val="21"/>
                      <w:szCs w:val="21"/>
                    </w:rPr>
                  </w:pPr>
                </w:p>
              </w:tc>
              <w:tc>
                <w:tcPr>
                  <w:tcW w:w="2477" w:type="pct"/>
                  <w:vMerge w:val="continue"/>
                  <w:shd w:val="clear" w:color="auto" w:fill="auto"/>
                  <w:vAlign w:val="center"/>
                </w:tcPr>
                <w:p>
                  <w:pPr>
                    <w:spacing w:line="240" w:lineRule="auto"/>
                    <w:ind w:firstLine="0" w:firstLineChars="0"/>
                    <w:jc w:val="left"/>
                    <w:rPr>
                      <w:sz w:val="21"/>
                      <w:szCs w:val="21"/>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282" w:type="pct"/>
                  <w:vMerge w:val="continue"/>
                  <w:vAlign w:val="center"/>
                </w:tcPr>
                <w:p>
                  <w:pPr>
                    <w:spacing w:line="240" w:lineRule="auto"/>
                    <w:ind w:right="46" w:rightChars="19" w:firstLine="0" w:firstLineChars="0"/>
                    <w:jc w:val="center"/>
                    <w:rPr>
                      <w:sz w:val="21"/>
                      <w:szCs w:val="21"/>
                    </w:rPr>
                  </w:pPr>
                </w:p>
              </w:tc>
              <w:tc>
                <w:tcPr>
                  <w:tcW w:w="577" w:type="pct"/>
                  <w:vMerge w:val="continue"/>
                  <w:vAlign w:val="center"/>
                </w:tcPr>
                <w:p>
                  <w:pPr>
                    <w:spacing w:line="240" w:lineRule="auto"/>
                    <w:ind w:firstLine="0" w:firstLineChars="0"/>
                    <w:jc w:val="center"/>
                    <w:rPr>
                      <w:sz w:val="21"/>
                      <w:szCs w:val="21"/>
                      <w:lang w:val="zh-CN"/>
                    </w:rPr>
                  </w:pPr>
                </w:p>
              </w:tc>
              <w:tc>
                <w:tcPr>
                  <w:tcW w:w="1109" w:type="pct"/>
                  <w:shd w:val="clear" w:color="auto" w:fill="auto"/>
                  <w:vAlign w:val="center"/>
                </w:tcPr>
                <w:p>
                  <w:pPr>
                    <w:spacing w:line="240" w:lineRule="auto"/>
                    <w:ind w:firstLine="0" w:firstLineChars="0"/>
                    <w:jc w:val="center"/>
                    <w:rPr>
                      <w:spacing w:val="4"/>
                      <w:sz w:val="21"/>
                      <w:szCs w:val="21"/>
                    </w:rPr>
                  </w:pPr>
                  <w:r>
                    <w:rPr>
                      <w:rFonts w:hint="eastAsia"/>
                      <w:sz w:val="21"/>
                      <w:szCs w:val="21"/>
                    </w:rPr>
                    <w:t>臭气浓度</w:t>
                  </w:r>
                </w:p>
              </w:tc>
              <w:tc>
                <w:tcPr>
                  <w:tcW w:w="555" w:type="pct"/>
                  <w:vMerge w:val="continue"/>
                  <w:shd w:val="clear" w:color="auto" w:fill="auto"/>
                  <w:vAlign w:val="center"/>
                </w:tcPr>
                <w:p>
                  <w:pPr>
                    <w:spacing w:line="240" w:lineRule="auto"/>
                    <w:ind w:right="46" w:rightChars="19" w:firstLine="0" w:firstLineChars="0"/>
                    <w:jc w:val="center"/>
                    <w:rPr>
                      <w:sz w:val="21"/>
                      <w:szCs w:val="21"/>
                    </w:rPr>
                  </w:pPr>
                </w:p>
              </w:tc>
              <w:tc>
                <w:tcPr>
                  <w:tcW w:w="2477" w:type="pct"/>
                  <w:vMerge w:val="continue"/>
                  <w:shd w:val="clear" w:color="auto" w:fill="auto"/>
                  <w:vAlign w:val="center"/>
                </w:tcPr>
                <w:p>
                  <w:pPr>
                    <w:spacing w:line="240" w:lineRule="auto"/>
                    <w:ind w:firstLine="0" w:firstLineChars="0"/>
                    <w:jc w:val="left"/>
                    <w:rPr>
                      <w:sz w:val="21"/>
                      <w:szCs w:val="21"/>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282" w:type="pct"/>
                  <w:vMerge w:val="restart"/>
                  <w:vAlign w:val="center"/>
                </w:tcPr>
                <w:p>
                  <w:pPr>
                    <w:spacing w:line="240" w:lineRule="auto"/>
                    <w:ind w:right="46" w:rightChars="19" w:firstLine="0" w:firstLineChars="0"/>
                    <w:jc w:val="center"/>
                    <w:rPr>
                      <w:sz w:val="21"/>
                      <w:szCs w:val="21"/>
                    </w:rPr>
                  </w:pPr>
                  <w:r>
                    <w:rPr>
                      <w:rFonts w:hint="eastAsia"/>
                      <w:sz w:val="21"/>
                      <w:szCs w:val="21"/>
                    </w:rPr>
                    <w:t>无组织废气</w:t>
                  </w:r>
                </w:p>
              </w:tc>
              <w:tc>
                <w:tcPr>
                  <w:tcW w:w="577" w:type="pct"/>
                  <w:vAlign w:val="center"/>
                </w:tcPr>
                <w:p>
                  <w:pPr>
                    <w:spacing w:line="240" w:lineRule="auto"/>
                    <w:ind w:right="46" w:rightChars="19" w:firstLine="0" w:firstLineChars="0"/>
                    <w:jc w:val="center"/>
                    <w:rPr>
                      <w:sz w:val="21"/>
                      <w:szCs w:val="21"/>
                    </w:rPr>
                  </w:pPr>
                  <w:r>
                    <w:rPr>
                      <w:rFonts w:hint="eastAsia"/>
                      <w:sz w:val="21"/>
                      <w:szCs w:val="21"/>
                    </w:rPr>
                    <w:t>污水处理站周边</w:t>
                  </w:r>
                </w:p>
              </w:tc>
              <w:tc>
                <w:tcPr>
                  <w:tcW w:w="1109" w:type="pct"/>
                  <w:shd w:val="clear" w:color="auto" w:fill="auto"/>
                  <w:vAlign w:val="center"/>
                </w:tcPr>
                <w:p>
                  <w:pPr>
                    <w:spacing w:line="240" w:lineRule="auto"/>
                    <w:ind w:right="46" w:rightChars="19" w:firstLine="0" w:firstLineChars="0"/>
                    <w:jc w:val="left"/>
                    <w:rPr>
                      <w:sz w:val="21"/>
                      <w:szCs w:val="21"/>
                    </w:rPr>
                  </w:pPr>
                  <w:r>
                    <w:rPr>
                      <w:rFonts w:hint="eastAsia"/>
                      <w:snapToGrid w:val="0"/>
                      <w:kern w:val="0"/>
                      <w:sz w:val="21"/>
                      <w:szCs w:val="21"/>
                    </w:rPr>
                    <w:t>N</w:t>
                  </w:r>
                  <w:r>
                    <w:rPr>
                      <w:snapToGrid w:val="0"/>
                      <w:kern w:val="0"/>
                      <w:sz w:val="21"/>
                      <w:szCs w:val="21"/>
                    </w:rPr>
                    <w:t>H</w:t>
                  </w:r>
                  <w:r>
                    <w:rPr>
                      <w:snapToGrid w:val="0"/>
                      <w:kern w:val="0"/>
                      <w:sz w:val="21"/>
                      <w:szCs w:val="21"/>
                      <w:vertAlign w:val="subscript"/>
                    </w:rPr>
                    <w:t>3</w:t>
                  </w:r>
                  <w:r>
                    <w:rPr>
                      <w:rFonts w:hint="eastAsia"/>
                      <w:snapToGrid w:val="0"/>
                      <w:kern w:val="0"/>
                      <w:sz w:val="21"/>
                      <w:szCs w:val="21"/>
                    </w:rPr>
                    <w:t>、H</w:t>
                  </w:r>
                  <w:r>
                    <w:rPr>
                      <w:rFonts w:hint="eastAsia"/>
                      <w:snapToGrid w:val="0"/>
                      <w:kern w:val="0"/>
                      <w:sz w:val="21"/>
                      <w:szCs w:val="21"/>
                      <w:vertAlign w:val="subscript"/>
                    </w:rPr>
                    <w:t>2</w:t>
                  </w:r>
                  <w:r>
                    <w:rPr>
                      <w:rFonts w:hint="eastAsia"/>
                      <w:snapToGrid w:val="0"/>
                      <w:kern w:val="0"/>
                      <w:sz w:val="21"/>
                      <w:szCs w:val="21"/>
                    </w:rPr>
                    <w:t>S、</w:t>
                  </w:r>
                  <w:r>
                    <w:rPr>
                      <w:snapToGrid w:val="0"/>
                      <w:kern w:val="0"/>
                      <w:sz w:val="21"/>
                      <w:szCs w:val="21"/>
                    </w:rPr>
                    <w:t>臭气浓度</w:t>
                  </w:r>
                  <w:r>
                    <w:rPr>
                      <w:rFonts w:hint="eastAsia"/>
                      <w:snapToGrid w:val="0"/>
                      <w:kern w:val="0"/>
                      <w:sz w:val="21"/>
                      <w:szCs w:val="21"/>
                    </w:rPr>
                    <w:t>、</w:t>
                  </w:r>
                  <w:r>
                    <w:rPr>
                      <w:snapToGrid w:val="0"/>
                      <w:kern w:val="0"/>
                      <w:sz w:val="21"/>
                      <w:szCs w:val="21"/>
                    </w:rPr>
                    <w:t>氯气、</w:t>
                  </w:r>
                  <w:r>
                    <w:rPr>
                      <w:rFonts w:hint="eastAsia"/>
                      <w:snapToGrid w:val="0"/>
                      <w:kern w:val="0"/>
                      <w:sz w:val="21"/>
                      <w:szCs w:val="21"/>
                    </w:rPr>
                    <w:t>甲烷</w:t>
                  </w:r>
                </w:p>
              </w:tc>
              <w:tc>
                <w:tcPr>
                  <w:tcW w:w="555" w:type="pct"/>
                  <w:shd w:val="clear" w:color="auto" w:fill="auto"/>
                  <w:vAlign w:val="center"/>
                </w:tcPr>
                <w:p>
                  <w:pPr>
                    <w:spacing w:line="240" w:lineRule="auto"/>
                    <w:ind w:right="46" w:rightChars="19" w:firstLine="0" w:firstLineChars="0"/>
                    <w:jc w:val="center"/>
                    <w:rPr>
                      <w:sz w:val="21"/>
                      <w:szCs w:val="21"/>
                    </w:rPr>
                  </w:pPr>
                  <w:r>
                    <w:rPr>
                      <w:rFonts w:hint="eastAsia"/>
                      <w:sz w:val="21"/>
                      <w:szCs w:val="21"/>
                    </w:rPr>
                    <w:t>1次/季度</w:t>
                  </w:r>
                </w:p>
              </w:tc>
              <w:tc>
                <w:tcPr>
                  <w:tcW w:w="2477" w:type="pct"/>
                  <w:shd w:val="clear" w:color="auto" w:fill="auto"/>
                  <w:vAlign w:val="center"/>
                </w:tcPr>
                <w:p>
                  <w:pPr>
                    <w:spacing w:line="240" w:lineRule="auto"/>
                    <w:ind w:right="46" w:rightChars="19" w:firstLine="0" w:firstLineChars="0"/>
                    <w:jc w:val="left"/>
                    <w:rPr>
                      <w:sz w:val="21"/>
                      <w:szCs w:val="21"/>
                    </w:rPr>
                  </w:pPr>
                  <w:r>
                    <w:rPr>
                      <w:rFonts w:hint="eastAsia"/>
                      <w:sz w:val="21"/>
                      <w:szCs w:val="21"/>
                    </w:rPr>
                    <w:t>《医疗机构水污染物排放标准》（GB18466-2005）中表3标准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282" w:type="pct"/>
                  <w:vMerge w:val="continue"/>
                  <w:vAlign w:val="center"/>
                </w:tcPr>
                <w:p>
                  <w:pPr>
                    <w:spacing w:line="240" w:lineRule="auto"/>
                    <w:ind w:right="46" w:rightChars="19" w:firstLine="0" w:firstLineChars="0"/>
                    <w:jc w:val="center"/>
                    <w:rPr>
                      <w:sz w:val="21"/>
                      <w:szCs w:val="21"/>
                    </w:rPr>
                  </w:pPr>
                </w:p>
              </w:tc>
              <w:tc>
                <w:tcPr>
                  <w:tcW w:w="577" w:type="pct"/>
                  <w:vAlign w:val="center"/>
                </w:tcPr>
                <w:p>
                  <w:pPr>
                    <w:spacing w:line="240" w:lineRule="auto"/>
                    <w:ind w:right="46" w:rightChars="19" w:firstLine="0" w:firstLineChars="0"/>
                    <w:jc w:val="center"/>
                    <w:rPr>
                      <w:sz w:val="21"/>
                      <w:szCs w:val="21"/>
                    </w:rPr>
                  </w:pPr>
                  <w:r>
                    <w:rPr>
                      <w:rFonts w:hint="eastAsia"/>
                      <w:sz w:val="21"/>
                      <w:szCs w:val="21"/>
                    </w:rPr>
                    <w:t>厂界</w:t>
                  </w:r>
                </w:p>
              </w:tc>
              <w:tc>
                <w:tcPr>
                  <w:tcW w:w="1109" w:type="pct"/>
                  <w:shd w:val="clear" w:color="auto" w:fill="auto"/>
                  <w:vAlign w:val="center"/>
                </w:tcPr>
                <w:p>
                  <w:pPr>
                    <w:spacing w:line="240" w:lineRule="auto"/>
                    <w:ind w:right="46" w:rightChars="19" w:firstLine="0" w:firstLineChars="0"/>
                    <w:jc w:val="center"/>
                    <w:rPr>
                      <w:snapToGrid w:val="0"/>
                      <w:kern w:val="0"/>
                      <w:sz w:val="21"/>
                      <w:szCs w:val="21"/>
                    </w:rPr>
                  </w:pPr>
                  <w:r>
                    <w:rPr>
                      <w:snapToGrid w:val="0"/>
                      <w:kern w:val="0"/>
                      <w:sz w:val="21"/>
                      <w:szCs w:val="21"/>
                    </w:rPr>
                    <w:t>臭气浓度</w:t>
                  </w:r>
                </w:p>
              </w:tc>
              <w:tc>
                <w:tcPr>
                  <w:tcW w:w="555" w:type="pct"/>
                  <w:shd w:val="clear" w:color="auto" w:fill="auto"/>
                  <w:vAlign w:val="center"/>
                </w:tcPr>
                <w:p>
                  <w:pPr>
                    <w:spacing w:line="240" w:lineRule="auto"/>
                    <w:ind w:right="46" w:rightChars="19" w:firstLine="0" w:firstLineChars="0"/>
                    <w:jc w:val="center"/>
                    <w:rPr>
                      <w:sz w:val="21"/>
                      <w:szCs w:val="21"/>
                    </w:rPr>
                  </w:pPr>
                  <w:r>
                    <w:rPr>
                      <w:rFonts w:hint="eastAsia"/>
                      <w:sz w:val="21"/>
                      <w:szCs w:val="21"/>
                    </w:rPr>
                    <w:t>1次/半年</w:t>
                  </w:r>
                </w:p>
              </w:tc>
              <w:tc>
                <w:tcPr>
                  <w:tcW w:w="2477" w:type="pct"/>
                  <w:shd w:val="clear" w:color="auto" w:fill="auto"/>
                  <w:vAlign w:val="center"/>
                </w:tcPr>
                <w:p>
                  <w:pPr>
                    <w:spacing w:line="240" w:lineRule="auto"/>
                    <w:ind w:right="46" w:rightChars="19" w:firstLine="0" w:firstLineChars="0"/>
                    <w:jc w:val="center"/>
                    <w:rPr>
                      <w:sz w:val="21"/>
                      <w:szCs w:val="21"/>
                    </w:rPr>
                  </w:pPr>
                  <w:r>
                    <w:rPr>
                      <w:rFonts w:hint="eastAsia"/>
                      <w:sz w:val="21"/>
                      <w:szCs w:val="21"/>
                      <w:lang w:val="zh-CN"/>
                    </w:rPr>
                    <w:t>《恶臭污染物排放标准》（GB14554-93）表1</w:t>
                  </w:r>
                  <w:r>
                    <w:rPr>
                      <w:sz w:val="21"/>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859" w:type="pct"/>
                  <w:gridSpan w:val="2"/>
                  <w:vMerge w:val="restart"/>
                  <w:vAlign w:val="center"/>
                </w:tcPr>
                <w:p>
                  <w:pPr>
                    <w:spacing w:line="240" w:lineRule="auto"/>
                    <w:ind w:right="46" w:rightChars="19" w:firstLine="0" w:firstLineChars="0"/>
                    <w:jc w:val="center"/>
                    <w:rPr>
                      <w:sz w:val="21"/>
                      <w:szCs w:val="21"/>
                    </w:rPr>
                  </w:pPr>
                  <w:r>
                    <w:rPr>
                      <w:rFonts w:hint="eastAsia"/>
                      <w:sz w:val="21"/>
                      <w:szCs w:val="21"/>
                      <w:lang w:val="zh-CN"/>
                    </w:rPr>
                    <w:t>废水排放口</w:t>
                  </w:r>
                </w:p>
              </w:tc>
              <w:tc>
                <w:tcPr>
                  <w:tcW w:w="1109" w:type="pct"/>
                  <w:shd w:val="clear" w:color="auto" w:fill="auto"/>
                  <w:vAlign w:val="center"/>
                </w:tcPr>
                <w:p>
                  <w:pPr>
                    <w:spacing w:line="240" w:lineRule="auto"/>
                    <w:ind w:right="48" w:rightChars="20" w:firstLine="0" w:firstLineChars="0"/>
                    <w:jc w:val="center"/>
                    <w:rPr>
                      <w:sz w:val="21"/>
                      <w:szCs w:val="21"/>
                      <w:lang w:val="zh-CN"/>
                    </w:rPr>
                  </w:pPr>
                  <w:r>
                    <w:rPr>
                      <w:rFonts w:hint="eastAsia"/>
                      <w:sz w:val="21"/>
                      <w:szCs w:val="21"/>
                      <w:lang w:val="zh-CN"/>
                    </w:rPr>
                    <w:t>流量</w:t>
                  </w:r>
                </w:p>
              </w:tc>
              <w:tc>
                <w:tcPr>
                  <w:tcW w:w="555" w:type="pct"/>
                  <w:shd w:val="clear" w:color="auto" w:fill="auto"/>
                  <w:vAlign w:val="center"/>
                </w:tcPr>
                <w:p>
                  <w:pPr>
                    <w:spacing w:line="240" w:lineRule="auto"/>
                    <w:ind w:right="48" w:rightChars="20" w:firstLine="0" w:firstLineChars="0"/>
                    <w:jc w:val="center"/>
                    <w:rPr>
                      <w:sz w:val="21"/>
                      <w:szCs w:val="21"/>
                      <w:lang w:val="zh-CN"/>
                    </w:rPr>
                  </w:pPr>
                  <w:r>
                    <w:rPr>
                      <w:rFonts w:hint="eastAsia"/>
                      <w:sz w:val="21"/>
                      <w:szCs w:val="21"/>
                      <w:lang w:val="zh-CN"/>
                    </w:rPr>
                    <w:t>自动监测</w:t>
                  </w:r>
                </w:p>
              </w:tc>
              <w:tc>
                <w:tcPr>
                  <w:tcW w:w="2477" w:type="pct"/>
                  <w:vMerge w:val="restart"/>
                  <w:shd w:val="clear" w:color="auto" w:fill="auto"/>
                  <w:vAlign w:val="center"/>
                </w:tcPr>
                <w:p>
                  <w:pPr>
                    <w:spacing w:line="240" w:lineRule="auto"/>
                    <w:ind w:right="46" w:rightChars="19" w:firstLine="0" w:firstLineChars="0"/>
                    <w:jc w:val="left"/>
                    <w:rPr>
                      <w:sz w:val="21"/>
                      <w:szCs w:val="21"/>
                      <w:lang w:val="zh-CN"/>
                    </w:rPr>
                  </w:pPr>
                  <w:r>
                    <w:rPr>
                      <w:rFonts w:hint="eastAsia" w:hAnsi="宋体"/>
                      <w:kern w:val="0"/>
                      <w:sz w:val="21"/>
                      <w:szCs w:val="21"/>
                    </w:rPr>
                    <w:t>《医疗机构水污染物排放标准》（GB18466-2005）表2预处理标准要求，同时满足与石家庄高新技术产业开发区供水排水公司签订的污水排放协议要求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859" w:type="pct"/>
                  <w:gridSpan w:val="2"/>
                  <w:vMerge w:val="continue"/>
                  <w:vAlign w:val="center"/>
                </w:tcPr>
                <w:p>
                  <w:pPr>
                    <w:spacing w:line="240" w:lineRule="auto"/>
                    <w:ind w:right="46" w:rightChars="19" w:firstLine="0" w:firstLineChars="0"/>
                    <w:jc w:val="center"/>
                    <w:rPr>
                      <w:sz w:val="21"/>
                      <w:szCs w:val="21"/>
                    </w:rPr>
                  </w:pPr>
                </w:p>
              </w:tc>
              <w:tc>
                <w:tcPr>
                  <w:tcW w:w="1109" w:type="pct"/>
                  <w:shd w:val="clear" w:color="auto" w:fill="auto"/>
                  <w:vAlign w:val="center"/>
                </w:tcPr>
                <w:p>
                  <w:pPr>
                    <w:spacing w:line="240" w:lineRule="auto"/>
                    <w:ind w:right="48" w:rightChars="20" w:firstLine="0" w:firstLineChars="0"/>
                    <w:jc w:val="center"/>
                    <w:rPr>
                      <w:sz w:val="21"/>
                      <w:szCs w:val="21"/>
                      <w:lang w:val="zh-CN"/>
                    </w:rPr>
                  </w:pPr>
                  <w:r>
                    <w:rPr>
                      <w:rFonts w:hint="eastAsia"/>
                      <w:sz w:val="21"/>
                      <w:szCs w:val="21"/>
                      <w:lang w:val="zh-CN"/>
                    </w:rPr>
                    <w:t>pH值</w:t>
                  </w:r>
                </w:p>
              </w:tc>
              <w:tc>
                <w:tcPr>
                  <w:tcW w:w="555" w:type="pct"/>
                  <w:shd w:val="clear" w:color="auto" w:fill="auto"/>
                  <w:vAlign w:val="center"/>
                </w:tcPr>
                <w:p>
                  <w:pPr>
                    <w:spacing w:line="240" w:lineRule="auto"/>
                    <w:ind w:right="48" w:rightChars="20" w:firstLine="0" w:firstLineChars="0"/>
                    <w:jc w:val="center"/>
                    <w:rPr>
                      <w:sz w:val="21"/>
                      <w:szCs w:val="21"/>
                      <w:lang w:val="zh-CN"/>
                    </w:rPr>
                  </w:pPr>
                  <w:r>
                    <w:rPr>
                      <w:rFonts w:hint="eastAsia"/>
                      <w:sz w:val="21"/>
                      <w:szCs w:val="21"/>
                      <w:lang w:val="zh-CN"/>
                    </w:rPr>
                    <w:t>12小时</w:t>
                  </w:r>
                </w:p>
              </w:tc>
              <w:tc>
                <w:tcPr>
                  <w:tcW w:w="2477" w:type="pct"/>
                  <w:vMerge w:val="continue"/>
                  <w:shd w:val="clear" w:color="auto" w:fill="auto"/>
                  <w:vAlign w:val="center"/>
                </w:tcPr>
                <w:p>
                  <w:pPr>
                    <w:spacing w:line="240" w:lineRule="auto"/>
                    <w:ind w:right="46" w:rightChars="19" w:firstLine="0" w:firstLineChars="0"/>
                    <w:jc w:val="center"/>
                    <w:rPr>
                      <w:sz w:val="21"/>
                      <w:szCs w:val="21"/>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859" w:type="pct"/>
                  <w:gridSpan w:val="2"/>
                  <w:vMerge w:val="continue"/>
                  <w:vAlign w:val="center"/>
                </w:tcPr>
                <w:p>
                  <w:pPr>
                    <w:spacing w:line="240" w:lineRule="auto"/>
                    <w:ind w:right="46" w:rightChars="19" w:firstLine="0" w:firstLineChars="0"/>
                    <w:jc w:val="center"/>
                    <w:rPr>
                      <w:sz w:val="21"/>
                      <w:szCs w:val="21"/>
                    </w:rPr>
                  </w:pPr>
                </w:p>
              </w:tc>
              <w:tc>
                <w:tcPr>
                  <w:tcW w:w="1109" w:type="pct"/>
                  <w:shd w:val="clear" w:color="auto" w:fill="auto"/>
                  <w:vAlign w:val="center"/>
                </w:tcPr>
                <w:p>
                  <w:pPr>
                    <w:spacing w:line="240" w:lineRule="auto"/>
                    <w:ind w:right="48" w:rightChars="20" w:firstLine="0" w:firstLineChars="0"/>
                    <w:jc w:val="center"/>
                    <w:rPr>
                      <w:sz w:val="21"/>
                      <w:szCs w:val="21"/>
                      <w:lang w:val="zh-CN"/>
                    </w:rPr>
                  </w:pPr>
                  <w:r>
                    <w:rPr>
                      <w:rFonts w:hint="eastAsia"/>
                      <w:sz w:val="21"/>
                      <w:szCs w:val="21"/>
                      <w:lang w:val="zh-CN"/>
                    </w:rPr>
                    <w:t>COD、SS</w:t>
                  </w:r>
                </w:p>
              </w:tc>
              <w:tc>
                <w:tcPr>
                  <w:tcW w:w="555" w:type="pct"/>
                  <w:shd w:val="clear" w:color="auto" w:fill="auto"/>
                  <w:vAlign w:val="center"/>
                </w:tcPr>
                <w:p>
                  <w:pPr>
                    <w:spacing w:line="240" w:lineRule="auto"/>
                    <w:ind w:right="48" w:rightChars="20" w:firstLine="0" w:firstLineChars="0"/>
                    <w:jc w:val="center"/>
                    <w:rPr>
                      <w:sz w:val="21"/>
                      <w:szCs w:val="21"/>
                      <w:lang w:val="zh-CN"/>
                    </w:rPr>
                  </w:pPr>
                  <w:r>
                    <w:rPr>
                      <w:rFonts w:hint="eastAsia"/>
                      <w:sz w:val="21"/>
                      <w:szCs w:val="21"/>
                      <w:lang w:val="zh-CN"/>
                    </w:rPr>
                    <w:t>1次/周</w:t>
                  </w:r>
                </w:p>
              </w:tc>
              <w:tc>
                <w:tcPr>
                  <w:tcW w:w="2477" w:type="pct"/>
                  <w:vMerge w:val="continue"/>
                  <w:shd w:val="clear" w:color="auto" w:fill="auto"/>
                  <w:vAlign w:val="center"/>
                </w:tcPr>
                <w:p>
                  <w:pPr>
                    <w:spacing w:line="240" w:lineRule="auto"/>
                    <w:ind w:right="46" w:rightChars="19" w:firstLine="0" w:firstLineChars="0"/>
                    <w:jc w:val="center"/>
                    <w:rPr>
                      <w:sz w:val="21"/>
                      <w:szCs w:val="21"/>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859" w:type="pct"/>
                  <w:gridSpan w:val="2"/>
                  <w:vMerge w:val="continue"/>
                  <w:vAlign w:val="center"/>
                </w:tcPr>
                <w:p>
                  <w:pPr>
                    <w:spacing w:line="240" w:lineRule="auto"/>
                    <w:ind w:right="46" w:rightChars="19" w:firstLine="0" w:firstLineChars="0"/>
                    <w:jc w:val="center"/>
                    <w:rPr>
                      <w:sz w:val="21"/>
                      <w:szCs w:val="21"/>
                    </w:rPr>
                  </w:pPr>
                </w:p>
              </w:tc>
              <w:tc>
                <w:tcPr>
                  <w:tcW w:w="1109" w:type="pct"/>
                  <w:shd w:val="clear" w:color="auto" w:fill="auto"/>
                  <w:vAlign w:val="center"/>
                </w:tcPr>
                <w:p>
                  <w:pPr>
                    <w:spacing w:line="240" w:lineRule="auto"/>
                    <w:ind w:right="48" w:rightChars="20" w:firstLine="0" w:firstLineChars="0"/>
                    <w:jc w:val="center"/>
                    <w:rPr>
                      <w:sz w:val="21"/>
                      <w:szCs w:val="21"/>
                      <w:lang w:val="zh-CN"/>
                    </w:rPr>
                  </w:pPr>
                  <w:r>
                    <w:rPr>
                      <w:rFonts w:hint="eastAsia"/>
                      <w:sz w:val="21"/>
                      <w:szCs w:val="21"/>
                      <w:lang w:val="zh-CN"/>
                    </w:rPr>
                    <w:t>粪大肠菌群数</w:t>
                  </w:r>
                </w:p>
              </w:tc>
              <w:tc>
                <w:tcPr>
                  <w:tcW w:w="555" w:type="pct"/>
                  <w:shd w:val="clear" w:color="auto" w:fill="auto"/>
                  <w:vAlign w:val="center"/>
                </w:tcPr>
                <w:p>
                  <w:pPr>
                    <w:spacing w:line="240" w:lineRule="auto"/>
                    <w:ind w:right="48" w:rightChars="20" w:firstLine="0" w:firstLineChars="0"/>
                    <w:jc w:val="center"/>
                    <w:rPr>
                      <w:sz w:val="21"/>
                      <w:szCs w:val="21"/>
                      <w:lang w:val="zh-CN"/>
                    </w:rPr>
                  </w:pPr>
                  <w:r>
                    <w:rPr>
                      <w:rFonts w:hint="eastAsia"/>
                      <w:sz w:val="21"/>
                      <w:szCs w:val="21"/>
                      <w:lang w:val="zh-CN"/>
                    </w:rPr>
                    <w:t>1次/月</w:t>
                  </w:r>
                </w:p>
              </w:tc>
              <w:tc>
                <w:tcPr>
                  <w:tcW w:w="2477" w:type="pct"/>
                  <w:vMerge w:val="continue"/>
                  <w:shd w:val="clear" w:color="auto" w:fill="auto"/>
                  <w:vAlign w:val="center"/>
                </w:tcPr>
                <w:p>
                  <w:pPr>
                    <w:spacing w:line="240" w:lineRule="auto"/>
                    <w:ind w:right="46" w:rightChars="19" w:firstLine="0" w:firstLineChars="0"/>
                    <w:jc w:val="center"/>
                    <w:rPr>
                      <w:sz w:val="21"/>
                      <w:szCs w:val="21"/>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859" w:type="pct"/>
                  <w:gridSpan w:val="2"/>
                  <w:vMerge w:val="continue"/>
                  <w:vAlign w:val="center"/>
                </w:tcPr>
                <w:p>
                  <w:pPr>
                    <w:spacing w:line="240" w:lineRule="auto"/>
                    <w:ind w:right="46" w:rightChars="19" w:firstLine="0" w:firstLineChars="0"/>
                    <w:jc w:val="center"/>
                    <w:rPr>
                      <w:sz w:val="21"/>
                      <w:szCs w:val="21"/>
                    </w:rPr>
                  </w:pPr>
                </w:p>
              </w:tc>
              <w:tc>
                <w:tcPr>
                  <w:tcW w:w="1109" w:type="pct"/>
                  <w:shd w:val="clear" w:color="auto" w:fill="auto"/>
                  <w:vAlign w:val="center"/>
                </w:tcPr>
                <w:p>
                  <w:pPr>
                    <w:spacing w:line="240" w:lineRule="auto"/>
                    <w:ind w:right="48" w:rightChars="20" w:firstLine="0" w:firstLineChars="0"/>
                    <w:jc w:val="left"/>
                    <w:rPr>
                      <w:sz w:val="21"/>
                      <w:szCs w:val="21"/>
                      <w:lang w:val="zh-CN"/>
                    </w:rPr>
                  </w:pPr>
                  <w:r>
                    <w:rPr>
                      <w:rFonts w:hint="eastAsia"/>
                      <w:sz w:val="21"/>
                      <w:szCs w:val="21"/>
                      <w:lang w:val="zh-CN"/>
                    </w:rPr>
                    <w:t>BOD</w:t>
                  </w:r>
                  <w:r>
                    <w:rPr>
                      <w:rFonts w:hint="eastAsia"/>
                      <w:sz w:val="21"/>
                      <w:szCs w:val="21"/>
                      <w:vertAlign w:val="subscript"/>
                      <w:lang w:val="zh-CN"/>
                    </w:rPr>
                    <w:t>5</w:t>
                  </w:r>
                  <w:r>
                    <w:rPr>
                      <w:rFonts w:hint="eastAsia"/>
                      <w:sz w:val="21"/>
                      <w:szCs w:val="21"/>
                      <w:lang w:val="zh-CN"/>
                    </w:rPr>
                    <w:t xml:space="preserve">、石油类、挥发酚、动植物油、LAS </w:t>
                  </w:r>
                </w:p>
              </w:tc>
              <w:tc>
                <w:tcPr>
                  <w:tcW w:w="555" w:type="pct"/>
                  <w:vMerge w:val="restart"/>
                  <w:shd w:val="clear" w:color="auto" w:fill="auto"/>
                  <w:vAlign w:val="center"/>
                </w:tcPr>
                <w:p>
                  <w:pPr>
                    <w:spacing w:line="240" w:lineRule="auto"/>
                    <w:ind w:right="48" w:rightChars="20" w:firstLine="0" w:firstLineChars="0"/>
                    <w:jc w:val="center"/>
                    <w:rPr>
                      <w:sz w:val="21"/>
                      <w:szCs w:val="21"/>
                      <w:lang w:val="zh-CN"/>
                    </w:rPr>
                  </w:pPr>
                  <w:r>
                    <w:rPr>
                      <w:rFonts w:hint="eastAsia"/>
                      <w:sz w:val="21"/>
                      <w:szCs w:val="21"/>
                      <w:lang w:val="zh-CN"/>
                    </w:rPr>
                    <w:t>1次/季度</w:t>
                  </w:r>
                </w:p>
              </w:tc>
              <w:tc>
                <w:tcPr>
                  <w:tcW w:w="2477" w:type="pct"/>
                  <w:vMerge w:val="continue"/>
                  <w:shd w:val="clear" w:color="auto" w:fill="auto"/>
                  <w:vAlign w:val="center"/>
                </w:tcPr>
                <w:p>
                  <w:pPr>
                    <w:spacing w:line="240" w:lineRule="auto"/>
                    <w:ind w:right="46" w:rightChars="19" w:firstLine="0" w:firstLineChars="0"/>
                    <w:jc w:val="center"/>
                    <w:rPr>
                      <w:sz w:val="21"/>
                      <w:szCs w:val="21"/>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859" w:type="pct"/>
                  <w:gridSpan w:val="2"/>
                  <w:vMerge w:val="continue"/>
                  <w:vAlign w:val="center"/>
                </w:tcPr>
                <w:p>
                  <w:pPr>
                    <w:spacing w:line="240" w:lineRule="auto"/>
                    <w:ind w:right="46" w:rightChars="19" w:firstLine="0" w:firstLineChars="0"/>
                    <w:jc w:val="center"/>
                    <w:rPr>
                      <w:sz w:val="21"/>
                      <w:szCs w:val="21"/>
                    </w:rPr>
                  </w:pPr>
                </w:p>
              </w:tc>
              <w:tc>
                <w:tcPr>
                  <w:tcW w:w="1109" w:type="pct"/>
                  <w:shd w:val="clear" w:color="auto" w:fill="auto"/>
                  <w:vAlign w:val="center"/>
                </w:tcPr>
                <w:p>
                  <w:pPr>
                    <w:spacing w:line="240" w:lineRule="auto"/>
                    <w:ind w:right="48" w:rightChars="20" w:firstLine="0" w:firstLineChars="0"/>
                    <w:jc w:val="left"/>
                    <w:rPr>
                      <w:sz w:val="21"/>
                      <w:szCs w:val="21"/>
                      <w:lang w:val="zh-CN"/>
                    </w:rPr>
                  </w:pPr>
                  <w:r>
                    <w:rPr>
                      <w:rFonts w:hint="eastAsia"/>
                      <w:sz w:val="21"/>
                      <w:szCs w:val="21"/>
                      <w:lang w:val="zh-CN"/>
                    </w:rPr>
                    <w:t>色度、氨氮、总余氯</w:t>
                  </w:r>
                </w:p>
              </w:tc>
              <w:tc>
                <w:tcPr>
                  <w:tcW w:w="555" w:type="pct"/>
                  <w:vMerge w:val="continue"/>
                  <w:shd w:val="clear" w:color="auto" w:fill="auto"/>
                  <w:vAlign w:val="center"/>
                </w:tcPr>
                <w:p>
                  <w:pPr>
                    <w:spacing w:line="240" w:lineRule="auto"/>
                    <w:ind w:right="46" w:rightChars="19" w:firstLine="0" w:firstLineChars="0"/>
                    <w:jc w:val="center"/>
                    <w:rPr>
                      <w:sz w:val="21"/>
                      <w:szCs w:val="21"/>
                    </w:rPr>
                  </w:pPr>
                </w:p>
              </w:tc>
              <w:tc>
                <w:tcPr>
                  <w:tcW w:w="2477" w:type="pct"/>
                  <w:vMerge w:val="continue"/>
                  <w:shd w:val="clear" w:color="auto" w:fill="auto"/>
                  <w:vAlign w:val="center"/>
                </w:tcPr>
                <w:p>
                  <w:pPr>
                    <w:spacing w:line="240" w:lineRule="auto"/>
                    <w:ind w:right="46" w:rightChars="19" w:firstLine="0" w:firstLineChars="0"/>
                    <w:jc w:val="center"/>
                    <w:rPr>
                      <w:sz w:val="21"/>
                      <w:szCs w:val="21"/>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859" w:type="pct"/>
                  <w:gridSpan w:val="2"/>
                  <w:vAlign w:val="center"/>
                </w:tcPr>
                <w:p>
                  <w:pPr>
                    <w:spacing w:line="240" w:lineRule="auto"/>
                    <w:ind w:right="46" w:rightChars="19" w:firstLine="0" w:firstLineChars="0"/>
                    <w:jc w:val="center"/>
                    <w:rPr>
                      <w:sz w:val="21"/>
                      <w:szCs w:val="21"/>
                    </w:rPr>
                  </w:pPr>
                  <w:r>
                    <w:rPr>
                      <w:rFonts w:hint="eastAsia"/>
                      <w:sz w:val="21"/>
                      <w:szCs w:val="21"/>
                    </w:rPr>
                    <w:t>医院东、南、北边界外1m</w:t>
                  </w:r>
                </w:p>
              </w:tc>
              <w:tc>
                <w:tcPr>
                  <w:tcW w:w="1109" w:type="pct"/>
                  <w:vMerge w:val="restart"/>
                  <w:shd w:val="clear" w:color="auto" w:fill="auto"/>
                  <w:vAlign w:val="center"/>
                </w:tcPr>
                <w:p>
                  <w:pPr>
                    <w:spacing w:line="240" w:lineRule="auto"/>
                    <w:ind w:right="120" w:rightChars="50" w:firstLine="0" w:firstLineChars="0"/>
                    <w:jc w:val="center"/>
                    <w:rPr>
                      <w:sz w:val="21"/>
                      <w:szCs w:val="21"/>
                      <w:lang w:val="zh-CN"/>
                    </w:rPr>
                  </w:pPr>
                  <w:r>
                    <w:rPr>
                      <w:rFonts w:hint="eastAsia"/>
                      <w:sz w:val="21"/>
                      <w:szCs w:val="21"/>
                      <w:lang w:val="zh-CN"/>
                    </w:rPr>
                    <w:t>等效连续A声级</w:t>
                  </w:r>
                </w:p>
              </w:tc>
              <w:tc>
                <w:tcPr>
                  <w:tcW w:w="555" w:type="pct"/>
                  <w:vMerge w:val="restart"/>
                  <w:shd w:val="clear" w:color="auto" w:fill="auto"/>
                  <w:vAlign w:val="center"/>
                </w:tcPr>
                <w:p>
                  <w:pPr>
                    <w:spacing w:line="240" w:lineRule="auto"/>
                    <w:ind w:right="120" w:rightChars="50" w:firstLine="0" w:firstLineChars="0"/>
                    <w:jc w:val="center"/>
                    <w:rPr>
                      <w:sz w:val="21"/>
                      <w:szCs w:val="21"/>
                      <w:lang w:val="zh-CN"/>
                    </w:rPr>
                  </w:pPr>
                  <w:r>
                    <w:rPr>
                      <w:rFonts w:hint="eastAsia"/>
                      <w:sz w:val="21"/>
                      <w:szCs w:val="21"/>
                      <w:lang w:val="zh-CN"/>
                    </w:rPr>
                    <w:t>1次/季度</w:t>
                  </w:r>
                </w:p>
              </w:tc>
              <w:tc>
                <w:tcPr>
                  <w:tcW w:w="2477" w:type="pct"/>
                  <w:shd w:val="clear" w:color="auto" w:fill="auto"/>
                  <w:vAlign w:val="center"/>
                </w:tcPr>
                <w:p>
                  <w:pPr>
                    <w:spacing w:line="240" w:lineRule="auto"/>
                    <w:ind w:right="120" w:rightChars="50" w:firstLine="0" w:firstLineChars="0"/>
                    <w:jc w:val="left"/>
                    <w:rPr>
                      <w:sz w:val="21"/>
                      <w:szCs w:val="21"/>
                      <w:lang w:val="zh-CN"/>
                    </w:rPr>
                  </w:pPr>
                  <w:r>
                    <w:rPr>
                      <w:rFonts w:hint="eastAsia"/>
                      <w:sz w:val="21"/>
                      <w:szCs w:val="21"/>
                      <w:lang w:val="zh-CN"/>
                    </w:rPr>
                    <w:t>《工业企业厂界环境噪声排放标准》（GB12348-2008）1类标准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859" w:type="pct"/>
                  <w:gridSpan w:val="2"/>
                  <w:vAlign w:val="center"/>
                </w:tcPr>
                <w:p>
                  <w:pPr>
                    <w:spacing w:line="240" w:lineRule="auto"/>
                    <w:ind w:right="46" w:rightChars="19" w:firstLine="0" w:firstLineChars="0"/>
                    <w:jc w:val="center"/>
                    <w:rPr>
                      <w:sz w:val="21"/>
                      <w:szCs w:val="21"/>
                    </w:rPr>
                  </w:pPr>
                  <w:r>
                    <w:rPr>
                      <w:rFonts w:hint="eastAsia"/>
                      <w:sz w:val="21"/>
                      <w:szCs w:val="21"/>
                    </w:rPr>
                    <w:t>医院西边界外1m</w:t>
                  </w:r>
                </w:p>
              </w:tc>
              <w:tc>
                <w:tcPr>
                  <w:tcW w:w="1109" w:type="pct"/>
                  <w:vMerge w:val="continue"/>
                  <w:shd w:val="clear" w:color="auto" w:fill="auto"/>
                  <w:vAlign w:val="center"/>
                </w:tcPr>
                <w:p>
                  <w:pPr>
                    <w:spacing w:line="240" w:lineRule="auto"/>
                    <w:ind w:right="120" w:rightChars="50" w:firstLine="0" w:firstLineChars="0"/>
                    <w:jc w:val="center"/>
                    <w:rPr>
                      <w:sz w:val="21"/>
                      <w:szCs w:val="21"/>
                      <w:lang w:val="zh-CN"/>
                    </w:rPr>
                  </w:pPr>
                </w:p>
              </w:tc>
              <w:tc>
                <w:tcPr>
                  <w:tcW w:w="555" w:type="pct"/>
                  <w:vMerge w:val="continue"/>
                  <w:shd w:val="clear" w:color="auto" w:fill="auto"/>
                  <w:vAlign w:val="center"/>
                </w:tcPr>
                <w:p>
                  <w:pPr>
                    <w:spacing w:line="240" w:lineRule="auto"/>
                    <w:ind w:right="120" w:rightChars="50" w:firstLine="0" w:firstLineChars="0"/>
                    <w:jc w:val="center"/>
                    <w:rPr>
                      <w:sz w:val="21"/>
                      <w:szCs w:val="21"/>
                      <w:lang w:val="zh-CN"/>
                    </w:rPr>
                  </w:pPr>
                </w:p>
              </w:tc>
              <w:tc>
                <w:tcPr>
                  <w:tcW w:w="2477" w:type="pct"/>
                  <w:shd w:val="clear" w:color="auto" w:fill="auto"/>
                  <w:vAlign w:val="center"/>
                </w:tcPr>
                <w:p>
                  <w:pPr>
                    <w:spacing w:line="240" w:lineRule="auto"/>
                    <w:ind w:right="120" w:rightChars="50" w:firstLine="0" w:firstLineChars="0"/>
                    <w:jc w:val="left"/>
                    <w:rPr>
                      <w:sz w:val="21"/>
                      <w:szCs w:val="21"/>
                      <w:lang w:val="zh-CN"/>
                    </w:rPr>
                  </w:pPr>
                  <w:r>
                    <w:rPr>
                      <w:rFonts w:hint="eastAsia"/>
                      <w:sz w:val="21"/>
                      <w:szCs w:val="21"/>
                      <w:lang w:val="zh-CN"/>
                    </w:rPr>
                    <w:t>《工业企业厂界环境噪声排放标准》（GB12348-2008）4类标准</w:t>
                  </w:r>
                </w:p>
              </w:tc>
            </w:tr>
          </w:tbl>
          <w:p>
            <w:pPr>
              <w:ind w:right="46" w:rightChars="19" w:firstLine="0" w:firstLineChars="0"/>
              <w:jc w:val="left"/>
            </w:pPr>
            <w:r>
              <w:rPr>
                <w:rFonts w:hint="eastAsia"/>
                <w:b/>
                <w:lang w:val="zh-CN"/>
              </w:rPr>
              <w:t>2、排放口规范化设置</w:t>
            </w:r>
          </w:p>
          <w:p>
            <w:pPr>
              <w:ind w:left="120" w:leftChars="50" w:right="120" w:rightChars="50" w:firstLine="480"/>
              <w:rPr>
                <w:lang w:val="zh-CN"/>
              </w:rPr>
            </w:pPr>
            <w:r>
              <w:rPr>
                <w:rFonts w:hint="eastAsia"/>
                <w:lang w:val="zh-CN"/>
              </w:rPr>
              <w:t>根据国家标准《环境保护图形标志—排放口（源）》和国家环保总局《排污口规范化整治要求（试行）》的技术要求，企业所有排放口，包括水、气、声、固体废物，必须按照“便于计量监测、便于日常现场监督检查”的原则和规范化要求，设置与之相适应的环境保护图形标志牌，绘制企业排污口分布图，对治理设施安装运行监控装置。排污口的规范化要符合环境监测部门的有关要求。</w:t>
            </w:r>
          </w:p>
          <w:p>
            <w:pPr>
              <w:ind w:left="120" w:leftChars="50" w:right="120" w:rightChars="50" w:firstLine="480"/>
              <w:rPr>
                <w:lang w:val="zh-CN"/>
              </w:rPr>
            </w:pPr>
            <w:r>
              <w:rPr>
                <w:rFonts w:hint="eastAsia"/>
                <w:lang w:val="zh-CN"/>
              </w:rPr>
              <w:t>（1）排污口规范化管理的基本原则</w:t>
            </w:r>
          </w:p>
          <w:p>
            <w:pPr>
              <w:ind w:left="120" w:leftChars="50" w:right="120" w:rightChars="50" w:firstLine="480"/>
              <w:rPr>
                <w:lang w:val="zh-CN"/>
              </w:rPr>
            </w:pPr>
            <w:r>
              <w:rPr>
                <w:rFonts w:hint="eastAsia"/>
                <w:lang w:val="zh-CN"/>
              </w:rPr>
              <w:t>①在各排污口处设立较明显排污口标志牌，其上注明主要排放污染物名称。</w:t>
            </w:r>
          </w:p>
          <w:p>
            <w:pPr>
              <w:ind w:left="120" w:leftChars="50" w:right="120" w:rightChars="50" w:firstLine="480"/>
              <w:rPr>
                <w:lang w:val="zh-CN"/>
              </w:rPr>
            </w:pPr>
            <w:r>
              <w:rPr>
                <w:rFonts w:hint="eastAsia"/>
                <w:lang w:val="zh-CN"/>
              </w:rPr>
              <w:t>②如实填写《中华人民共和国规范化排污口标志登记证》的有关内容，由环保主管部门签发登记证。</w:t>
            </w:r>
          </w:p>
          <w:p>
            <w:pPr>
              <w:ind w:left="120" w:leftChars="50" w:right="120" w:rightChars="50" w:firstLine="480"/>
              <w:rPr>
                <w:lang w:val="zh-CN"/>
              </w:rPr>
            </w:pPr>
            <w:r>
              <w:rPr>
                <w:rFonts w:hint="eastAsia"/>
                <w:lang w:val="zh-CN"/>
              </w:rPr>
              <w:t>③将有关排污口的情况如：排污口的性质、编号、排污口的位置；主要排放的污染物种类、数量、浓度、排放规律、排放去向；污染治理设施的运行情况等进行建档管理，并报送环保主管部门备案。</w:t>
            </w:r>
          </w:p>
          <w:p>
            <w:pPr>
              <w:ind w:left="120" w:leftChars="50" w:right="120" w:rightChars="50" w:firstLine="480"/>
              <w:rPr>
                <w:lang w:val="zh-CN"/>
              </w:rPr>
            </w:pPr>
            <w:r>
              <w:rPr>
                <w:rFonts w:hint="eastAsia"/>
                <w:lang w:val="zh-CN"/>
              </w:rPr>
              <w:t>④</w:t>
            </w:r>
            <w:r>
              <w:rPr>
                <w:rFonts w:hint="eastAsia"/>
              </w:rPr>
              <w:t>按照排污口规范管理及排放口环境保护图形标志管理有关规定，在排污口附近设置环境保护图形标志牌，根据《环境保护图形标志》要求，填写本工程的主要污染物；标志牌必须保持清晰、完整，发现形象损坏、颜色污染或有变化、退色等不符合图形标志标准的情况，应及时修复或更换，检查时间至少每年一次。</w:t>
            </w:r>
          </w:p>
          <w:p>
            <w:pPr>
              <w:ind w:left="120" w:leftChars="50" w:right="120" w:rightChars="50" w:firstLine="480"/>
              <w:rPr>
                <w:lang w:val="zh-CN"/>
              </w:rPr>
            </w:pPr>
            <w:r>
              <w:rPr>
                <w:rFonts w:hint="eastAsia"/>
                <w:lang w:val="zh-CN"/>
              </w:rPr>
              <w:t>⑤排放口规范化整治要遵循便于采集样品、便于监测计量、便于日常监督管理的原则，严格按排放口规范化整治技术要求进行。</w:t>
            </w:r>
          </w:p>
          <w:p>
            <w:pPr>
              <w:ind w:left="120" w:leftChars="50" w:right="120" w:rightChars="50" w:firstLine="480"/>
              <w:rPr>
                <w:lang w:val="zh-CN"/>
              </w:rPr>
            </w:pPr>
            <w:r>
              <w:rPr>
                <w:rFonts w:hint="eastAsia"/>
                <w:lang w:val="zh-CN"/>
              </w:rPr>
              <w:t>⑥环境保护图形标志牌设置位置应距污染物排放口及固体废物堆放场或采样点较近且醒目处，设置高度一般为标志牌上缘距离地面约2m。</w:t>
            </w:r>
          </w:p>
          <w:p>
            <w:pPr>
              <w:ind w:left="120" w:leftChars="50" w:right="120" w:rightChars="50" w:firstLine="480"/>
              <w:rPr>
                <w:lang w:val="zh-CN"/>
              </w:rPr>
            </w:pPr>
            <w:r>
              <w:rPr>
                <w:rFonts w:hint="eastAsia"/>
                <w:lang w:val="zh-CN"/>
              </w:rPr>
              <w:t>（2）环境保护图形标志</w:t>
            </w:r>
          </w:p>
          <w:p>
            <w:pPr>
              <w:pStyle w:val="39"/>
              <w:spacing w:line="520" w:lineRule="exact"/>
              <w:ind w:left="120" w:leftChars="50" w:right="120" w:rightChars="50" w:firstLine="480"/>
              <w:rPr>
                <w:sz w:val="24"/>
              </w:rPr>
            </w:pPr>
            <w:r>
              <w:rPr>
                <w:rFonts w:hint="eastAsia"/>
                <w:sz w:val="24"/>
              </w:rPr>
              <w:t>环境保护图形标志在企业的废水排放口、废气排放源、固体废物贮存处置场应设置环境保护图形标志，图形符号分提示图形和警告图形符号两种，分别按GB15562.1-1995、GB15562.2-1995执行。环境保护图形标志形状及颜色详见下表</w:t>
            </w:r>
            <w:r>
              <w:rPr>
                <w:sz w:val="24"/>
              </w:rPr>
              <w:t>。</w:t>
            </w:r>
          </w:p>
          <w:p>
            <w:pPr>
              <w:pStyle w:val="14"/>
            </w:pPr>
            <w:r>
              <w:rPr>
                <w:rFonts w:hint="eastAsia"/>
              </w:rPr>
              <w:t xml:space="preserve">表40  </w:t>
            </w:r>
            <w:r>
              <w:t>环境保护图形标志形状及颜色一览表</w:t>
            </w:r>
          </w:p>
          <w:tbl>
            <w:tblPr>
              <w:tblStyle w:val="16"/>
              <w:tblW w:w="4985" w:type="pct"/>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2297"/>
              <w:gridCol w:w="2300"/>
              <w:gridCol w:w="2300"/>
              <w:gridCol w:w="2272"/>
            </w:tblGrid>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jc w:val="center"/>
              </w:trPr>
              <w:tc>
                <w:tcPr>
                  <w:tcW w:w="1253" w:type="pct"/>
                  <w:tcMar>
                    <w:left w:w="0" w:type="dxa"/>
                    <w:right w:w="0" w:type="dxa"/>
                  </w:tcMar>
                  <w:vAlign w:val="center"/>
                </w:tcPr>
                <w:p>
                  <w:pPr>
                    <w:pStyle w:val="40"/>
                    <w:rPr>
                      <w:szCs w:val="21"/>
                    </w:rPr>
                  </w:pPr>
                  <w:r>
                    <w:rPr>
                      <w:szCs w:val="21"/>
                    </w:rPr>
                    <w:t>标志名称</w:t>
                  </w:r>
                </w:p>
              </w:tc>
              <w:tc>
                <w:tcPr>
                  <w:tcW w:w="1254" w:type="pct"/>
                  <w:tcMar>
                    <w:left w:w="0" w:type="dxa"/>
                    <w:right w:w="0" w:type="dxa"/>
                  </w:tcMar>
                  <w:vAlign w:val="center"/>
                </w:tcPr>
                <w:p>
                  <w:pPr>
                    <w:pStyle w:val="40"/>
                    <w:rPr>
                      <w:szCs w:val="21"/>
                    </w:rPr>
                  </w:pPr>
                  <w:r>
                    <w:rPr>
                      <w:szCs w:val="21"/>
                    </w:rPr>
                    <w:t>形状</w:t>
                  </w:r>
                </w:p>
              </w:tc>
              <w:tc>
                <w:tcPr>
                  <w:tcW w:w="1254" w:type="pct"/>
                  <w:tcMar>
                    <w:left w:w="0" w:type="dxa"/>
                    <w:right w:w="0" w:type="dxa"/>
                  </w:tcMar>
                  <w:vAlign w:val="center"/>
                </w:tcPr>
                <w:p>
                  <w:pPr>
                    <w:pStyle w:val="40"/>
                    <w:rPr>
                      <w:szCs w:val="21"/>
                    </w:rPr>
                  </w:pPr>
                  <w:r>
                    <w:rPr>
                      <w:szCs w:val="21"/>
                    </w:rPr>
                    <w:t>背景颜色</w:t>
                  </w:r>
                </w:p>
              </w:tc>
              <w:tc>
                <w:tcPr>
                  <w:tcW w:w="1239" w:type="pct"/>
                  <w:tcMar>
                    <w:left w:w="0" w:type="dxa"/>
                    <w:right w:w="0" w:type="dxa"/>
                  </w:tcMar>
                  <w:vAlign w:val="center"/>
                </w:tcPr>
                <w:p>
                  <w:pPr>
                    <w:pStyle w:val="40"/>
                    <w:rPr>
                      <w:szCs w:val="21"/>
                    </w:rPr>
                  </w:pPr>
                  <w:r>
                    <w:rPr>
                      <w:szCs w:val="21"/>
                    </w:rPr>
                    <w:t>图形颜色</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jc w:val="center"/>
              </w:trPr>
              <w:tc>
                <w:tcPr>
                  <w:tcW w:w="1253" w:type="pct"/>
                  <w:tcMar>
                    <w:left w:w="0" w:type="dxa"/>
                    <w:right w:w="0" w:type="dxa"/>
                  </w:tcMar>
                  <w:vAlign w:val="center"/>
                </w:tcPr>
                <w:p>
                  <w:pPr>
                    <w:pStyle w:val="40"/>
                    <w:rPr>
                      <w:szCs w:val="21"/>
                    </w:rPr>
                  </w:pPr>
                  <w:r>
                    <w:rPr>
                      <w:szCs w:val="21"/>
                    </w:rPr>
                    <w:t>警示标志</w:t>
                  </w:r>
                </w:p>
              </w:tc>
              <w:tc>
                <w:tcPr>
                  <w:tcW w:w="1254" w:type="pct"/>
                  <w:tcMar>
                    <w:left w:w="0" w:type="dxa"/>
                    <w:right w:w="0" w:type="dxa"/>
                  </w:tcMar>
                  <w:vAlign w:val="center"/>
                </w:tcPr>
                <w:p>
                  <w:pPr>
                    <w:pStyle w:val="40"/>
                    <w:rPr>
                      <w:szCs w:val="21"/>
                    </w:rPr>
                  </w:pPr>
                  <w:r>
                    <w:rPr>
                      <w:szCs w:val="21"/>
                    </w:rPr>
                    <w:t>三角形边框</w:t>
                  </w:r>
                </w:p>
              </w:tc>
              <w:tc>
                <w:tcPr>
                  <w:tcW w:w="1254" w:type="pct"/>
                  <w:tcMar>
                    <w:left w:w="0" w:type="dxa"/>
                    <w:right w:w="0" w:type="dxa"/>
                  </w:tcMar>
                  <w:vAlign w:val="center"/>
                </w:tcPr>
                <w:p>
                  <w:pPr>
                    <w:pStyle w:val="40"/>
                    <w:rPr>
                      <w:szCs w:val="21"/>
                    </w:rPr>
                  </w:pPr>
                  <w:r>
                    <w:rPr>
                      <w:szCs w:val="21"/>
                    </w:rPr>
                    <w:t>黄色</w:t>
                  </w:r>
                </w:p>
              </w:tc>
              <w:tc>
                <w:tcPr>
                  <w:tcW w:w="1239" w:type="pct"/>
                  <w:tcMar>
                    <w:left w:w="0" w:type="dxa"/>
                    <w:right w:w="0" w:type="dxa"/>
                  </w:tcMar>
                  <w:vAlign w:val="center"/>
                </w:tcPr>
                <w:p>
                  <w:pPr>
                    <w:pStyle w:val="40"/>
                    <w:rPr>
                      <w:szCs w:val="21"/>
                    </w:rPr>
                  </w:pPr>
                  <w:r>
                    <w:rPr>
                      <w:szCs w:val="21"/>
                    </w:rPr>
                    <w:t>黑色</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jc w:val="center"/>
              </w:trPr>
              <w:tc>
                <w:tcPr>
                  <w:tcW w:w="1253" w:type="pct"/>
                  <w:tcMar>
                    <w:left w:w="0" w:type="dxa"/>
                    <w:right w:w="0" w:type="dxa"/>
                  </w:tcMar>
                  <w:vAlign w:val="center"/>
                </w:tcPr>
                <w:p>
                  <w:pPr>
                    <w:pStyle w:val="40"/>
                    <w:rPr>
                      <w:szCs w:val="21"/>
                    </w:rPr>
                  </w:pPr>
                  <w:r>
                    <w:rPr>
                      <w:szCs w:val="21"/>
                    </w:rPr>
                    <w:t>提示标志</w:t>
                  </w:r>
                </w:p>
              </w:tc>
              <w:tc>
                <w:tcPr>
                  <w:tcW w:w="1254" w:type="pct"/>
                  <w:tcMar>
                    <w:left w:w="0" w:type="dxa"/>
                    <w:right w:w="0" w:type="dxa"/>
                  </w:tcMar>
                  <w:vAlign w:val="center"/>
                </w:tcPr>
                <w:p>
                  <w:pPr>
                    <w:pStyle w:val="40"/>
                    <w:rPr>
                      <w:szCs w:val="21"/>
                    </w:rPr>
                  </w:pPr>
                  <w:r>
                    <w:rPr>
                      <w:szCs w:val="21"/>
                    </w:rPr>
                    <w:t>正方形边框</w:t>
                  </w:r>
                </w:p>
              </w:tc>
              <w:tc>
                <w:tcPr>
                  <w:tcW w:w="1254" w:type="pct"/>
                  <w:tcMar>
                    <w:left w:w="0" w:type="dxa"/>
                    <w:right w:w="0" w:type="dxa"/>
                  </w:tcMar>
                  <w:vAlign w:val="center"/>
                </w:tcPr>
                <w:p>
                  <w:pPr>
                    <w:pStyle w:val="40"/>
                    <w:rPr>
                      <w:szCs w:val="21"/>
                    </w:rPr>
                  </w:pPr>
                  <w:r>
                    <w:rPr>
                      <w:szCs w:val="21"/>
                    </w:rPr>
                    <w:t>绿色</w:t>
                  </w:r>
                </w:p>
              </w:tc>
              <w:tc>
                <w:tcPr>
                  <w:tcW w:w="1239" w:type="pct"/>
                  <w:tcMar>
                    <w:left w:w="0" w:type="dxa"/>
                    <w:right w:w="0" w:type="dxa"/>
                  </w:tcMar>
                  <w:vAlign w:val="center"/>
                </w:tcPr>
                <w:p>
                  <w:pPr>
                    <w:pStyle w:val="40"/>
                    <w:rPr>
                      <w:szCs w:val="21"/>
                    </w:rPr>
                  </w:pPr>
                  <w:r>
                    <w:rPr>
                      <w:szCs w:val="21"/>
                    </w:rPr>
                    <w:t>白色</w:t>
                  </w:r>
                </w:p>
              </w:tc>
            </w:tr>
          </w:tbl>
          <w:p>
            <w:pPr>
              <w:pStyle w:val="14"/>
            </w:pPr>
            <w:r>
              <w:rPr>
                <w:rFonts w:hint="eastAsia"/>
              </w:rPr>
              <w:t xml:space="preserve">表41   </w:t>
            </w:r>
            <w:r>
              <w:t>环境保护图形符号一览表</w:t>
            </w:r>
          </w:p>
          <w:tbl>
            <w:tblPr>
              <w:tblStyle w:val="1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2271"/>
              <w:gridCol w:w="2271"/>
              <w:gridCol w:w="2271"/>
              <w:gridCol w:w="225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2271" w:type="dxa"/>
                  <w:vAlign w:val="center"/>
                </w:tcPr>
                <w:p>
                  <w:pPr>
                    <w:spacing w:line="240" w:lineRule="auto"/>
                    <w:ind w:firstLine="0" w:firstLineChars="0"/>
                    <w:jc w:val="center"/>
                    <w:rPr>
                      <w:sz w:val="21"/>
                      <w:szCs w:val="21"/>
                      <w:lang w:val="zh-CN"/>
                    </w:rPr>
                  </w:pPr>
                  <w:r>
                    <w:rPr>
                      <w:sz w:val="21"/>
                      <w:szCs w:val="21"/>
                    </w:rPr>
                    <w:t>提示图形符号</w:t>
                  </w:r>
                </w:p>
              </w:tc>
              <w:tc>
                <w:tcPr>
                  <w:tcW w:w="2271" w:type="dxa"/>
                  <w:vAlign w:val="center"/>
                </w:tcPr>
                <w:p>
                  <w:pPr>
                    <w:spacing w:line="240" w:lineRule="auto"/>
                    <w:ind w:firstLine="0" w:firstLineChars="0"/>
                    <w:jc w:val="center"/>
                    <w:rPr>
                      <w:sz w:val="21"/>
                      <w:szCs w:val="21"/>
                      <w:lang w:val="zh-CN"/>
                    </w:rPr>
                  </w:pPr>
                  <w:r>
                    <w:rPr>
                      <w:sz w:val="21"/>
                      <w:szCs w:val="21"/>
                    </w:rPr>
                    <w:t>警告图形符号</w:t>
                  </w:r>
                </w:p>
              </w:tc>
              <w:tc>
                <w:tcPr>
                  <w:tcW w:w="2271" w:type="dxa"/>
                  <w:vAlign w:val="center"/>
                </w:tcPr>
                <w:p>
                  <w:pPr>
                    <w:spacing w:line="240" w:lineRule="auto"/>
                    <w:ind w:firstLine="0" w:firstLineChars="0"/>
                    <w:jc w:val="center"/>
                    <w:rPr>
                      <w:sz w:val="21"/>
                      <w:szCs w:val="21"/>
                      <w:lang w:val="zh-CN"/>
                    </w:rPr>
                  </w:pPr>
                  <w:r>
                    <w:rPr>
                      <w:rFonts w:hint="eastAsia"/>
                      <w:sz w:val="21"/>
                      <w:szCs w:val="21"/>
                      <w:lang w:val="zh-CN"/>
                    </w:rPr>
                    <w:t>名称</w:t>
                  </w:r>
                </w:p>
              </w:tc>
              <w:tc>
                <w:tcPr>
                  <w:tcW w:w="2258" w:type="dxa"/>
                  <w:vAlign w:val="center"/>
                </w:tcPr>
                <w:p>
                  <w:pPr>
                    <w:spacing w:line="240" w:lineRule="auto"/>
                    <w:ind w:firstLine="0" w:firstLineChars="0"/>
                    <w:jc w:val="center"/>
                    <w:rPr>
                      <w:sz w:val="21"/>
                      <w:szCs w:val="21"/>
                      <w:lang w:val="zh-CN"/>
                    </w:rPr>
                  </w:pPr>
                  <w:r>
                    <w:rPr>
                      <w:rFonts w:hint="eastAsia"/>
                      <w:sz w:val="21"/>
                      <w:szCs w:val="21"/>
                      <w:lang w:val="zh-CN"/>
                    </w:rPr>
                    <w:t>功能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2271" w:type="dxa"/>
                  <w:vAlign w:val="center"/>
                </w:tcPr>
                <w:p>
                  <w:pPr>
                    <w:spacing w:line="240" w:lineRule="auto"/>
                    <w:ind w:firstLine="0" w:firstLineChars="0"/>
                    <w:jc w:val="center"/>
                    <w:rPr>
                      <w:sz w:val="21"/>
                      <w:szCs w:val="21"/>
                      <w:lang w:val="zh-CN"/>
                    </w:rPr>
                  </w:pPr>
                  <w:r>
                    <w:rPr>
                      <w:sz w:val="21"/>
                      <w:szCs w:val="21"/>
                    </w:rPr>
                    <w:drawing>
                      <wp:inline distT="0" distB="0" distL="0" distR="0">
                        <wp:extent cx="1097280" cy="1085215"/>
                        <wp:effectExtent l="0" t="0" r="7620" b="635"/>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a:xfrm>
                                  <a:off x="0" y="0"/>
                                  <a:ext cx="1097280" cy="1085215"/>
                                </a:xfrm>
                                <a:prstGeom prst="rect">
                                  <a:avLst/>
                                </a:prstGeom>
                                <a:noFill/>
                              </pic:spPr>
                            </pic:pic>
                          </a:graphicData>
                        </a:graphic>
                      </wp:inline>
                    </w:drawing>
                  </w:r>
                </w:p>
              </w:tc>
              <w:tc>
                <w:tcPr>
                  <w:tcW w:w="2271" w:type="dxa"/>
                  <w:vAlign w:val="center"/>
                </w:tcPr>
                <w:p>
                  <w:pPr>
                    <w:spacing w:line="240" w:lineRule="auto"/>
                    <w:ind w:firstLine="0" w:firstLineChars="0"/>
                    <w:jc w:val="center"/>
                    <w:rPr>
                      <w:sz w:val="21"/>
                      <w:szCs w:val="21"/>
                      <w:lang w:val="zh-CN"/>
                    </w:rPr>
                  </w:pPr>
                  <w:r>
                    <w:rPr>
                      <w:sz w:val="21"/>
                      <w:szCs w:val="21"/>
                    </w:rPr>
                    <w:drawing>
                      <wp:inline distT="0" distB="0" distL="0" distR="0">
                        <wp:extent cx="1263650" cy="1065530"/>
                        <wp:effectExtent l="0" t="0" r="0" b="1270"/>
                        <wp:docPr id="26"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6"/>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a:xfrm>
                                  <a:off x="0" y="0"/>
                                  <a:ext cx="1269580" cy="1070225"/>
                                </a:xfrm>
                                <a:prstGeom prst="rect">
                                  <a:avLst/>
                                </a:prstGeom>
                                <a:noFill/>
                                <a:ln>
                                  <a:noFill/>
                                </a:ln>
                              </pic:spPr>
                            </pic:pic>
                          </a:graphicData>
                        </a:graphic>
                      </wp:inline>
                    </w:drawing>
                  </w:r>
                </w:p>
              </w:tc>
              <w:tc>
                <w:tcPr>
                  <w:tcW w:w="2271" w:type="dxa"/>
                  <w:vAlign w:val="center"/>
                </w:tcPr>
                <w:p>
                  <w:pPr>
                    <w:spacing w:line="240" w:lineRule="auto"/>
                    <w:ind w:firstLine="0" w:firstLineChars="0"/>
                    <w:jc w:val="center"/>
                    <w:rPr>
                      <w:sz w:val="21"/>
                      <w:szCs w:val="21"/>
                      <w:lang w:val="zh-CN"/>
                    </w:rPr>
                  </w:pPr>
                  <w:r>
                    <w:rPr>
                      <w:rFonts w:hint="eastAsia"/>
                      <w:sz w:val="21"/>
                      <w:szCs w:val="21"/>
                      <w:lang w:val="zh-CN"/>
                    </w:rPr>
                    <w:t>废气排放口</w:t>
                  </w:r>
                </w:p>
              </w:tc>
              <w:tc>
                <w:tcPr>
                  <w:tcW w:w="2258" w:type="dxa"/>
                  <w:vAlign w:val="center"/>
                </w:tcPr>
                <w:p>
                  <w:pPr>
                    <w:spacing w:line="240" w:lineRule="auto"/>
                    <w:ind w:firstLine="0" w:firstLineChars="0"/>
                    <w:jc w:val="center"/>
                    <w:rPr>
                      <w:sz w:val="21"/>
                      <w:szCs w:val="21"/>
                      <w:lang w:val="zh-CN"/>
                    </w:rPr>
                  </w:pPr>
                  <w:r>
                    <w:rPr>
                      <w:rFonts w:hint="eastAsia"/>
                      <w:sz w:val="21"/>
                      <w:szCs w:val="21"/>
                      <w:lang w:val="zh-CN"/>
                    </w:rPr>
                    <w:t>表示废气向大气排放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2271" w:type="dxa"/>
                  <w:vAlign w:val="center"/>
                </w:tcPr>
                <w:p>
                  <w:pPr>
                    <w:spacing w:line="240" w:lineRule="auto"/>
                    <w:ind w:firstLine="0" w:firstLineChars="0"/>
                    <w:jc w:val="center"/>
                    <w:rPr>
                      <w:sz w:val="21"/>
                      <w:szCs w:val="21"/>
                    </w:rPr>
                  </w:pPr>
                  <w:r>
                    <w:rPr>
                      <w:sz w:val="21"/>
                      <w:szCs w:val="21"/>
                    </w:rPr>
                    <w:drawing>
                      <wp:inline distT="0" distB="0" distL="0" distR="0">
                        <wp:extent cx="1056640" cy="1066800"/>
                        <wp:effectExtent l="0" t="0" r="0" b="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1065556" cy="1075444"/>
                                </a:xfrm>
                                <a:prstGeom prst="rect">
                                  <a:avLst/>
                                </a:prstGeom>
                                <a:noFill/>
                              </pic:spPr>
                            </pic:pic>
                          </a:graphicData>
                        </a:graphic>
                      </wp:inline>
                    </w:drawing>
                  </w:r>
                </w:p>
              </w:tc>
              <w:tc>
                <w:tcPr>
                  <w:tcW w:w="2271" w:type="dxa"/>
                  <w:vAlign w:val="center"/>
                </w:tcPr>
                <w:p>
                  <w:pPr>
                    <w:spacing w:line="240" w:lineRule="auto"/>
                    <w:ind w:firstLine="0" w:firstLineChars="0"/>
                    <w:jc w:val="center"/>
                    <w:rPr>
                      <w:sz w:val="21"/>
                      <w:szCs w:val="21"/>
                    </w:rPr>
                  </w:pPr>
                  <w:r>
                    <w:rPr>
                      <w:sz w:val="21"/>
                      <w:szCs w:val="21"/>
                    </w:rPr>
                    <w:drawing>
                      <wp:inline distT="0" distB="0" distL="0" distR="0">
                        <wp:extent cx="1181735" cy="1123950"/>
                        <wp:effectExtent l="0" t="0" r="0" b="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a:xfrm>
                                  <a:off x="0" y="0"/>
                                  <a:ext cx="1190334" cy="1131973"/>
                                </a:xfrm>
                                <a:prstGeom prst="rect">
                                  <a:avLst/>
                                </a:prstGeom>
                                <a:noFill/>
                              </pic:spPr>
                            </pic:pic>
                          </a:graphicData>
                        </a:graphic>
                      </wp:inline>
                    </w:drawing>
                  </w:r>
                </w:p>
              </w:tc>
              <w:tc>
                <w:tcPr>
                  <w:tcW w:w="2271" w:type="dxa"/>
                  <w:vAlign w:val="center"/>
                </w:tcPr>
                <w:p>
                  <w:pPr>
                    <w:spacing w:line="240" w:lineRule="auto"/>
                    <w:ind w:firstLine="0" w:firstLineChars="0"/>
                    <w:jc w:val="center"/>
                    <w:rPr>
                      <w:sz w:val="21"/>
                      <w:szCs w:val="21"/>
                      <w:lang w:val="zh-CN"/>
                    </w:rPr>
                  </w:pPr>
                  <w:r>
                    <w:rPr>
                      <w:rFonts w:hint="eastAsia"/>
                      <w:sz w:val="21"/>
                      <w:szCs w:val="21"/>
                      <w:lang w:val="zh-CN"/>
                    </w:rPr>
                    <w:t>污水排放口</w:t>
                  </w:r>
                </w:p>
              </w:tc>
              <w:tc>
                <w:tcPr>
                  <w:tcW w:w="2258" w:type="dxa"/>
                  <w:vAlign w:val="center"/>
                </w:tcPr>
                <w:p>
                  <w:pPr>
                    <w:spacing w:line="240" w:lineRule="auto"/>
                    <w:ind w:firstLine="0" w:firstLineChars="0"/>
                    <w:jc w:val="center"/>
                    <w:rPr>
                      <w:sz w:val="21"/>
                      <w:szCs w:val="21"/>
                      <w:lang w:val="zh-CN"/>
                    </w:rPr>
                  </w:pPr>
                  <w:r>
                    <w:rPr>
                      <w:rFonts w:hint="eastAsia"/>
                      <w:sz w:val="21"/>
                      <w:szCs w:val="21"/>
                      <w:lang w:val="zh-CN"/>
                    </w:rPr>
                    <w:t>表示污水向水体排放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271" w:type="dxa"/>
                  <w:vAlign w:val="center"/>
                </w:tcPr>
                <w:p>
                  <w:pPr>
                    <w:spacing w:line="240" w:lineRule="auto"/>
                    <w:ind w:firstLine="0" w:firstLineChars="0"/>
                    <w:jc w:val="center"/>
                    <w:rPr>
                      <w:sz w:val="21"/>
                      <w:szCs w:val="21"/>
                      <w:lang w:val="zh-CN"/>
                    </w:rPr>
                  </w:pPr>
                  <w:r>
                    <w:rPr>
                      <w:sz w:val="21"/>
                      <w:szCs w:val="21"/>
                    </w:rPr>
                    <w:drawing>
                      <wp:inline distT="0" distB="0" distL="0" distR="0">
                        <wp:extent cx="1152525" cy="1152525"/>
                        <wp:effectExtent l="0" t="0" r="9525" b="9525"/>
                        <wp:docPr id="117040590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0405907" name="图片 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a:xfrm>
                                  <a:off x="0" y="0"/>
                                  <a:ext cx="1165665" cy="1165665"/>
                                </a:xfrm>
                                <a:prstGeom prst="rect">
                                  <a:avLst/>
                                </a:prstGeom>
                                <a:noFill/>
                              </pic:spPr>
                            </pic:pic>
                          </a:graphicData>
                        </a:graphic>
                      </wp:inline>
                    </w:drawing>
                  </w:r>
                </w:p>
              </w:tc>
              <w:tc>
                <w:tcPr>
                  <w:tcW w:w="2271" w:type="dxa"/>
                  <w:vAlign w:val="center"/>
                </w:tcPr>
                <w:p>
                  <w:pPr>
                    <w:spacing w:line="240" w:lineRule="auto"/>
                    <w:ind w:firstLine="0" w:firstLineChars="0"/>
                    <w:jc w:val="center"/>
                    <w:rPr>
                      <w:sz w:val="21"/>
                      <w:szCs w:val="21"/>
                      <w:lang w:val="zh-CN"/>
                    </w:rPr>
                  </w:pPr>
                  <w:r>
                    <w:rPr>
                      <w:sz w:val="21"/>
                      <w:szCs w:val="21"/>
                    </w:rPr>
                    <w:drawing>
                      <wp:inline distT="0" distB="0" distL="0" distR="0">
                        <wp:extent cx="1190625" cy="1077595"/>
                        <wp:effectExtent l="0" t="0" r="0" b="8255"/>
                        <wp:docPr id="1617813096"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7813096" name="图片 3"/>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a:xfrm>
                                  <a:off x="0" y="0"/>
                                  <a:ext cx="1206353" cy="1092066"/>
                                </a:xfrm>
                                <a:prstGeom prst="rect">
                                  <a:avLst/>
                                </a:prstGeom>
                                <a:noFill/>
                              </pic:spPr>
                            </pic:pic>
                          </a:graphicData>
                        </a:graphic>
                      </wp:inline>
                    </w:drawing>
                  </w:r>
                </w:p>
              </w:tc>
              <w:tc>
                <w:tcPr>
                  <w:tcW w:w="2271" w:type="dxa"/>
                  <w:vAlign w:val="center"/>
                </w:tcPr>
                <w:p>
                  <w:pPr>
                    <w:spacing w:line="240" w:lineRule="auto"/>
                    <w:ind w:firstLine="0" w:firstLineChars="0"/>
                    <w:jc w:val="center"/>
                    <w:rPr>
                      <w:sz w:val="21"/>
                      <w:szCs w:val="21"/>
                      <w:lang w:val="zh-CN"/>
                    </w:rPr>
                  </w:pPr>
                  <w:r>
                    <w:rPr>
                      <w:rFonts w:hint="eastAsia"/>
                      <w:sz w:val="21"/>
                      <w:szCs w:val="21"/>
                      <w:lang w:val="zh-CN"/>
                    </w:rPr>
                    <w:t>噪声排放源</w:t>
                  </w:r>
                </w:p>
              </w:tc>
              <w:tc>
                <w:tcPr>
                  <w:tcW w:w="2258" w:type="dxa"/>
                  <w:vAlign w:val="center"/>
                </w:tcPr>
                <w:p>
                  <w:pPr>
                    <w:spacing w:line="240" w:lineRule="auto"/>
                    <w:ind w:firstLine="0" w:firstLineChars="0"/>
                    <w:jc w:val="center"/>
                    <w:rPr>
                      <w:sz w:val="21"/>
                      <w:szCs w:val="21"/>
                      <w:lang w:val="zh-CN"/>
                    </w:rPr>
                  </w:pPr>
                  <w:r>
                    <w:rPr>
                      <w:rFonts w:hint="eastAsia"/>
                      <w:sz w:val="21"/>
                      <w:szCs w:val="21"/>
                      <w:lang w:val="zh-CN"/>
                    </w:rPr>
                    <w:t>表示噪声向外环境排放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2271" w:type="dxa"/>
                  <w:vAlign w:val="center"/>
                </w:tcPr>
                <w:p>
                  <w:pPr>
                    <w:spacing w:line="240" w:lineRule="auto"/>
                    <w:ind w:firstLine="0" w:firstLineChars="0"/>
                    <w:jc w:val="center"/>
                    <w:rPr>
                      <w:sz w:val="21"/>
                      <w:szCs w:val="21"/>
                    </w:rPr>
                  </w:pPr>
                  <w:r>
                    <w:rPr>
                      <w:sz w:val="21"/>
                      <w:szCs w:val="21"/>
                    </w:rPr>
                    <w:drawing>
                      <wp:inline distT="0" distB="0" distL="0" distR="0">
                        <wp:extent cx="1121410" cy="1133475"/>
                        <wp:effectExtent l="0" t="0" r="2540" b="0"/>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a:xfrm>
                                  <a:off x="0" y="0"/>
                                  <a:ext cx="1126619" cy="1138126"/>
                                </a:xfrm>
                                <a:prstGeom prst="rect">
                                  <a:avLst/>
                                </a:prstGeom>
                                <a:noFill/>
                              </pic:spPr>
                            </pic:pic>
                          </a:graphicData>
                        </a:graphic>
                      </wp:inline>
                    </w:drawing>
                  </w:r>
                </w:p>
              </w:tc>
              <w:tc>
                <w:tcPr>
                  <w:tcW w:w="2271" w:type="dxa"/>
                  <w:vAlign w:val="center"/>
                </w:tcPr>
                <w:p>
                  <w:pPr>
                    <w:spacing w:line="240" w:lineRule="auto"/>
                    <w:ind w:firstLine="0" w:firstLineChars="0"/>
                    <w:jc w:val="center"/>
                    <w:rPr>
                      <w:sz w:val="21"/>
                      <w:szCs w:val="21"/>
                    </w:rPr>
                  </w:pPr>
                  <w:r>
                    <w:rPr>
                      <w:sz w:val="21"/>
                      <w:szCs w:val="21"/>
                    </w:rPr>
                    <w:drawing>
                      <wp:inline distT="0" distB="0" distL="0" distR="0">
                        <wp:extent cx="1231265" cy="1085850"/>
                        <wp:effectExtent l="0" t="0" r="6985" b="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a:xfrm>
                                  <a:off x="0" y="0"/>
                                  <a:ext cx="1238677" cy="1092055"/>
                                </a:xfrm>
                                <a:prstGeom prst="rect">
                                  <a:avLst/>
                                </a:prstGeom>
                                <a:noFill/>
                              </pic:spPr>
                            </pic:pic>
                          </a:graphicData>
                        </a:graphic>
                      </wp:inline>
                    </w:drawing>
                  </w:r>
                </w:p>
              </w:tc>
              <w:tc>
                <w:tcPr>
                  <w:tcW w:w="2271" w:type="dxa"/>
                  <w:vAlign w:val="center"/>
                </w:tcPr>
                <w:p>
                  <w:pPr>
                    <w:spacing w:line="240" w:lineRule="auto"/>
                    <w:ind w:firstLine="0" w:firstLineChars="0"/>
                    <w:jc w:val="center"/>
                    <w:rPr>
                      <w:sz w:val="21"/>
                      <w:szCs w:val="21"/>
                      <w:lang w:val="zh-CN"/>
                    </w:rPr>
                  </w:pPr>
                  <w:r>
                    <w:rPr>
                      <w:rFonts w:hint="eastAsia"/>
                      <w:sz w:val="21"/>
                      <w:szCs w:val="21"/>
                      <w:lang w:val="zh-CN"/>
                    </w:rPr>
                    <w:t>一般固体废物</w:t>
                  </w:r>
                </w:p>
              </w:tc>
              <w:tc>
                <w:tcPr>
                  <w:tcW w:w="2258" w:type="dxa"/>
                  <w:vAlign w:val="center"/>
                </w:tcPr>
                <w:p>
                  <w:pPr>
                    <w:spacing w:line="240" w:lineRule="auto"/>
                    <w:ind w:firstLine="0" w:firstLineChars="0"/>
                    <w:jc w:val="left"/>
                    <w:rPr>
                      <w:sz w:val="21"/>
                      <w:szCs w:val="21"/>
                      <w:lang w:val="zh-CN"/>
                    </w:rPr>
                  </w:pPr>
                  <w:r>
                    <w:rPr>
                      <w:rFonts w:hint="eastAsia"/>
                      <w:sz w:val="21"/>
                      <w:szCs w:val="21"/>
                      <w:lang w:val="zh-CN"/>
                    </w:rPr>
                    <w:t>表示一般固体废物贮存、处置场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2271" w:type="dxa"/>
                  <w:vAlign w:val="center"/>
                </w:tcPr>
                <w:p>
                  <w:pPr>
                    <w:spacing w:line="240" w:lineRule="auto"/>
                    <w:ind w:firstLine="0" w:firstLineChars="0"/>
                    <w:jc w:val="center"/>
                    <w:rPr>
                      <w:sz w:val="21"/>
                      <w:szCs w:val="21"/>
                      <w:lang w:val="zh-CN"/>
                    </w:rPr>
                  </w:pPr>
                  <w:r>
                    <w:rPr>
                      <w:rFonts w:hint="eastAsia"/>
                      <w:sz w:val="21"/>
                      <w:szCs w:val="21"/>
                    </w:rPr>
                    <w:t>—</w:t>
                  </w:r>
                </w:p>
              </w:tc>
              <w:tc>
                <w:tcPr>
                  <w:tcW w:w="2271" w:type="dxa"/>
                  <w:vAlign w:val="center"/>
                </w:tcPr>
                <w:p>
                  <w:pPr>
                    <w:spacing w:line="240" w:lineRule="auto"/>
                    <w:ind w:firstLine="0" w:firstLineChars="0"/>
                    <w:jc w:val="center"/>
                    <w:rPr>
                      <w:sz w:val="21"/>
                      <w:szCs w:val="21"/>
                      <w:lang w:val="zh-CN"/>
                    </w:rPr>
                  </w:pPr>
                  <w:r>
                    <w:rPr>
                      <w:sz w:val="21"/>
                      <w:szCs w:val="21"/>
                    </w:rPr>
                    <w:drawing>
                      <wp:inline distT="0" distB="0" distL="0" distR="0">
                        <wp:extent cx="1233805" cy="1196975"/>
                        <wp:effectExtent l="0" t="0" r="4445" b="317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a:xfrm>
                                  <a:off x="0" y="0"/>
                                  <a:ext cx="1244372" cy="1207512"/>
                                </a:xfrm>
                                <a:prstGeom prst="rect">
                                  <a:avLst/>
                                </a:prstGeom>
                                <a:noFill/>
                              </pic:spPr>
                            </pic:pic>
                          </a:graphicData>
                        </a:graphic>
                      </wp:inline>
                    </w:drawing>
                  </w:r>
                </w:p>
              </w:tc>
              <w:tc>
                <w:tcPr>
                  <w:tcW w:w="2271" w:type="dxa"/>
                  <w:vAlign w:val="center"/>
                </w:tcPr>
                <w:p>
                  <w:pPr>
                    <w:spacing w:line="240" w:lineRule="auto"/>
                    <w:ind w:firstLine="0" w:firstLineChars="0"/>
                    <w:jc w:val="center"/>
                    <w:rPr>
                      <w:sz w:val="21"/>
                      <w:szCs w:val="21"/>
                      <w:lang w:val="zh-CN"/>
                    </w:rPr>
                  </w:pPr>
                  <w:r>
                    <w:rPr>
                      <w:rFonts w:hint="eastAsia"/>
                      <w:sz w:val="21"/>
                      <w:szCs w:val="21"/>
                      <w:lang w:val="zh-CN"/>
                    </w:rPr>
                    <w:t>危险废物</w:t>
                  </w:r>
                </w:p>
              </w:tc>
              <w:tc>
                <w:tcPr>
                  <w:tcW w:w="2258" w:type="dxa"/>
                  <w:vAlign w:val="center"/>
                </w:tcPr>
                <w:p>
                  <w:pPr>
                    <w:spacing w:line="240" w:lineRule="auto"/>
                    <w:ind w:firstLine="0" w:firstLineChars="0"/>
                    <w:jc w:val="left"/>
                    <w:rPr>
                      <w:sz w:val="21"/>
                      <w:szCs w:val="21"/>
                      <w:lang w:val="zh-CN"/>
                    </w:rPr>
                  </w:pPr>
                  <w:r>
                    <w:rPr>
                      <w:rFonts w:hint="eastAsia"/>
                      <w:sz w:val="21"/>
                      <w:szCs w:val="21"/>
                      <w:lang w:val="zh-CN"/>
                    </w:rPr>
                    <w:t>表示危险废物贮存、处置场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2271" w:type="dxa"/>
                  <w:vAlign w:val="center"/>
                </w:tcPr>
                <w:p>
                  <w:pPr>
                    <w:spacing w:line="240" w:lineRule="auto"/>
                    <w:ind w:firstLine="0" w:firstLineChars="0"/>
                    <w:jc w:val="center"/>
                    <w:rPr>
                      <w:sz w:val="21"/>
                      <w:szCs w:val="21"/>
                      <w:lang w:val="zh-CN"/>
                    </w:rPr>
                  </w:pPr>
                  <w:r>
                    <w:rPr>
                      <w:rFonts w:hint="eastAsia"/>
                      <w:sz w:val="21"/>
                      <w:szCs w:val="21"/>
                    </w:rPr>
                    <w:t>—</w:t>
                  </w:r>
                </w:p>
              </w:tc>
              <w:tc>
                <w:tcPr>
                  <w:tcW w:w="2271" w:type="dxa"/>
                  <w:vAlign w:val="center"/>
                </w:tcPr>
                <w:p>
                  <w:pPr>
                    <w:spacing w:line="240" w:lineRule="auto"/>
                    <w:ind w:firstLine="0" w:firstLineChars="0"/>
                    <w:jc w:val="center"/>
                    <w:rPr>
                      <w:sz w:val="21"/>
                      <w:szCs w:val="21"/>
                      <w:lang w:val="zh-CN"/>
                    </w:rPr>
                  </w:pPr>
                  <w:r>
                    <w:rPr>
                      <w:sz w:val="21"/>
                      <w:szCs w:val="21"/>
                    </w:rPr>
                    <w:drawing>
                      <wp:inline distT="0" distB="0" distL="0" distR="0">
                        <wp:extent cx="1291590" cy="1162050"/>
                        <wp:effectExtent l="0" t="0" r="381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a:xfrm>
                                  <a:off x="0" y="0"/>
                                  <a:ext cx="1299092" cy="1168690"/>
                                </a:xfrm>
                                <a:prstGeom prst="rect">
                                  <a:avLst/>
                                </a:prstGeom>
                                <a:noFill/>
                              </pic:spPr>
                            </pic:pic>
                          </a:graphicData>
                        </a:graphic>
                      </wp:inline>
                    </w:drawing>
                  </w:r>
                </w:p>
              </w:tc>
              <w:tc>
                <w:tcPr>
                  <w:tcW w:w="2271" w:type="dxa"/>
                  <w:vAlign w:val="center"/>
                </w:tcPr>
                <w:p>
                  <w:pPr>
                    <w:spacing w:line="240" w:lineRule="auto"/>
                    <w:ind w:firstLine="0" w:firstLineChars="0"/>
                    <w:jc w:val="center"/>
                    <w:rPr>
                      <w:sz w:val="21"/>
                      <w:szCs w:val="21"/>
                      <w:lang w:val="zh-CN"/>
                    </w:rPr>
                  </w:pPr>
                  <w:r>
                    <w:rPr>
                      <w:rFonts w:hint="eastAsia"/>
                      <w:sz w:val="21"/>
                      <w:szCs w:val="21"/>
                      <w:lang w:val="zh-CN"/>
                    </w:rPr>
                    <w:t>医疗废物</w:t>
                  </w:r>
                </w:p>
              </w:tc>
              <w:tc>
                <w:tcPr>
                  <w:tcW w:w="2258" w:type="dxa"/>
                  <w:vAlign w:val="center"/>
                </w:tcPr>
                <w:p>
                  <w:pPr>
                    <w:spacing w:line="240" w:lineRule="auto"/>
                    <w:ind w:firstLine="0" w:firstLineChars="0"/>
                    <w:jc w:val="left"/>
                    <w:rPr>
                      <w:sz w:val="21"/>
                      <w:szCs w:val="21"/>
                      <w:lang w:val="zh-CN"/>
                    </w:rPr>
                  </w:pPr>
                  <w:r>
                    <w:rPr>
                      <w:rFonts w:hint="eastAsia"/>
                      <w:sz w:val="21"/>
                      <w:szCs w:val="21"/>
                      <w:lang w:val="zh-CN"/>
                    </w:rPr>
                    <w:t>表示医疗废物贮存、处置场</w:t>
                  </w:r>
                </w:p>
              </w:tc>
            </w:tr>
          </w:tbl>
          <w:p>
            <w:pPr>
              <w:adjustRightInd w:val="0"/>
              <w:snapToGrid w:val="0"/>
              <w:ind w:left="120" w:leftChars="50" w:right="120" w:rightChars="50" w:firstLine="480"/>
            </w:pPr>
            <w:r>
              <w:rPr>
                <w:rFonts w:hint="eastAsia"/>
              </w:rPr>
              <w:t>本项目生产过程中会产生危险废物，按照《危险废物贮存污染控制标准》（GB18597-2023）及《危险废物识别标志设置技术规范》（HJ 1276-2022）要求进行收集、贮存及标志设置，具体见下表：</w:t>
            </w:r>
          </w:p>
          <w:p>
            <w:pPr>
              <w:pStyle w:val="14"/>
            </w:pPr>
            <w:r>
              <w:rPr>
                <w:rFonts w:hint="eastAsia"/>
              </w:rPr>
              <w:t>表42   危废间及其危废储存容器签示例</w:t>
            </w:r>
          </w:p>
          <w:tbl>
            <w:tblPr>
              <w:tblStyle w:val="17"/>
              <w:tblW w:w="8977" w:type="dxa"/>
              <w:jc w:val="righ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701"/>
              <w:gridCol w:w="2410"/>
              <w:gridCol w:w="58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right"/>
              </w:trPr>
              <w:tc>
                <w:tcPr>
                  <w:tcW w:w="701" w:type="dxa"/>
                  <w:vAlign w:val="center"/>
                </w:tcPr>
                <w:p>
                  <w:pPr>
                    <w:adjustRightInd w:val="0"/>
                    <w:snapToGrid w:val="0"/>
                    <w:spacing w:line="240" w:lineRule="auto"/>
                    <w:ind w:right="120" w:rightChars="50" w:firstLine="0" w:firstLineChars="0"/>
                    <w:jc w:val="center"/>
                    <w:rPr>
                      <w:sz w:val="21"/>
                      <w:szCs w:val="21"/>
                    </w:rPr>
                  </w:pPr>
                  <w:r>
                    <w:rPr>
                      <w:rFonts w:hint="eastAsia"/>
                      <w:sz w:val="21"/>
                      <w:szCs w:val="21"/>
                    </w:rPr>
                    <w:t>分类</w:t>
                  </w:r>
                </w:p>
              </w:tc>
              <w:tc>
                <w:tcPr>
                  <w:tcW w:w="2410" w:type="dxa"/>
                  <w:vAlign w:val="center"/>
                </w:tcPr>
                <w:p>
                  <w:pPr>
                    <w:adjustRightInd w:val="0"/>
                    <w:snapToGrid w:val="0"/>
                    <w:spacing w:line="240" w:lineRule="auto"/>
                    <w:ind w:right="120" w:rightChars="50" w:firstLine="0" w:firstLineChars="0"/>
                    <w:jc w:val="center"/>
                    <w:rPr>
                      <w:sz w:val="21"/>
                      <w:szCs w:val="21"/>
                    </w:rPr>
                  </w:pPr>
                  <w:r>
                    <w:rPr>
                      <w:rFonts w:hint="eastAsia"/>
                      <w:sz w:val="21"/>
                      <w:szCs w:val="21"/>
                    </w:rPr>
                    <w:t>样式</w:t>
                  </w:r>
                </w:p>
              </w:tc>
              <w:tc>
                <w:tcPr>
                  <w:tcW w:w="5866" w:type="dxa"/>
                  <w:vAlign w:val="center"/>
                </w:tcPr>
                <w:p>
                  <w:pPr>
                    <w:adjustRightInd w:val="0"/>
                    <w:snapToGrid w:val="0"/>
                    <w:spacing w:line="240" w:lineRule="auto"/>
                    <w:ind w:right="120" w:rightChars="50" w:firstLine="0" w:firstLineChars="0"/>
                    <w:jc w:val="center"/>
                    <w:rPr>
                      <w:sz w:val="21"/>
                      <w:szCs w:val="21"/>
                    </w:rPr>
                  </w:pPr>
                  <w:r>
                    <w:rPr>
                      <w:rFonts w:hint="eastAsia"/>
                      <w:sz w:val="21"/>
                      <w:szCs w:val="21"/>
                    </w:rPr>
                    <w:t>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right"/>
              </w:trPr>
              <w:tc>
                <w:tcPr>
                  <w:tcW w:w="701" w:type="dxa"/>
                  <w:vAlign w:val="center"/>
                </w:tcPr>
                <w:p>
                  <w:pPr>
                    <w:adjustRightInd w:val="0"/>
                    <w:snapToGrid w:val="0"/>
                    <w:spacing w:line="240" w:lineRule="auto"/>
                    <w:ind w:right="120" w:rightChars="50" w:firstLine="0" w:firstLineChars="0"/>
                    <w:jc w:val="center"/>
                    <w:rPr>
                      <w:sz w:val="21"/>
                      <w:szCs w:val="21"/>
                    </w:rPr>
                  </w:pPr>
                  <w:r>
                    <w:rPr>
                      <w:rFonts w:hint="eastAsia"/>
                      <w:sz w:val="21"/>
                      <w:szCs w:val="21"/>
                    </w:rPr>
                    <w:t>危险废物贮存设施标志</w:t>
                  </w:r>
                </w:p>
              </w:tc>
              <w:tc>
                <w:tcPr>
                  <w:tcW w:w="2410" w:type="dxa"/>
                  <w:vAlign w:val="center"/>
                </w:tcPr>
                <w:p>
                  <w:pPr>
                    <w:adjustRightInd w:val="0"/>
                    <w:snapToGrid w:val="0"/>
                    <w:spacing w:line="240" w:lineRule="auto"/>
                    <w:ind w:right="120" w:rightChars="50" w:firstLine="0" w:firstLineChars="0"/>
                    <w:jc w:val="center"/>
                    <w:rPr>
                      <w:sz w:val="21"/>
                      <w:szCs w:val="21"/>
                    </w:rPr>
                  </w:pPr>
                  <w:r>
                    <w:rPr>
                      <w:sz w:val="21"/>
                      <w:szCs w:val="21"/>
                    </w:rPr>
                    <w:drawing>
                      <wp:inline distT="0" distB="0" distL="0" distR="0">
                        <wp:extent cx="1371600" cy="878205"/>
                        <wp:effectExtent l="0" t="0" r="0" b="0"/>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a:xfrm>
                                  <a:off x="0" y="0"/>
                                  <a:ext cx="1371600" cy="878205"/>
                                </a:xfrm>
                                <a:prstGeom prst="rect">
                                  <a:avLst/>
                                </a:prstGeom>
                                <a:noFill/>
                              </pic:spPr>
                            </pic:pic>
                          </a:graphicData>
                        </a:graphic>
                      </wp:inline>
                    </w:drawing>
                  </w:r>
                </w:p>
              </w:tc>
              <w:tc>
                <w:tcPr>
                  <w:tcW w:w="5866" w:type="dxa"/>
                  <w:vAlign w:val="center"/>
                </w:tcPr>
                <w:p>
                  <w:pPr>
                    <w:adjustRightInd w:val="0"/>
                    <w:snapToGrid w:val="0"/>
                    <w:spacing w:line="240" w:lineRule="auto"/>
                    <w:ind w:right="120" w:rightChars="50" w:firstLine="0" w:firstLineChars="0"/>
                    <w:jc w:val="center"/>
                    <w:rPr>
                      <w:sz w:val="21"/>
                      <w:szCs w:val="21"/>
                    </w:rPr>
                  </w:pPr>
                  <w:r>
                    <w:rPr>
                      <w:rFonts w:hint="eastAsia"/>
                      <w:sz w:val="21"/>
                      <w:szCs w:val="21"/>
                    </w:rPr>
                    <w:t>危险废物设施标志可采用附着式和柱式两种固定方式，应优先选择附着式，当无法选择附着式时，可选择柱式；附着式标志的设置高度，应尽量与视线高度一致；柱式的标志和支架应牢固地联接在一起，标志牌最上端距地面约2m；位于室外的标志牌中，支架固定在地下的，其支架埋深约0.3m。宜根据设施标志的设置位置和观察距离按照《危险废物识别标志设置技术规范》（HJ1276-2022）第9.3条中的制作要求设置相应的标志。其他要求见HJ1276相关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right"/>
              </w:trPr>
              <w:tc>
                <w:tcPr>
                  <w:tcW w:w="701" w:type="dxa"/>
                  <w:vAlign w:val="center"/>
                </w:tcPr>
                <w:p>
                  <w:pPr>
                    <w:adjustRightInd w:val="0"/>
                    <w:snapToGrid w:val="0"/>
                    <w:spacing w:line="240" w:lineRule="auto"/>
                    <w:ind w:right="120" w:rightChars="50" w:firstLine="0" w:firstLineChars="0"/>
                    <w:jc w:val="center"/>
                    <w:rPr>
                      <w:sz w:val="21"/>
                      <w:szCs w:val="21"/>
                    </w:rPr>
                  </w:pPr>
                  <w:r>
                    <w:rPr>
                      <w:rFonts w:hint="eastAsia"/>
                      <w:sz w:val="21"/>
                      <w:szCs w:val="21"/>
                    </w:rPr>
                    <w:t>危险废物贮存分区标志</w:t>
                  </w:r>
                </w:p>
              </w:tc>
              <w:tc>
                <w:tcPr>
                  <w:tcW w:w="2410" w:type="dxa"/>
                  <w:vAlign w:val="center"/>
                </w:tcPr>
                <w:p>
                  <w:pPr>
                    <w:adjustRightInd w:val="0"/>
                    <w:snapToGrid w:val="0"/>
                    <w:spacing w:line="240" w:lineRule="auto"/>
                    <w:ind w:right="120" w:rightChars="50" w:firstLine="0" w:firstLineChars="0"/>
                    <w:jc w:val="center"/>
                    <w:rPr>
                      <w:sz w:val="21"/>
                      <w:szCs w:val="21"/>
                    </w:rPr>
                  </w:pPr>
                  <w:r>
                    <w:rPr>
                      <w:sz w:val="21"/>
                      <w:szCs w:val="21"/>
                    </w:rPr>
                    <w:drawing>
                      <wp:inline distT="0" distB="0" distL="0" distR="0">
                        <wp:extent cx="1371600" cy="1139825"/>
                        <wp:effectExtent l="0" t="0" r="0" b="3175"/>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a:xfrm>
                                  <a:off x="0" y="0"/>
                                  <a:ext cx="1371600" cy="1139825"/>
                                </a:xfrm>
                                <a:prstGeom prst="rect">
                                  <a:avLst/>
                                </a:prstGeom>
                                <a:noFill/>
                              </pic:spPr>
                            </pic:pic>
                          </a:graphicData>
                        </a:graphic>
                      </wp:inline>
                    </w:drawing>
                  </w:r>
                </w:p>
              </w:tc>
              <w:tc>
                <w:tcPr>
                  <w:tcW w:w="5866" w:type="dxa"/>
                  <w:vAlign w:val="center"/>
                </w:tcPr>
                <w:p>
                  <w:pPr>
                    <w:adjustRightInd w:val="0"/>
                    <w:snapToGrid w:val="0"/>
                    <w:spacing w:line="240" w:lineRule="auto"/>
                    <w:ind w:right="120" w:rightChars="50" w:firstLine="0" w:firstLineChars="0"/>
                    <w:jc w:val="left"/>
                    <w:rPr>
                      <w:sz w:val="21"/>
                      <w:szCs w:val="21"/>
                    </w:rPr>
                  </w:pPr>
                  <w:r>
                    <w:rPr>
                      <w:rFonts w:hint="eastAsia"/>
                      <w:sz w:val="21"/>
                      <w:szCs w:val="21"/>
                    </w:rPr>
                    <w:t>贮存分区的划分应满足GB18597中的有关规定。宜在危险废物贮存设施内的每一个贮存分区处设置危险废物贮存分区标志。危险废物贮存分区标志宜设置在该贮存分区前的通道位置或墙壁、栏杆等易于观察的位置。宜根据危险废物贮存分区标志的设置位置和观察距离按照HJ1276第9.2条中的制作要求设置相应的标志。其他要求见HJ1276相关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right"/>
              </w:trPr>
              <w:tc>
                <w:tcPr>
                  <w:tcW w:w="701" w:type="dxa"/>
                  <w:vAlign w:val="center"/>
                </w:tcPr>
                <w:p>
                  <w:pPr>
                    <w:adjustRightInd w:val="0"/>
                    <w:snapToGrid w:val="0"/>
                    <w:spacing w:line="240" w:lineRule="auto"/>
                    <w:ind w:right="120" w:rightChars="50" w:firstLine="0" w:firstLineChars="0"/>
                    <w:jc w:val="center"/>
                    <w:rPr>
                      <w:sz w:val="21"/>
                      <w:szCs w:val="21"/>
                    </w:rPr>
                  </w:pPr>
                  <w:r>
                    <w:rPr>
                      <w:rFonts w:hint="eastAsia"/>
                      <w:sz w:val="21"/>
                      <w:szCs w:val="21"/>
                    </w:rPr>
                    <w:t>危险废物标签</w:t>
                  </w:r>
                </w:p>
              </w:tc>
              <w:tc>
                <w:tcPr>
                  <w:tcW w:w="2410" w:type="dxa"/>
                  <w:vAlign w:val="center"/>
                </w:tcPr>
                <w:p>
                  <w:pPr>
                    <w:adjustRightInd w:val="0"/>
                    <w:snapToGrid w:val="0"/>
                    <w:spacing w:line="240" w:lineRule="auto"/>
                    <w:ind w:right="120" w:rightChars="50" w:firstLine="0" w:firstLineChars="0"/>
                    <w:jc w:val="center"/>
                    <w:rPr>
                      <w:sz w:val="21"/>
                      <w:szCs w:val="21"/>
                    </w:rPr>
                  </w:pPr>
                  <w:r>
                    <w:rPr>
                      <w:sz w:val="21"/>
                      <w:szCs w:val="21"/>
                    </w:rPr>
                    <w:drawing>
                      <wp:inline distT="0" distB="0" distL="0" distR="0">
                        <wp:extent cx="1134110" cy="1122045"/>
                        <wp:effectExtent l="0" t="0" r="8890" b="1905"/>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a:xfrm>
                                  <a:off x="0" y="0"/>
                                  <a:ext cx="1134110" cy="1122045"/>
                                </a:xfrm>
                                <a:prstGeom prst="rect">
                                  <a:avLst/>
                                </a:prstGeom>
                                <a:noFill/>
                              </pic:spPr>
                            </pic:pic>
                          </a:graphicData>
                        </a:graphic>
                      </wp:inline>
                    </w:drawing>
                  </w:r>
                </w:p>
              </w:tc>
              <w:tc>
                <w:tcPr>
                  <w:tcW w:w="5866" w:type="dxa"/>
                  <w:vAlign w:val="center"/>
                </w:tcPr>
                <w:p>
                  <w:pPr>
                    <w:adjustRightInd w:val="0"/>
                    <w:snapToGrid w:val="0"/>
                    <w:spacing w:line="240" w:lineRule="auto"/>
                    <w:ind w:right="120" w:rightChars="50" w:firstLine="0" w:firstLineChars="0"/>
                    <w:jc w:val="left"/>
                    <w:rPr>
                      <w:sz w:val="21"/>
                      <w:szCs w:val="21"/>
                    </w:rPr>
                  </w:pPr>
                  <w:r>
                    <w:rPr>
                      <w:rFonts w:hint="eastAsia"/>
                      <w:sz w:val="21"/>
                      <w:szCs w:val="21"/>
                    </w:rPr>
                    <w:t>危险废物标签应以醒目的字样标注“危险废物”。危险废物标签应包含废物名称、废物类别、废物代码、废物形态、危险特性、主要成分、有害成分、注意事项、产生/收集单位名称、联系人、联系方式、产生日期、废物重量和备注。</w:t>
                  </w:r>
                </w:p>
                <w:p>
                  <w:pPr>
                    <w:adjustRightInd w:val="0"/>
                    <w:snapToGrid w:val="0"/>
                    <w:spacing w:line="240" w:lineRule="auto"/>
                    <w:ind w:right="120" w:rightChars="50" w:firstLine="0" w:firstLineChars="0"/>
                    <w:jc w:val="left"/>
                    <w:rPr>
                      <w:sz w:val="21"/>
                      <w:szCs w:val="21"/>
                    </w:rPr>
                  </w:pPr>
                  <w:r>
                    <w:rPr>
                      <w:rFonts w:hint="eastAsia"/>
                      <w:sz w:val="21"/>
                      <w:szCs w:val="21"/>
                    </w:rPr>
                    <w:t>危险废物标签宜设置危险废物数字识别码和二维码。其他要求见HJ1276相关规定。</w:t>
                  </w:r>
                </w:p>
              </w:tc>
            </w:tr>
          </w:tbl>
          <w:p>
            <w:pPr>
              <w:ind w:right="46" w:rightChars="19" w:firstLine="0" w:firstLineChars="0"/>
              <w:jc w:val="left"/>
              <w:rPr>
                <w:b/>
                <w:lang w:val="zh-CN"/>
              </w:rPr>
            </w:pPr>
            <w:r>
              <w:rPr>
                <w:rFonts w:hint="eastAsia"/>
                <w:b/>
                <w:lang w:val="zh-CN"/>
              </w:rPr>
              <w:t>3、</w:t>
            </w:r>
            <w:r>
              <w:rPr>
                <w:b/>
                <w:lang w:val="zh-CN"/>
              </w:rPr>
              <w:t>环境管理台账</w:t>
            </w:r>
          </w:p>
          <w:p>
            <w:pPr>
              <w:adjustRightInd w:val="0"/>
              <w:snapToGrid w:val="0"/>
              <w:ind w:left="120" w:leftChars="50" w:right="120" w:rightChars="50" w:firstLine="480"/>
              <w:rPr>
                <w:bCs/>
              </w:rPr>
            </w:pPr>
            <w:r>
              <w:rPr>
                <w:rFonts w:hint="eastAsia" w:ascii="宋体" w:hAnsi="宋体" w:cs="宋体"/>
                <w:bCs/>
              </w:rPr>
              <w:t>①</w:t>
            </w:r>
            <w:r>
              <w:rPr>
                <w:bCs/>
              </w:rPr>
              <w:t>一般原则</w:t>
            </w:r>
          </w:p>
          <w:p>
            <w:pPr>
              <w:adjustRightInd w:val="0"/>
              <w:snapToGrid w:val="0"/>
              <w:ind w:left="120" w:leftChars="50" w:right="120" w:rightChars="50" w:firstLine="480"/>
              <w:rPr>
                <w:bCs/>
              </w:rPr>
            </w:pPr>
            <w:r>
              <w:rPr>
                <w:bCs/>
              </w:rPr>
              <w:t>企业应建立环境管理台账记录制度，落实环境管理台账记录的责任单位和责任人，明确工作职责，并对环境管理台账的真实性、完整性和规范性负责。一般按日或批次进行记录，异常情况应按此记录。</w:t>
            </w:r>
          </w:p>
          <w:p>
            <w:pPr>
              <w:adjustRightInd w:val="0"/>
              <w:snapToGrid w:val="0"/>
              <w:ind w:left="120" w:leftChars="50" w:right="120" w:rightChars="50" w:firstLine="480"/>
              <w:rPr>
                <w:bCs/>
              </w:rPr>
            </w:pPr>
            <w:r>
              <w:rPr>
                <w:rFonts w:hint="eastAsia" w:ascii="宋体" w:hAnsi="宋体" w:cs="宋体"/>
                <w:bCs/>
              </w:rPr>
              <w:t>②</w:t>
            </w:r>
            <w:r>
              <w:rPr>
                <w:bCs/>
              </w:rPr>
              <w:t>记录形式</w:t>
            </w:r>
          </w:p>
          <w:p>
            <w:pPr>
              <w:adjustRightInd w:val="0"/>
              <w:snapToGrid w:val="0"/>
              <w:ind w:left="120" w:leftChars="50" w:right="120" w:rightChars="50" w:firstLine="480"/>
              <w:rPr>
                <w:bCs/>
              </w:rPr>
            </w:pPr>
            <w:r>
              <w:rPr>
                <w:bCs/>
              </w:rPr>
              <w:t>分为电子台账和纸质台账两种形式。</w:t>
            </w:r>
          </w:p>
          <w:p>
            <w:pPr>
              <w:adjustRightInd w:val="0"/>
              <w:snapToGrid w:val="0"/>
              <w:ind w:left="120" w:leftChars="50" w:right="120" w:rightChars="50" w:firstLine="480"/>
              <w:rPr>
                <w:bCs/>
              </w:rPr>
            </w:pPr>
            <w:r>
              <w:rPr>
                <w:rFonts w:hint="eastAsia" w:ascii="宋体" w:hAnsi="宋体" w:cs="宋体"/>
                <w:bCs/>
              </w:rPr>
              <w:t>③</w:t>
            </w:r>
            <w:r>
              <w:rPr>
                <w:bCs/>
              </w:rPr>
              <w:t>记录内容</w:t>
            </w:r>
          </w:p>
          <w:p>
            <w:pPr>
              <w:adjustRightInd w:val="0"/>
              <w:snapToGrid w:val="0"/>
              <w:ind w:left="120" w:leftChars="50" w:right="120" w:rightChars="50" w:firstLine="480"/>
              <w:rPr>
                <w:bCs/>
              </w:rPr>
            </w:pPr>
            <w:r>
              <w:rPr>
                <w:bCs/>
              </w:rPr>
              <w:t>包括基本信息、生产设施运行管理信息、污染防治设施运行管理信息、监测记录信息及其他环境管理信息等。</w:t>
            </w:r>
          </w:p>
          <w:p>
            <w:pPr>
              <w:adjustRightInd w:val="0"/>
              <w:snapToGrid w:val="0"/>
              <w:ind w:left="120" w:leftChars="50" w:right="120" w:rightChars="50" w:firstLine="480"/>
              <w:rPr>
                <w:bCs/>
              </w:rPr>
            </w:pPr>
            <w:r>
              <w:rPr>
                <w:rFonts w:hint="eastAsia" w:ascii="宋体" w:hAnsi="宋体" w:cs="宋体"/>
                <w:bCs/>
              </w:rPr>
              <w:t>④</w:t>
            </w:r>
            <w:r>
              <w:rPr>
                <w:bCs/>
              </w:rPr>
              <w:t>记录存储及保存</w:t>
            </w:r>
          </w:p>
          <w:p>
            <w:pPr>
              <w:adjustRightInd w:val="0"/>
              <w:snapToGrid w:val="0"/>
              <w:ind w:left="120" w:leftChars="50" w:right="120" w:rightChars="50" w:firstLine="480"/>
              <w:rPr>
                <w:bCs/>
              </w:rPr>
            </w:pPr>
            <w:r>
              <w:rPr>
                <w:bCs/>
              </w:rPr>
              <w:t>纸质存储：应将纸质台账存放于保护袋、卷夹或保护盒等保存介质中；由专人签字、定点保存；应采取防光、防热、防潮、防细菌及防污染等措施；如有破损应及时修补，并留存备查；保存时间原则上不低于5年。</w:t>
            </w:r>
          </w:p>
          <w:p>
            <w:pPr>
              <w:adjustRightInd w:val="0"/>
              <w:snapToGrid w:val="0"/>
              <w:ind w:left="120" w:leftChars="50" w:right="120" w:rightChars="50" w:firstLine="480"/>
              <w:rPr>
                <w:bCs/>
              </w:rPr>
            </w:pPr>
            <w:r>
              <w:rPr>
                <w:bCs/>
              </w:rPr>
              <w:t>电子化存储：应存放于电子存储介质中，并进行数据备份；由专人定期维护管理；保存时间原则上不低于5年。</w:t>
            </w:r>
          </w:p>
          <w:p>
            <w:pPr>
              <w:adjustRightInd w:val="0"/>
              <w:snapToGrid w:val="0"/>
              <w:ind w:left="120" w:leftChars="50" w:right="120" w:rightChars="50" w:firstLine="480"/>
              <w:rPr>
                <w:bCs/>
              </w:rPr>
            </w:pPr>
          </w:p>
          <w:p>
            <w:pPr>
              <w:adjustRightInd w:val="0"/>
              <w:snapToGrid w:val="0"/>
              <w:ind w:left="120" w:leftChars="50" w:right="120" w:rightChars="50" w:firstLine="480"/>
              <w:rPr>
                <w:bCs/>
              </w:rPr>
            </w:pPr>
          </w:p>
          <w:p>
            <w:pPr>
              <w:spacing w:line="240" w:lineRule="auto"/>
              <w:ind w:right="46" w:rightChars="19" w:firstLine="0" w:firstLineChars="0"/>
              <w:jc w:val="center"/>
              <w:rPr>
                <w:sz w:val="21"/>
                <w:szCs w:val="21"/>
              </w:rPr>
            </w:pPr>
          </w:p>
        </w:tc>
      </w:tr>
    </w:tbl>
    <w:p>
      <w:pPr>
        <w:spacing w:line="240" w:lineRule="auto"/>
        <w:ind w:right="46" w:rightChars="19" w:firstLine="0" w:firstLineChars="0"/>
        <w:sectPr>
          <w:pgSz w:w="11906" w:h="16838"/>
          <w:pgMar w:top="1440" w:right="1800" w:bottom="1440" w:left="1800" w:header="851" w:footer="992" w:gutter="0"/>
          <w:cols w:space="425" w:num="1"/>
          <w:docGrid w:type="lines" w:linePitch="312" w:charSpace="0"/>
        </w:sectPr>
      </w:pPr>
    </w:p>
    <w:p>
      <w:pPr>
        <w:pStyle w:val="2"/>
        <w:ind w:right="46" w:rightChars="19"/>
      </w:pPr>
      <w:r>
        <w:rPr>
          <w:rFonts w:hint="eastAsia"/>
        </w:rPr>
        <w:t>六、结论</w:t>
      </w:r>
    </w:p>
    <w:tbl>
      <w:tblPr>
        <w:tblStyle w:val="17"/>
        <w:tblW w:w="93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93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9386" w:type="dxa"/>
          </w:tcPr>
          <w:p>
            <w:pPr>
              <w:ind w:left="120" w:leftChars="50" w:right="120" w:rightChars="50" w:firstLine="480"/>
            </w:pPr>
            <w:r>
              <w:rPr>
                <w:rFonts w:hint="eastAsia"/>
              </w:rPr>
              <w:t>该项目建设符合国家产业政策和区域规划，选址可行，项目周围环境质量良好，在满足环评提出的各项要求和污染防治措施的基础上，项目运行期污染物可以做到“达标排放”，不会改变区域环境质量功能，对环境影响较小。从环境保护的角度分析，该项目的建设是可行的。</w:t>
            </w:r>
          </w:p>
          <w:p>
            <w:pPr>
              <w:ind w:right="120" w:rightChars="50" w:firstLine="480"/>
              <w:jc w:val="left"/>
            </w:pPr>
          </w:p>
          <w:p>
            <w:pPr>
              <w:ind w:right="46" w:rightChars="19" w:firstLine="480"/>
            </w:pPr>
          </w:p>
          <w:p>
            <w:pPr>
              <w:ind w:right="46" w:rightChars="19" w:firstLine="480"/>
            </w:pPr>
          </w:p>
          <w:p>
            <w:pPr>
              <w:ind w:right="46" w:rightChars="19" w:firstLine="480"/>
            </w:pPr>
          </w:p>
          <w:p>
            <w:pPr>
              <w:ind w:right="46" w:rightChars="19" w:firstLine="480"/>
            </w:pPr>
          </w:p>
          <w:p>
            <w:pPr>
              <w:ind w:right="46" w:rightChars="19" w:firstLine="480"/>
            </w:pPr>
          </w:p>
          <w:p>
            <w:pPr>
              <w:ind w:right="46" w:rightChars="19" w:firstLine="480"/>
            </w:pPr>
          </w:p>
          <w:p>
            <w:pPr>
              <w:ind w:right="46" w:rightChars="19" w:firstLine="480"/>
            </w:pPr>
          </w:p>
          <w:p>
            <w:pPr>
              <w:ind w:right="46" w:rightChars="19" w:firstLine="480"/>
            </w:pPr>
          </w:p>
          <w:p>
            <w:pPr>
              <w:ind w:right="46" w:rightChars="19" w:firstLine="480"/>
            </w:pPr>
          </w:p>
          <w:p>
            <w:pPr>
              <w:ind w:right="46" w:rightChars="19" w:firstLine="480"/>
            </w:pPr>
          </w:p>
          <w:p>
            <w:pPr>
              <w:ind w:right="46" w:rightChars="19" w:firstLine="480"/>
            </w:pPr>
          </w:p>
          <w:p>
            <w:pPr>
              <w:ind w:right="46" w:rightChars="19" w:firstLine="480"/>
            </w:pPr>
          </w:p>
          <w:p>
            <w:pPr>
              <w:ind w:right="46" w:rightChars="19" w:firstLine="480"/>
            </w:pPr>
          </w:p>
          <w:p>
            <w:pPr>
              <w:ind w:right="46" w:rightChars="19" w:firstLine="480"/>
            </w:pPr>
          </w:p>
          <w:p>
            <w:pPr>
              <w:ind w:right="46" w:rightChars="19" w:firstLine="480"/>
            </w:pPr>
          </w:p>
          <w:p>
            <w:pPr>
              <w:ind w:right="46" w:rightChars="19" w:firstLine="480"/>
            </w:pPr>
          </w:p>
          <w:p>
            <w:pPr>
              <w:ind w:right="46" w:rightChars="19" w:firstLine="480"/>
            </w:pPr>
          </w:p>
          <w:p>
            <w:pPr>
              <w:ind w:right="46" w:rightChars="19" w:firstLine="480"/>
            </w:pPr>
          </w:p>
          <w:p>
            <w:pPr>
              <w:ind w:right="46" w:rightChars="19" w:firstLine="480"/>
            </w:pPr>
          </w:p>
          <w:p>
            <w:pPr>
              <w:ind w:right="46" w:rightChars="19" w:firstLine="480"/>
            </w:pPr>
          </w:p>
        </w:tc>
      </w:tr>
    </w:tbl>
    <w:p>
      <w:pPr>
        <w:spacing w:line="240" w:lineRule="auto"/>
        <w:ind w:right="46" w:rightChars="19" w:firstLine="0" w:firstLineChars="0"/>
        <w:sectPr>
          <w:pgSz w:w="11906" w:h="16838"/>
          <w:pgMar w:top="1440" w:right="1800" w:bottom="1440" w:left="1800" w:header="851" w:footer="992" w:gutter="0"/>
          <w:cols w:space="425" w:num="1"/>
          <w:docGrid w:type="lines" w:linePitch="312" w:charSpace="0"/>
        </w:sectPr>
      </w:pPr>
    </w:p>
    <w:p>
      <w:pPr>
        <w:spacing w:line="300" w:lineRule="exact"/>
        <w:ind w:right="46" w:rightChars="19" w:firstLine="602"/>
        <w:jc w:val="center"/>
        <w:rPr>
          <w:b/>
          <w:sz w:val="30"/>
          <w:szCs w:val="30"/>
        </w:rPr>
      </w:pPr>
      <w:r>
        <w:rPr>
          <w:b/>
          <w:sz w:val="30"/>
          <w:szCs w:val="30"/>
        </w:rPr>
        <w:t>建设项目污染物排放量汇总表</w:t>
      </w:r>
    </w:p>
    <w:tbl>
      <w:tblPr>
        <w:tblStyle w:val="16"/>
        <w:tblW w:w="14157"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951"/>
        <w:gridCol w:w="2410"/>
        <w:gridCol w:w="1701"/>
        <w:gridCol w:w="1289"/>
        <w:gridCol w:w="1701"/>
        <w:gridCol w:w="1559"/>
        <w:gridCol w:w="1262"/>
        <w:gridCol w:w="1843"/>
        <w:gridCol w:w="1441"/>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831" w:hRule="atLeast"/>
          <w:jc w:val="center"/>
        </w:trPr>
        <w:tc>
          <w:tcPr>
            <w:tcW w:w="951" w:type="dxa"/>
            <w:tcBorders>
              <w:tl2br w:val="single" w:color="auto" w:sz="4" w:space="0"/>
            </w:tcBorders>
            <w:tcMar>
              <w:left w:w="28" w:type="dxa"/>
              <w:right w:w="28" w:type="dxa"/>
            </w:tcMar>
            <w:vAlign w:val="center"/>
          </w:tcPr>
          <w:p>
            <w:pPr>
              <w:spacing w:line="260" w:lineRule="exact"/>
              <w:ind w:right="46" w:rightChars="19" w:firstLine="0" w:firstLineChars="0"/>
              <w:jc w:val="right"/>
              <w:rPr>
                <w:sz w:val="21"/>
                <w:szCs w:val="21"/>
              </w:rPr>
            </w:pPr>
            <w:r>
              <w:rPr>
                <w:sz w:val="21"/>
                <w:szCs w:val="21"/>
              </w:rPr>
              <w:t>项目</w:t>
            </w:r>
          </w:p>
          <w:p>
            <w:pPr>
              <w:spacing w:line="260" w:lineRule="exact"/>
              <w:ind w:right="46" w:rightChars="19" w:firstLine="0" w:firstLineChars="0"/>
              <w:jc w:val="left"/>
              <w:rPr>
                <w:sz w:val="21"/>
                <w:szCs w:val="21"/>
              </w:rPr>
            </w:pPr>
            <w:r>
              <w:rPr>
                <w:sz w:val="21"/>
                <w:szCs w:val="21"/>
              </w:rPr>
              <w:t>分类</w:t>
            </w:r>
          </w:p>
        </w:tc>
        <w:tc>
          <w:tcPr>
            <w:tcW w:w="2410" w:type="dxa"/>
            <w:tcMar>
              <w:left w:w="28" w:type="dxa"/>
              <w:right w:w="28" w:type="dxa"/>
            </w:tcMar>
            <w:vAlign w:val="center"/>
          </w:tcPr>
          <w:p>
            <w:pPr>
              <w:spacing w:line="260" w:lineRule="exact"/>
              <w:ind w:right="46" w:rightChars="19" w:firstLine="0" w:firstLineChars="0"/>
              <w:jc w:val="center"/>
              <w:rPr>
                <w:sz w:val="21"/>
                <w:szCs w:val="21"/>
              </w:rPr>
            </w:pPr>
            <w:r>
              <w:rPr>
                <w:sz w:val="21"/>
                <w:szCs w:val="21"/>
              </w:rPr>
              <w:t>污染物名称</w:t>
            </w:r>
          </w:p>
        </w:tc>
        <w:tc>
          <w:tcPr>
            <w:tcW w:w="1701" w:type="dxa"/>
            <w:tcMar>
              <w:left w:w="28" w:type="dxa"/>
              <w:right w:w="28" w:type="dxa"/>
            </w:tcMar>
            <w:vAlign w:val="center"/>
          </w:tcPr>
          <w:p>
            <w:pPr>
              <w:spacing w:line="260" w:lineRule="exact"/>
              <w:ind w:right="46" w:rightChars="19" w:firstLine="0" w:firstLineChars="0"/>
              <w:jc w:val="center"/>
              <w:rPr>
                <w:sz w:val="21"/>
                <w:szCs w:val="21"/>
              </w:rPr>
            </w:pPr>
            <w:r>
              <w:rPr>
                <w:sz w:val="21"/>
                <w:szCs w:val="21"/>
              </w:rPr>
              <w:t>现有工程</w:t>
            </w:r>
          </w:p>
          <w:p>
            <w:pPr>
              <w:spacing w:line="260" w:lineRule="exact"/>
              <w:ind w:right="46" w:rightChars="19" w:firstLine="0" w:firstLineChars="0"/>
              <w:jc w:val="center"/>
              <w:rPr>
                <w:sz w:val="21"/>
                <w:szCs w:val="21"/>
              </w:rPr>
            </w:pPr>
            <w:r>
              <w:rPr>
                <w:sz w:val="21"/>
                <w:szCs w:val="21"/>
              </w:rPr>
              <w:t>排放量（固体废物产生量）</w:t>
            </w:r>
            <w:r>
              <w:rPr>
                <w:sz w:val="21"/>
                <w:szCs w:val="21"/>
              </w:rPr>
              <w:fldChar w:fldCharType="begin"/>
            </w:r>
            <w:r>
              <w:rPr>
                <w:sz w:val="21"/>
                <w:szCs w:val="21"/>
              </w:rPr>
              <w:instrText xml:space="preserve"> = 1 \* GB3 \* MERGEFORMAT </w:instrText>
            </w:r>
            <w:r>
              <w:rPr>
                <w:sz w:val="21"/>
                <w:szCs w:val="21"/>
              </w:rPr>
              <w:fldChar w:fldCharType="separate"/>
            </w:r>
            <w:r>
              <w:rPr>
                <w:rFonts w:hint="eastAsia" w:ascii="宋体" w:hAnsi="宋体" w:cs="宋体"/>
                <w:sz w:val="21"/>
                <w:szCs w:val="21"/>
              </w:rPr>
              <w:t>①</w:t>
            </w:r>
            <w:r>
              <w:rPr>
                <w:sz w:val="21"/>
                <w:szCs w:val="21"/>
              </w:rPr>
              <w:fldChar w:fldCharType="end"/>
            </w:r>
          </w:p>
        </w:tc>
        <w:tc>
          <w:tcPr>
            <w:tcW w:w="1289" w:type="dxa"/>
            <w:tcMar>
              <w:left w:w="28" w:type="dxa"/>
              <w:right w:w="28" w:type="dxa"/>
            </w:tcMar>
            <w:vAlign w:val="center"/>
          </w:tcPr>
          <w:p>
            <w:pPr>
              <w:spacing w:line="260" w:lineRule="exact"/>
              <w:ind w:right="46" w:rightChars="19" w:firstLine="0" w:firstLineChars="0"/>
              <w:jc w:val="center"/>
              <w:rPr>
                <w:sz w:val="21"/>
                <w:szCs w:val="21"/>
              </w:rPr>
            </w:pPr>
            <w:r>
              <w:rPr>
                <w:sz w:val="21"/>
                <w:szCs w:val="21"/>
              </w:rPr>
              <w:t>现有工程</w:t>
            </w:r>
          </w:p>
          <w:p>
            <w:pPr>
              <w:spacing w:line="260" w:lineRule="exact"/>
              <w:ind w:right="46" w:rightChars="19" w:firstLine="0" w:firstLineChars="0"/>
              <w:jc w:val="center"/>
              <w:rPr>
                <w:sz w:val="21"/>
                <w:szCs w:val="21"/>
              </w:rPr>
            </w:pPr>
            <w:r>
              <w:rPr>
                <w:sz w:val="21"/>
                <w:szCs w:val="21"/>
              </w:rPr>
              <w:t>许可排放量</w:t>
            </w:r>
          </w:p>
          <w:p>
            <w:pPr>
              <w:spacing w:line="260" w:lineRule="exact"/>
              <w:ind w:right="46" w:rightChars="19" w:firstLine="0" w:firstLineChars="0"/>
              <w:jc w:val="center"/>
              <w:rPr>
                <w:sz w:val="21"/>
                <w:szCs w:val="21"/>
              </w:rPr>
            </w:pPr>
            <w:r>
              <w:rPr>
                <w:sz w:val="21"/>
                <w:szCs w:val="21"/>
              </w:rPr>
              <w:fldChar w:fldCharType="begin"/>
            </w:r>
            <w:r>
              <w:rPr>
                <w:sz w:val="21"/>
                <w:szCs w:val="21"/>
              </w:rPr>
              <w:instrText xml:space="preserve"> = 2 \* GB3 \* MERGEFORMAT </w:instrText>
            </w:r>
            <w:r>
              <w:rPr>
                <w:sz w:val="21"/>
                <w:szCs w:val="21"/>
              </w:rPr>
              <w:fldChar w:fldCharType="separate"/>
            </w:r>
            <w:r>
              <w:rPr>
                <w:rFonts w:hint="eastAsia" w:ascii="宋体" w:hAnsi="宋体" w:cs="宋体"/>
                <w:sz w:val="21"/>
                <w:szCs w:val="21"/>
              </w:rPr>
              <w:t>②</w:t>
            </w:r>
            <w:r>
              <w:rPr>
                <w:sz w:val="21"/>
                <w:szCs w:val="21"/>
              </w:rPr>
              <w:fldChar w:fldCharType="end"/>
            </w:r>
          </w:p>
        </w:tc>
        <w:tc>
          <w:tcPr>
            <w:tcW w:w="1701" w:type="dxa"/>
            <w:tcMar>
              <w:left w:w="28" w:type="dxa"/>
              <w:right w:w="28" w:type="dxa"/>
            </w:tcMar>
            <w:vAlign w:val="center"/>
          </w:tcPr>
          <w:p>
            <w:pPr>
              <w:spacing w:line="260" w:lineRule="exact"/>
              <w:ind w:right="46" w:rightChars="19" w:firstLine="0" w:firstLineChars="0"/>
              <w:jc w:val="center"/>
              <w:rPr>
                <w:sz w:val="21"/>
                <w:szCs w:val="21"/>
              </w:rPr>
            </w:pPr>
            <w:r>
              <w:rPr>
                <w:sz w:val="21"/>
                <w:szCs w:val="21"/>
              </w:rPr>
              <w:t>在建工程</w:t>
            </w:r>
          </w:p>
          <w:p>
            <w:pPr>
              <w:spacing w:line="260" w:lineRule="exact"/>
              <w:ind w:right="46" w:rightChars="19" w:firstLine="0" w:firstLineChars="0"/>
              <w:jc w:val="center"/>
              <w:rPr>
                <w:sz w:val="21"/>
                <w:szCs w:val="21"/>
              </w:rPr>
            </w:pPr>
            <w:r>
              <w:rPr>
                <w:sz w:val="21"/>
                <w:szCs w:val="21"/>
              </w:rPr>
              <w:t>排放量（固体废物产生量）</w:t>
            </w:r>
            <w:r>
              <w:rPr>
                <w:sz w:val="21"/>
                <w:szCs w:val="21"/>
              </w:rPr>
              <w:fldChar w:fldCharType="begin"/>
            </w:r>
            <w:r>
              <w:rPr>
                <w:sz w:val="21"/>
                <w:szCs w:val="21"/>
              </w:rPr>
              <w:instrText xml:space="preserve"> = 3 \* GB3 \* MERGEFORMAT </w:instrText>
            </w:r>
            <w:r>
              <w:rPr>
                <w:sz w:val="21"/>
                <w:szCs w:val="21"/>
              </w:rPr>
              <w:fldChar w:fldCharType="separate"/>
            </w:r>
            <w:r>
              <w:rPr>
                <w:rFonts w:hint="eastAsia" w:ascii="宋体" w:hAnsi="宋体" w:cs="宋体"/>
                <w:sz w:val="21"/>
                <w:szCs w:val="21"/>
              </w:rPr>
              <w:t>③</w:t>
            </w:r>
            <w:r>
              <w:rPr>
                <w:sz w:val="21"/>
                <w:szCs w:val="21"/>
              </w:rPr>
              <w:fldChar w:fldCharType="end"/>
            </w:r>
          </w:p>
        </w:tc>
        <w:tc>
          <w:tcPr>
            <w:tcW w:w="1559" w:type="dxa"/>
            <w:tcMar>
              <w:left w:w="28" w:type="dxa"/>
              <w:right w:w="28" w:type="dxa"/>
            </w:tcMar>
            <w:vAlign w:val="center"/>
          </w:tcPr>
          <w:p>
            <w:pPr>
              <w:spacing w:line="260" w:lineRule="exact"/>
              <w:ind w:right="46" w:rightChars="19" w:firstLine="0" w:firstLineChars="0"/>
              <w:jc w:val="center"/>
              <w:rPr>
                <w:sz w:val="21"/>
                <w:szCs w:val="21"/>
              </w:rPr>
            </w:pPr>
            <w:r>
              <w:rPr>
                <w:sz w:val="21"/>
                <w:szCs w:val="21"/>
              </w:rPr>
              <w:t>本项目</w:t>
            </w:r>
          </w:p>
          <w:p>
            <w:pPr>
              <w:spacing w:line="260" w:lineRule="exact"/>
              <w:ind w:right="46" w:rightChars="19" w:firstLine="0" w:firstLineChars="0"/>
              <w:jc w:val="center"/>
              <w:rPr>
                <w:sz w:val="21"/>
                <w:szCs w:val="21"/>
              </w:rPr>
            </w:pPr>
            <w:r>
              <w:rPr>
                <w:sz w:val="21"/>
                <w:szCs w:val="21"/>
              </w:rPr>
              <w:t>排放量（固体废物产生量）</w:t>
            </w:r>
            <w:r>
              <w:rPr>
                <w:sz w:val="21"/>
                <w:szCs w:val="21"/>
              </w:rPr>
              <w:fldChar w:fldCharType="begin"/>
            </w:r>
            <w:r>
              <w:rPr>
                <w:sz w:val="21"/>
                <w:szCs w:val="21"/>
              </w:rPr>
              <w:instrText xml:space="preserve"> = 4 \* GB3 \* MERGEFORMAT </w:instrText>
            </w:r>
            <w:r>
              <w:rPr>
                <w:sz w:val="21"/>
                <w:szCs w:val="21"/>
              </w:rPr>
              <w:fldChar w:fldCharType="separate"/>
            </w:r>
            <w:r>
              <w:rPr>
                <w:rFonts w:hint="eastAsia" w:ascii="宋体" w:hAnsi="宋体" w:cs="宋体"/>
                <w:sz w:val="21"/>
                <w:szCs w:val="21"/>
              </w:rPr>
              <w:t>④</w:t>
            </w:r>
            <w:r>
              <w:rPr>
                <w:sz w:val="21"/>
                <w:szCs w:val="21"/>
              </w:rPr>
              <w:fldChar w:fldCharType="end"/>
            </w:r>
          </w:p>
        </w:tc>
        <w:tc>
          <w:tcPr>
            <w:tcW w:w="1262" w:type="dxa"/>
            <w:tcMar>
              <w:left w:w="28" w:type="dxa"/>
              <w:right w:w="28" w:type="dxa"/>
            </w:tcMar>
            <w:vAlign w:val="center"/>
          </w:tcPr>
          <w:p>
            <w:pPr>
              <w:spacing w:line="260" w:lineRule="exact"/>
              <w:ind w:right="46" w:rightChars="19" w:firstLine="0" w:firstLineChars="0"/>
              <w:jc w:val="center"/>
              <w:rPr>
                <w:sz w:val="21"/>
                <w:szCs w:val="21"/>
              </w:rPr>
            </w:pPr>
            <w:r>
              <w:rPr>
                <w:sz w:val="21"/>
                <w:szCs w:val="21"/>
              </w:rPr>
              <w:t>以新带老削减量（新建项目不填）</w:t>
            </w:r>
            <w:r>
              <w:rPr>
                <w:sz w:val="21"/>
                <w:szCs w:val="21"/>
              </w:rPr>
              <w:fldChar w:fldCharType="begin"/>
            </w:r>
            <w:r>
              <w:rPr>
                <w:sz w:val="21"/>
                <w:szCs w:val="21"/>
              </w:rPr>
              <w:instrText xml:space="preserve"> = 5 \* GB3 \* MERGEFORMAT </w:instrText>
            </w:r>
            <w:r>
              <w:rPr>
                <w:sz w:val="21"/>
                <w:szCs w:val="21"/>
              </w:rPr>
              <w:fldChar w:fldCharType="separate"/>
            </w:r>
            <w:r>
              <w:rPr>
                <w:rFonts w:hint="eastAsia" w:ascii="宋体" w:hAnsi="宋体" w:cs="宋体"/>
                <w:sz w:val="21"/>
                <w:szCs w:val="21"/>
              </w:rPr>
              <w:t>⑤</w:t>
            </w:r>
            <w:r>
              <w:rPr>
                <w:sz w:val="21"/>
                <w:szCs w:val="21"/>
              </w:rPr>
              <w:fldChar w:fldCharType="end"/>
            </w:r>
          </w:p>
        </w:tc>
        <w:tc>
          <w:tcPr>
            <w:tcW w:w="1843" w:type="dxa"/>
            <w:tcMar>
              <w:left w:w="28" w:type="dxa"/>
              <w:right w:w="28" w:type="dxa"/>
            </w:tcMar>
            <w:vAlign w:val="center"/>
          </w:tcPr>
          <w:p>
            <w:pPr>
              <w:spacing w:line="260" w:lineRule="exact"/>
              <w:ind w:right="46" w:rightChars="19" w:firstLine="0" w:firstLineChars="0"/>
              <w:jc w:val="center"/>
              <w:rPr>
                <w:sz w:val="21"/>
                <w:szCs w:val="21"/>
              </w:rPr>
            </w:pPr>
            <w:r>
              <w:rPr>
                <w:sz w:val="21"/>
                <w:szCs w:val="21"/>
              </w:rPr>
              <w:t>本项目建成后</w:t>
            </w:r>
          </w:p>
          <w:p>
            <w:pPr>
              <w:spacing w:line="260" w:lineRule="exact"/>
              <w:ind w:right="46" w:rightChars="19" w:firstLine="0" w:firstLineChars="0"/>
              <w:jc w:val="center"/>
              <w:rPr>
                <w:sz w:val="21"/>
                <w:szCs w:val="21"/>
              </w:rPr>
            </w:pPr>
            <w:r>
              <w:rPr>
                <w:sz w:val="21"/>
                <w:szCs w:val="21"/>
              </w:rPr>
              <w:t>全厂排放量（固体废物产生量）</w:t>
            </w:r>
            <w:r>
              <w:rPr>
                <w:sz w:val="21"/>
                <w:szCs w:val="21"/>
              </w:rPr>
              <w:fldChar w:fldCharType="begin"/>
            </w:r>
            <w:r>
              <w:rPr>
                <w:sz w:val="21"/>
                <w:szCs w:val="21"/>
              </w:rPr>
              <w:instrText xml:space="preserve"> = 6 \* GB3 \* MERGEFORMAT </w:instrText>
            </w:r>
            <w:r>
              <w:rPr>
                <w:sz w:val="21"/>
                <w:szCs w:val="21"/>
              </w:rPr>
              <w:fldChar w:fldCharType="separate"/>
            </w:r>
            <w:r>
              <w:rPr>
                <w:rFonts w:hint="eastAsia" w:ascii="宋体" w:hAnsi="宋体" w:cs="宋体"/>
                <w:sz w:val="21"/>
                <w:szCs w:val="21"/>
              </w:rPr>
              <w:t>⑥</w:t>
            </w:r>
            <w:r>
              <w:rPr>
                <w:sz w:val="21"/>
                <w:szCs w:val="21"/>
              </w:rPr>
              <w:fldChar w:fldCharType="end"/>
            </w:r>
          </w:p>
        </w:tc>
        <w:tc>
          <w:tcPr>
            <w:tcW w:w="1441" w:type="dxa"/>
            <w:tcMar>
              <w:left w:w="28" w:type="dxa"/>
              <w:right w:w="28" w:type="dxa"/>
            </w:tcMar>
            <w:vAlign w:val="center"/>
          </w:tcPr>
          <w:p>
            <w:pPr>
              <w:spacing w:line="260" w:lineRule="exact"/>
              <w:ind w:right="46" w:rightChars="19" w:firstLine="0" w:firstLineChars="0"/>
              <w:jc w:val="center"/>
              <w:rPr>
                <w:sz w:val="21"/>
                <w:szCs w:val="21"/>
              </w:rPr>
            </w:pPr>
            <w:r>
              <w:rPr>
                <w:sz w:val="21"/>
                <w:szCs w:val="21"/>
              </w:rPr>
              <w:t>变化量</w:t>
            </w:r>
          </w:p>
          <w:p>
            <w:pPr>
              <w:spacing w:line="260" w:lineRule="exact"/>
              <w:ind w:right="46" w:rightChars="19" w:firstLine="0" w:firstLineChars="0"/>
              <w:jc w:val="center"/>
              <w:rPr>
                <w:sz w:val="21"/>
                <w:szCs w:val="21"/>
              </w:rPr>
            </w:pPr>
            <w:r>
              <w:rPr>
                <w:sz w:val="21"/>
                <w:szCs w:val="21"/>
              </w:rPr>
              <w:fldChar w:fldCharType="begin"/>
            </w:r>
            <w:r>
              <w:rPr>
                <w:sz w:val="21"/>
                <w:szCs w:val="21"/>
              </w:rPr>
              <w:instrText xml:space="preserve"> = 7 \* GB3 \* MERGEFORMAT </w:instrText>
            </w:r>
            <w:r>
              <w:rPr>
                <w:sz w:val="21"/>
                <w:szCs w:val="21"/>
              </w:rPr>
              <w:fldChar w:fldCharType="separate"/>
            </w:r>
            <w:r>
              <w:rPr>
                <w:rFonts w:hint="eastAsia" w:ascii="宋体" w:hAnsi="宋体" w:cs="宋体"/>
                <w:sz w:val="21"/>
                <w:szCs w:val="21"/>
              </w:rPr>
              <w:t>⑦</w:t>
            </w:r>
            <w:r>
              <w:rPr>
                <w:sz w:val="21"/>
                <w:szCs w:val="21"/>
              </w:rPr>
              <w:fldChar w:fldCharType="end"/>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951" w:type="dxa"/>
            <w:vMerge w:val="restart"/>
            <w:vAlign w:val="center"/>
          </w:tcPr>
          <w:p>
            <w:pPr>
              <w:spacing w:line="240" w:lineRule="auto"/>
              <w:ind w:right="46" w:rightChars="19" w:firstLine="0" w:firstLineChars="0"/>
              <w:jc w:val="center"/>
              <w:rPr>
                <w:sz w:val="21"/>
                <w:szCs w:val="21"/>
              </w:rPr>
            </w:pPr>
            <w:r>
              <w:rPr>
                <w:sz w:val="21"/>
                <w:szCs w:val="21"/>
              </w:rPr>
              <w:t>废气</w:t>
            </w:r>
          </w:p>
        </w:tc>
        <w:tc>
          <w:tcPr>
            <w:tcW w:w="2410" w:type="dxa"/>
            <w:vAlign w:val="center"/>
          </w:tcPr>
          <w:p>
            <w:pPr>
              <w:spacing w:line="240" w:lineRule="auto"/>
              <w:ind w:right="46" w:rightChars="19" w:firstLine="0" w:firstLineChars="0"/>
              <w:jc w:val="center"/>
              <w:rPr>
                <w:sz w:val="21"/>
                <w:szCs w:val="21"/>
              </w:rPr>
            </w:pPr>
            <w:r>
              <w:rPr>
                <w:rFonts w:hint="eastAsia"/>
                <w:sz w:val="21"/>
                <w:szCs w:val="21"/>
              </w:rPr>
              <w:t>NH</w:t>
            </w:r>
            <w:r>
              <w:rPr>
                <w:rFonts w:hint="eastAsia"/>
                <w:sz w:val="21"/>
                <w:szCs w:val="21"/>
                <w:vertAlign w:val="subscript"/>
              </w:rPr>
              <w:t>3</w:t>
            </w:r>
          </w:p>
        </w:tc>
        <w:tc>
          <w:tcPr>
            <w:tcW w:w="1701" w:type="dxa"/>
            <w:vAlign w:val="center"/>
          </w:tcPr>
          <w:p>
            <w:pPr>
              <w:spacing w:line="240" w:lineRule="auto"/>
              <w:ind w:right="46" w:rightChars="19" w:firstLine="0" w:firstLineChars="0"/>
              <w:jc w:val="center"/>
              <w:rPr>
                <w:sz w:val="21"/>
                <w:szCs w:val="21"/>
              </w:rPr>
            </w:pPr>
            <w:r>
              <w:rPr>
                <w:rFonts w:hint="eastAsia"/>
                <w:sz w:val="21"/>
                <w:szCs w:val="21"/>
              </w:rPr>
              <w:t>—</w:t>
            </w:r>
          </w:p>
        </w:tc>
        <w:tc>
          <w:tcPr>
            <w:tcW w:w="1289" w:type="dxa"/>
            <w:vAlign w:val="center"/>
          </w:tcPr>
          <w:p>
            <w:pPr>
              <w:spacing w:line="240" w:lineRule="auto"/>
              <w:ind w:right="46" w:rightChars="19" w:firstLine="0" w:firstLineChars="0"/>
              <w:jc w:val="center"/>
              <w:rPr>
                <w:sz w:val="21"/>
                <w:szCs w:val="21"/>
              </w:rPr>
            </w:pPr>
            <w:r>
              <w:rPr>
                <w:rFonts w:hint="eastAsia"/>
                <w:sz w:val="21"/>
                <w:szCs w:val="21"/>
              </w:rPr>
              <w:t>—</w:t>
            </w:r>
          </w:p>
        </w:tc>
        <w:tc>
          <w:tcPr>
            <w:tcW w:w="1701" w:type="dxa"/>
            <w:vAlign w:val="center"/>
          </w:tcPr>
          <w:p>
            <w:pPr>
              <w:spacing w:line="240" w:lineRule="auto"/>
              <w:ind w:right="46" w:rightChars="19" w:firstLine="0" w:firstLineChars="0"/>
              <w:jc w:val="center"/>
              <w:rPr>
                <w:sz w:val="21"/>
                <w:szCs w:val="21"/>
              </w:rPr>
            </w:pPr>
            <w:r>
              <w:rPr>
                <w:rFonts w:hint="eastAsia"/>
                <w:sz w:val="21"/>
                <w:szCs w:val="21"/>
              </w:rPr>
              <w:t>—</w:t>
            </w:r>
          </w:p>
        </w:tc>
        <w:tc>
          <w:tcPr>
            <w:tcW w:w="1559" w:type="dxa"/>
            <w:vAlign w:val="center"/>
          </w:tcPr>
          <w:p>
            <w:pPr>
              <w:spacing w:line="240" w:lineRule="auto"/>
              <w:ind w:right="46" w:rightChars="19" w:firstLine="0" w:firstLineChars="0"/>
              <w:jc w:val="center"/>
              <w:rPr>
                <w:sz w:val="21"/>
                <w:szCs w:val="21"/>
              </w:rPr>
            </w:pPr>
            <w:r>
              <w:rPr>
                <w:sz w:val="21"/>
                <w:szCs w:val="21"/>
              </w:rPr>
              <w:t>0.000</w:t>
            </w:r>
            <w:r>
              <w:rPr>
                <w:rFonts w:hint="eastAsia"/>
                <w:sz w:val="21"/>
                <w:szCs w:val="21"/>
              </w:rPr>
              <w:t>4t/a</w:t>
            </w:r>
          </w:p>
        </w:tc>
        <w:tc>
          <w:tcPr>
            <w:tcW w:w="1262" w:type="dxa"/>
            <w:vAlign w:val="center"/>
          </w:tcPr>
          <w:p>
            <w:pPr>
              <w:spacing w:line="240" w:lineRule="auto"/>
              <w:ind w:right="46" w:rightChars="19" w:firstLine="0" w:firstLineChars="0"/>
              <w:jc w:val="center"/>
              <w:rPr>
                <w:sz w:val="21"/>
                <w:szCs w:val="21"/>
              </w:rPr>
            </w:pPr>
            <w:r>
              <w:rPr>
                <w:rFonts w:hint="eastAsia"/>
                <w:sz w:val="21"/>
                <w:szCs w:val="21"/>
              </w:rPr>
              <w:t>—</w:t>
            </w:r>
          </w:p>
        </w:tc>
        <w:tc>
          <w:tcPr>
            <w:tcW w:w="1843" w:type="dxa"/>
            <w:vAlign w:val="center"/>
          </w:tcPr>
          <w:p>
            <w:pPr>
              <w:spacing w:line="240" w:lineRule="auto"/>
              <w:ind w:right="46" w:rightChars="19" w:firstLine="0" w:firstLineChars="0"/>
              <w:jc w:val="center"/>
              <w:rPr>
                <w:sz w:val="21"/>
                <w:szCs w:val="21"/>
              </w:rPr>
            </w:pPr>
            <w:r>
              <w:rPr>
                <w:sz w:val="21"/>
                <w:szCs w:val="21"/>
              </w:rPr>
              <w:t>0.000</w:t>
            </w:r>
            <w:r>
              <w:rPr>
                <w:rFonts w:hint="eastAsia"/>
                <w:sz w:val="21"/>
                <w:szCs w:val="21"/>
              </w:rPr>
              <w:t>4t/a</w:t>
            </w:r>
          </w:p>
        </w:tc>
        <w:tc>
          <w:tcPr>
            <w:tcW w:w="1441" w:type="dxa"/>
            <w:vAlign w:val="center"/>
          </w:tcPr>
          <w:p>
            <w:pPr>
              <w:spacing w:line="240" w:lineRule="auto"/>
              <w:ind w:right="46" w:rightChars="19" w:firstLine="0" w:firstLineChars="0"/>
              <w:jc w:val="center"/>
              <w:rPr>
                <w:sz w:val="21"/>
                <w:szCs w:val="21"/>
              </w:rPr>
            </w:pPr>
            <w:r>
              <w:rPr>
                <w:rFonts w:hint="eastAsia"/>
                <w:sz w:val="21"/>
                <w:szCs w:val="21"/>
              </w:rPr>
              <w:t>+</w:t>
            </w:r>
            <w:r>
              <w:rPr>
                <w:sz w:val="21"/>
                <w:szCs w:val="21"/>
              </w:rPr>
              <w:t>0.000</w:t>
            </w:r>
            <w:r>
              <w:rPr>
                <w:rFonts w:hint="eastAsia"/>
                <w:sz w:val="21"/>
                <w:szCs w:val="21"/>
              </w:rPr>
              <w:t>4t/a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951" w:type="dxa"/>
            <w:vMerge w:val="continue"/>
            <w:vAlign w:val="center"/>
          </w:tcPr>
          <w:p>
            <w:pPr>
              <w:spacing w:line="240" w:lineRule="auto"/>
              <w:ind w:right="46" w:rightChars="19" w:firstLine="0" w:firstLineChars="0"/>
              <w:jc w:val="center"/>
              <w:rPr>
                <w:sz w:val="21"/>
                <w:szCs w:val="21"/>
              </w:rPr>
            </w:pPr>
          </w:p>
        </w:tc>
        <w:tc>
          <w:tcPr>
            <w:tcW w:w="2410" w:type="dxa"/>
            <w:vAlign w:val="center"/>
          </w:tcPr>
          <w:p>
            <w:pPr>
              <w:spacing w:line="240" w:lineRule="auto"/>
              <w:ind w:right="46" w:rightChars="19" w:firstLine="0" w:firstLineChars="0"/>
              <w:jc w:val="center"/>
              <w:rPr>
                <w:sz w:val="21"/>
                <w:szCs w:val="21"/>
              </w:rPr>
            </w:pPr>
            <w:r>
              <w:rPr>
                <w:rFonts w:hint="eastAsia"/>
                <w:sz w:val="21"/>
                <w:szCs w:val="21"/>
              </w:rPr>
              <w:t>H</w:t>
            </w:r>
            <w:r>
              <w:rPr>
                <w:rFonts w:hint="eastAsia"/>
                <w:sz w:val="21"/>
                <w:szCs w:val="21"/>
                <w:vertAlign w:val="subscript"/>
              </w:rPr>
              <w:t>2</w:t>
            </w:r>
            <w:r>
              <w:rPr>
                <w:rFonts w:hint="eastAsia"/>
                <w:sz w:val="21"/>
                <w:szCs w:val="21"/>
              </w:rPr>
              <w:t>S</w:t>
            </w:r>
          </w:p>
        </w:tc>
        <w:tc>
          <w:tcPr>
            <w:tcW w:w="1701" w:type="dxa"/>
            <w:vAlign w:val="center"/>
          </w:tcPr>
          <w:p>
            <w:pPr>
              <w:spacing w:line="240" w:lineRule="auto"/>
              <w:ind w:right="46" w:rightChars="19" w:firstLine="0" w:firstLineChars="0"/>
              <w:jc w:val="center"/>
              <w:rPr>
                <w:bCs/>
                <w:sz w:val="21"/>
                <w:szCs w:val="21"/>
              </w:rPr>
            </w:pPr>
            <w:r>
              <w:rPr>
                <w:rFonts w:hint="eastAsia"/>
                <w:bCs/>
                <w:sz w:val="21"/>
                <w:szCs w:val="21"/>
              </w:rPr>
              <w:t>—</w:t>
            </w:r>
          </w:p>
        </w:tc>
        <w:tc>
          <w:tcPr>
            <w:tcW w:w="1289" w:type="dxa"/>
            <w:vAlign w:val="center"/>
          </w:tcPr>
          <w:p>
            <w:pPr>
              <w:spacing w:line="240" w:lineRule="auto"/>
              <w:ind w:right="46" w:rightChars="19" w:firstLine="0" w:firstLineChars="0"/>
              <w:jc w:val="center"/>
              <w:rPr>
                <w:bCs/>
                <w:sz w:val="21"/>
                <w:szCs w:val="21"/>
              </w:rPr>
            </w:pPr>
            <w:r>
              <w:rPr>
                <w:rFonts w:hint="eastAsia"/>
                <w:bCs/>
                <w:sz w:val="21"/>
                <w:szCs w:val="21"/>
              </w:rPr>
              <w:t>—</w:t>
            </w:r>
          </w:p>
        </w:tc>
        <w:tc>
          <w:tcPr>
            <w:tcW w:w="1701" w:type="dxa"/>
            <w:vAlign w:val="center"/>
          </w:tcPr>
          <w:p>
            <w:pPr>
              <w:spacing w:line="240" w:lineRule="auto"/>
              <w:ind w:right="46" w:rightChars="19" w:firstLine="0" w:firstLineChars="0"/>
              <w:jc w:val="center"/>
              <w:rPr>
                <w:bCs/>
                <w:sz w:val="21"/>
                <w:szCs w:val="21"/>
              </w:rPr>
            </w:pPr>
            <w:r>
              <w:rPr>
                <w:rFonts w:hint="eastAsia"/>
                <w:bCs/>
                <w:sz w:val="21"/>
                <w:szCs w:val="21"/>
              </w:rPr>
              <w:t>—</w:t>
            </w:r>
          </w:p>
        </w:tc>
        <w:tc>
          <w:tcPr>
            <w:tcW w:w="1559" w:type="dxa"/>
            <w:vAlign w:val="center"/>
          </w:tcPr>
          <w:p>
            <w:pPr>
              <w:spacing w:line="240" w:lineRule="auto"/>
              <w:ind w:right="46" w:rightChars="19" w:firstLine="0" w:firstLineChars="0"/>
              <w:jc w:val="center"/>
              <w:rPr>
                <w:sz w:val="21"/>
                <w:szCs w:val="21"/>
              </w:rPr>
            </w:pPr>
            <w:r>
              <w:rPr>
                <w:sz w:val="21"/>
                <w:szCs w:val="21"/>
              </w:rPr>
              <w:t>0.0000</w:t>
            </w:r>
            <w:r>
              <w:rPr>
                <w:rFonts w:hint="eastAsia"/>
                <w:sz w:val="21"/>
                <w:szCs w:val="21"/>
              </w:rPr>
              <w:t>2t/a</w:t>
            </w:r>
          </w:p>
        </w:tc>
        <w:tc>
          <w:tcPr>
            <w:tcW w:w="1262" w:type="dxa"/>
            <w:vAlign w:val="center"/>
          </w:tcPr>
          <w:p>
            <w:pPr>
              <w:spacing w:line="240" w:lineRule="auto"/>
              <w:ind w:right="46" w:rightChars="19" w:firstLine="0" w:firstLineChars="0"/>
              <w:jc w:val="center"/>
              <w:rPr>
                <w:bCs/>
                <w:sz w:val="21"/>
                <w:szCs w:val="21"/>
              </w:rPr>
            </w:pPr>
            <w:r>
              <w:rPr>
                <w:rFonts w:hint="eastAsia"/>
                <w:bCs/>
                <w:sz w:val="21"/>
                <w:szCs w:val="21"/>
              </w:rPr>
              <w:t>—</w:t>
            </w:r>
          </w:p>
        </w:tc>
        <w:tc>
          <w:tcPr>
            <w:tcW w:w="1843" w:type="dxa"/>
            <w:vAlign w:val="center"/>
          </w:tcPr>
          <w:p>
            <w:pPr>
              <w:spacing w:line="240" w:lineRule="auto"/>
              <w:ind w:right="46" w:rightChars="19" w:firstLine="0" w:firstLineChars="0"/>
              <w:jc w:val="center"/>
              <w:rPr>
                <w:sz w:val="21"/>
                <w:szCs w:val="21"/>
              </w:rPr>
            </w:pPr>
            <w:r>
              <w:rPr>
                <w:sz w:val="21"/>
                <w:szCs w:val="21"/>
              </w:rPr>
              <w:t>0.0000</w:t>
            </w:r>
            <w:r>
              <w:rPr>
                <w:rFonts w:hint="eastAsia"/>
                <w:sz w:val="21"/>
                <w:szCs w:val="21"/>
              </w:rPr>
              <w:t>2t/a</w:t>
            </w:r>
          </w:p>
        </w:tc>
        <w:tc>
          <w:tcPr>
            <w:tcW w:w="1441" w:type="dxa"/>
            <w:vAlign w:val="center"/>
          </w:tcPr>
          <w:p>
            <w:pPr>
              <w:spacing w:line="240" w:lineRule="auto"/>
              <w:ind w:right="46" w:rightChars="19" w:firstLine="0" w:firstLineChars="0"/>
              <w:jc w:val="center"/>
              <w:rPr>
                <w:sz w:val="21"/>
                <w:szCs w:val="21"/>
              </w:rPr>
            </w:pPr>
            <w:r>
              <w:rPr>
                <w:rFonts w:hint="eastAsia"/>
                <w:sz w:val="21"/>
                <w:szCs w:val="21"/>
              </w:rPr>
              <w:t>+</w:t>
            </w:r>
            <w:r>
              <w:rPr>
                <w:sz w:val="21"/>
                <w:szCs w:val="21"/>
              </w:rPr>
              <w:t>0.0000</w:t>
            </w:r>
            <w:r>
              <w:rPr>
                <w:rFonts w:hint="eastAsia"/>
                <w:sz w:val="21"/>
                <w:szCs w:val="21"/>
              </w:rPr>
              <w:t>2t/a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951" w:type="dxa"/>
            <w:vMerge w:val="restart"/>
            <w:vAlign w:val="center"/>
          </w:tcPr>
          <w:p>
            <w:pPr>
              <w:spacing w:line="240" w:lineRule="auto"/>
              <w:ind w:right="46" w:rightChars="19" w:firstLine="0" w:firstLineChars="0"/>
              <w:jc w:val="center"/>
              <w:rPr>
                <w:sz w:val="21"/>
                <w:szCs w:val="21"/>
              </w:rPr>
            </w:pPr>
            <w:r>
              <w:rPr>
                <w:sz w:val="21"/>
                <w:szCs w:val="21"/>
              </w:rPr>
              <w:t>废水</w:t>
            </w:r>
          </w:p>
        </w:tc>
        <w:tc>
          <w:tcPr>
            <w:tcW w:w="2410" w:type="dxa"/>
            <w:vAlign w:val="center"/>
          </w:tcPr>
          <w:p>
            <w:pPr>
              <w:topLinePunct/>
              <w:spacing w:line="240" w:lineRule="auto"/>
              <w:ind w:right="46" w:rightChars="19" w:firstLine="0" w:firstLineChars="0"/>
              <w:jc w:val="center"/>
              <w:rPr>
                <w:sz w:val="21"/>
                <w:szCs w:val="21"/>
              </w:rPr>
            </w:pPr>
            <w:r>
              <w:rPr>
                <w:sz w:val="21"/>
                <w:szCs w:val="21"/>
              </w:rPr>
              <w:t>COD</w:t>
            </w:r>
          </w:p>
        </w:tc>
        <w:tc>
          <w:tcPr>
            <w:tcW w:w="1701" w:type="dxa"/>
            <w:vAlign w:val="center"/>
          </w:tcPr>
          <w:p>
            <w:pPr>
              <w:spacing w:line="240" w:lineRule="auto"/>
              <w:ind w:right="46" w:rightChars="19" w:firstLine="0" w:firstLineChars="0"/>
              <w:jc w:val="center"/>
              <w:rPr>
                <w:sz w:val="21"/>
                <w:szCs w:val="21"/>
              </w:rPr>
            </w:pPr>
            <w:r>
              <w:rPr>
                <w:rFonts w:hint="eastAsia"/>
                <w:sz w:val="21"/>
                <w:szCs w:val="21"/>
              </w:rPr>
              <w:t>—</w:t>
            </w:r>
          </w:p>
        </w:tc>
        <w:tc>
          <w:tcPr>
            <w:tcW w:w="1289" w:type="dxa"/>
            <w:vAlign w:val="center"/>
          </w:tcPr>
          <w:p>
            <w:pPr>
              <w:spacing w:line="240" w:lineRule="auto"/>
              <w:ind w:right="46" w:rightChars="19" w:firstLine="0" w:firstLineChars="0"/>
              <w:jc w:val="center"/>
              <w:rPr>
                <w:sz w:val="21"/>
                <w:szCs w:val="21"/>
              </w:rPr>
            </w:pPr>
            <w:r>
              <w:rPr>
                <w:rFonts w:hint="eastAsia"/>
                <w:sz w:val="21"/>
                <w:szCs w:val="21"/>
              </w:rPr>
              <w:t>—</w:t>
            </w:r>
          </w:p>
        </w:tc>
        <w:tc>
          <w:tcPr>
            <w:tcW w:w="1701" w:type="dxa"/>
            <w:vAlign w:val="center"/>
          </w:tcPr>
          <w:p>
            <w:pPr>
              <w:spacing w:line="240" w:lineRule="auto"/>
              <w:ind w:right="46" w:rightChars="19" w:firstLine="0" w:firstLineChars="0"/>
              <w:jc w:val="center"/>
              <w:rPr>
                <w:sz w:val="21"/>
                <w:szCs w:val="21"/>
              </w:rPr>
            </w:pPr>
            <w:r>
              <w:rPr>
                <w:rFonts w:hint="eastAsia"/>
                <w:sz w:val="21"/>
                <w:szCs w:val="21"/>
              </w:rPr>
              <w:t>—</w:t>
            </w:r>
          </w:p>
        </w:tc>
        <w:tc>
          <w:tcPr>
            <w:tcW w:w="1559" w:type="dxa"/>
            <w:vAlign w:val="center"/>
          </w:tcPr>
          <w:p>
            <w:pPr>
              <w:spacing w:line="240" w:lineRule="auto"/>
              <w:ind w:right="46" w:rightChars="19" w:firstLine="0" w:firstLineChars="0"/>
              <w:jc w:val="center"/>
              <w:rPr>
                <w:kern w:val="0"/>
                <w:sz w:val="21"/>
                <w:szCs w:val="21"/>
              </w:rPr>
            </w:pPr>
            <w:r>
              <w:rPr>
                <w:rFonts w:hint="eastAsia"/>
                <w:kern w:val="0"/>
                <w:sz w:val="21"/>
                <w:szCs w:val="21"/>
              </w:rPr>
              <w:t>0.61t/a</w:t>
            </w:r>
          </w:p>
        </w:tc>
        <w:tc>
          <w:tcPr>
            <w:tcW w:w="1262" w:type="dxa"/>
            <w:vAlign w:val="center"/>
          </w:tcPr>
          <w:p>
            <w:pPr>
              <w:spacing w:line="240" w:lineRule="auto"/>
              <w:ind w:right="46" w:rightChars="19" w:firstLine="0" w:firstLineChars="0"/>
              <w:jc w:val="center"/>
              <w:rPr>
                <w:sz w:val="21"/>
                <w:szCs w:val="21"/>
              </w:rPr>
            </w:pPr>
            <w:r>
              <w:rPr>
                <w:rFonts w:hint="eastAsia"/>
                <w:sz w:val="21"/>
                <w:szCs w:val="21"/>
              </w:rPr>
              <w:t>—</w:t>
            </w:r>
          </w:p>
        </w:tc>
        <w:tc>
          <w:tcPr>
            <w:tcW w:w="1843" w:type="dxa"/>
            <w:vAlign w:val="center"/>
          </w:tcPr>
          <w:p>
            <w:pPr>
              <w:spacing w:line="240" w:lineRule="auto"/>
              <w:ind w:right="46" w:rightChars="19" w:firstLine="0" w:firstLineChars="0"/>
              <w:jc w:val="center"/>
              <w:rPr>
                <w:kern w:val="0"/>
                <w:sz w:val="21"/>
                <w:szCs w:val="21"/>
              </w:rPr>
            </w:pPr>
            <w:r>
              <w:rPr>
                <w:rFonts w:hint="eastAsia"/>
                <w:kern w:val="0"/>
                <w:sz w:val="21"/>
                <w:szCs w:val="21"/>
              </w:rPr>
              <w:t>0.61t/a</w:t>
            </w:r>
          </w:p>
        </w:tc>
        <w:tc>
          <w:tcPr>
            <w:tcW w:w="1441" w:type="dxa"/>
            <w:vAlign w:val="center"/>
          </w:tcPr>
          <w:p>
            <w:pPr>
              <w:spacing w:line="240" w:lineRule="auto"/>
              <w:ind w:right="46" w:rightChars="19" w:firstLine="0" w:firstLineChars="0"/>
              <w:jc w:val="center"/>
              <w:rPr>
                <w:kern w:val="0"/>
                <w:sz w:val="21"/>
                <w:szCs w:val="21"/>
              </w:rPr>
            </w:pPr>
            <w:r>
              <w:rPr>
                <w:rFonts w:hint="eastAsia"/>
                <w:kern w:val="0"/>
                <w:sz w:val="21"/>
                <w:szCs w:val="21"/>
              </w:rPr>
              <w:t>+0.61t/a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951" w:type="dxa"/>
            <w:vMerge w:val="continue"/>
            <w:vAlign w:val="center"/>
          </w:tcPr>
          <w:p>
            <w:pPr>
              <w:spacing w:line="240" w:lineRule="auto"/>
              <w:ind w:right="46" w:rightChars="19" w:firstLine="0" w:firstLineChars="0"/>
              <w:jc w:val="center"/>
              <w:rPr>
                <w:sz w:val="21"/>
                <w:szCs w:val="21"/>
              </w:rPr>
            </w:pPr>
          </w:p>
        </w:tc>
        <w:tc>
          <w:tcPr>
            <w:tcW w:w="2410" w:type="dxa"/>
            <w:vAlign w:val="center"/>
          </w:tcPr>
          <w:p>
            <w:pPr>
              <w:topLinePunct/>
              <w:spacing w:line="240" w:lineRule="auto"/>
              <w:ind w:right="46" w:rightChars="19" w:firstLine="0" w:firstLineChars="0"/>
              <w:jc w:val="center"/>
              <w:rPr>
                <w:sz w:val="21"/>
                <w:szCs w:val="21"/>
              </w:rPr>
            </w:pPr>
            <w:r>
              <w:rPr>
                <w:sz w:val="21"/>
                <w:szCs w:val="21"/>
              </w:rPr>
              <w:t>BOD</w:t>
            </w:r>
            <w:r>
              <w:rPr>
                <w:sz w:val="21"/>
                <w:szCs w:val="21"/>
                <w:vertAlign w:val="subscript"/>
              </w:rPr>
              <w:t>5</w:t>
            </w:r>
          </w:p>
        </w:tc>
        <w:tc>
          <w:tcPr>
            <w:tcW w:w="1701" w:type="dxa"/>
            <w:vAlign w:val="center"/>
          </w:tcPr>
          <w:p>
            <w:pPr>
              <w:spacing w:line="240" w:lineRule="auto"/>
              <w:ind w:right="46" w:rightChars="19" w:firstLine="0" w:firstLineChars="0"/>
              <w:jc w:val="center"/>
              <w:rPr>
                <w:bCs/>
                <w:sz w:val="21"/>
                <w:szCs w:val="21"/>
              </w:rPr>
            </w:pPr>
            <w:r>
              <w:rPr>
                <w:rFonts w:hint="eastAsia"/>
                <w:bCs/>
                <w:sz w:val="21"/>
                <w:szCs w:val="21"/>
              </w:rPr>
              <w:t>—</w:t>
            </w:r>
          </w:p>
        </w:tc>
        <w:tc>
          <w:tcPr>
            <w:tcW w:w="1289" w:type="dxa"/>
            <w:vAlign w:val="center"/>
          </w:tcPr>
          <w:p>
            <w:pPr>
              <w:spacing w:line="240" w:lineRule="auto"/>
              <w:ind w:right="46" w:rightChars="19" w:firstLine="0" w:firstLineChars="0"/>
              <w:jc w:val="center"/>
              <w:rPr>
                <w:bCs/>
                <w:sz w:val="21"/>
                <w:szCs w:val="21"/>
              </w:rPr>
            </w:pPr>
            <w:r>
              <w:rPr>
                <w:rFonts w:hint="eastAsia"/>
                <w:bCs/>
                <w:sz w:val="21"/>
                <w:szCs w:val="21"/>
              </w:rPr>
              <w:t>—</w:t>
            </w:r>
          </w:p>
        </w:tc>
        <w:tc>
          <w:tcPr>
            <w:tcW w:w="1701" w:type="dxa"/>
            <w:vAlign w:val="center"/>
          </w:tcPr>
          <w:p>
            <w:pPr>
              <w:spacing w:line="240" w:lineRule="auto"/>
              <w:ind w:right="46" w:rightChars="19" w:firstLine="0" w:firstLineChars="0"/>
              <w:jc w:val="center"/>
              <w:rPr>
                <w:bCs/>
                <w:sz w:val="21"/>
                <w:szCs w:val="21"/>
              </w:rPr>
            </w:pPr>
            <w:r>
              <w:rPr>
                <w:rFonts w:hint="eastAsia"/>
                <w:bCs/>
                <w:sz w:val="21"/>
                <w:szCs w:val="21"/>
              </w:rPr>
              <w:t>—</w:t>
            </w:r>
          </w:p>
        </w:tc>
        <w:tc>
          <w:tcPr>
            <w:tcW w:w="1559" w:type="dxa"/>
            <w:vAlign w:val="center"/>
          </w:tcPr>
          <w:p>
            <w:pPr>
              <w:spacing w:line="240" w:lineRule="auto"/>
              <w:ind w:right="46" w:rightChars="19" w:firstLine="0" w:firstLineChars="0"/>
              <w:jc w:val="center"/>
              <w:rPr>
                <w:kern w:val="0"/>
                <w:sz w:val="21"/>
                <w:szCs w:val="21"/>
              </w:rPr>
            </w:pPr>
            <w:r>
              <w:rPr>
                <w:rFonts w:hint="eastAsia"/>
                <w:kern w:val="0"/>
                <w:sz w:val="21"/>
                <w:szCs w:val="21"/>
              </w:rPr>
              <w:t>0.25t/a</w:t>
            </w:r>
          </w:p>
        </w:tc>
        <w:tc>
          <w:tcPr>
            <w:tcW w:w="1262" w:type="dxa"/>
            <w:vAlign w:val="center"/>
          </w:tcPr>
          <w:p>
            <w:pPr>
              <w:spacing w:line="240" w:lineRule="auto"/>
              <w:ind w:right="46" w:rightChars="19" w:firstLine="0" w:firstLineChars="0"/>
              <w:jc w:val="center"/>
              <w:rPr>
                <w:bCs/>
                <w:sz w:val="21"/>
                <w:szCs w:val="21"/>
              </w:rPr>
            </w:pPr>
            <w:r>
              <w:rPr>
                <w:rFonts w:hint="eastAsia"/>
                <w:bCs/>
                <w:sz w:val="21"/>
                <w:szCs w:val="21"/>
              </w:rPr>
              <w:t>—</w:t>
            </w:r>
          </w:p>
        </w:tc>
        <w:tc>
          <w:tcPr>
            <w:tcW w:w="1843" w:type="dxa"/>
            <w:vAlign w:val="center"/>
          </w:tcPr>
          <w:p>
            <w:pPr>
              <w:spacing w:line="240" w:lineRule="auto"/>
              <w:ind w:right="46" w:rightChars="19" w:firstLine="0" w:firstLineChars="0"/>
              <w:jc w:val="center"/>
              <w:rPr>
                <w:kern w:val="0"/>
                <w:sz w:val="21"/>
                <w:szCs w:val="21"/>
              </w:rPr>
            </w:pPr>
            <w:r>
              <w:rPr>
                <w:rFonts w:hint="eastAsia"/>
                <w:kern w:val="0"/>
                <w:sz w:val="21"/>
                <w:szCs w:val="21"/>
              </w:rPr>
              <w:t>0.25t/a</w:t>
            </w:r>
          </w:p>
        </w:tc>
        <w:tc>
          <w:tcPr>
            <w:tcW w:w="1441" w:type="dxa"/>
            <w:vAlign w:val="center"/>
          </w:tcPr>
          <w:p>
            <w:pPr>
              <w:spacing w:line="240" w:lineRule="auto"/>
              <w:ind w:right="46" w:rightChars="19" w:firstLine="0" w:firstLineChars="0"/>
              <w:jc w:val="center"/>
              <w:rPr>
                <w:kern w:val="0"/>
                <w:sz w:val="21"/>
                <w:szCs w:val="21"/>
              </w:rPr>
            </w:pPr>
            <w:r>
              <w:rPr>
                <w:rFonts w:hint="eastAsia"/>
                <w:kern w:val="0"/>
                <w:sz w:val="21"/>
                <w:szCs w:val="21"/>
              </w:rPr>
              <w:t>+0.25t/a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951" w:type="dxa"/>
            <w:vMerge w:val="continue"/>
            <w:vAlign w:val="center"/>
          </w:tcPr>
          <w:p>
            <w:pPr>
              <w:spacing w:line="240" w:lineRule="auto"/>
              <w:ind w:right="46" w:rightChars="19" w:firstLine="0" w:firstLineChars="0"/>
              <w:jc w:val="center"/>
              <w:rPr>
                <w:sz w:val="21"/>
                <w:szCs w:val="21"/>
              </w:rPr>
            </w:pPr>
          </w:p>
        </w:tc>
        <w:tc>
          <w:tcPr>
            <w:tcW w:w="2410" w:type="dxa"/>
            <w:vAlign w:val="center"/>
          </w:tcPr>
          <w:p>
            <w:pPr>
              <w:topLinePunct/>
              <w:spacing w:line="240" w:lineRule="auto"/>
              <w:ind w:right="46" w:rightChars="19" w:firstLine="0" w:firstLineChars="0"/>
              <w:jc w:val="center"/>
              <w:rPr>
                <w:sz w:val="21"/>
                <w:szCs w:val="21"/>
              </w:rPr>
            </w:pPr>
            <w:r>
              <w:rPr>
                <w:sz w:val="21"/>
                <w:szCs w:val="21"/>
              </w:rPr>
              <w:t>SS</w:t>
            </w:r>
          </w:p>
        </w:tc>
        <w:tc>
          <w:tcPr>
            <w:tcW w:w="1701" w:type="dxa"/>
            <w:vAlign w:val="center"/>
          </w:tcPr>
          <w:p>
            <w:pPr>
              <w:spacing w:line="240" w:lineRule="auto"/>
              <w:ind w:right="46" w:rightChars="19" w:firstLine="0" w:firstLineChars="0"/>
              <w:jc w:val="center"/>
              <w:rPr>
                <w:bCs/>
                <w:sz w:val="21"/>
                <w:szCs w:val="21"/>
              </w:rPr>
            </w:pPr>
            <w:r>
              <w:rPr>
                <w:rFonts w:hint="eastAsia"/>
                <w:bCs/>
                <w:sz w:val="21"/>
                <w:szCs w:val="21"/>
              </w:rPr>
              <w:t>—</w:t>
            </w:r>
          </w:p>
        </w:tc>
        <w:tc>
          <w:tcPr>
            <w:tcW w:w="1289" w:type="dxa"/>
            <w:vAlign w:val="center"/>
          </w:tcPr>
          <w:p>
            <w:pPr>
              <w:spacing w:line="240" w:lineRule="auto"/>
              <w:ind w:right="46" w:rightChars="19" w:firstLine="0" w:firstLineChars="0"/>
              <w:jc w:val="center"/>
              <w:rPr>
                <w:bCs/>
                <w:sz w:val="21"/>
                <w:szCs w:val="21"/>
              </w:rPr>
            </w:pPr>
            <w:r>
              <w:rPr>
                <w:rFonts w:hint="eastAsia"/>
                <w:bCs/>
                <w:sz w:val="21"/>
                <w:szCs w:val="21"/>
              </w:rPr>
              <w:t>—</w:t>
            </w:r>
          </w:p>
        </w:tc>
        <w:tc>
          <w:tcPr>
            <w:tcW w:w="1701" w:type="dxa"/>
            <w:vAlign w:val="center"/>
          </w:tcPr>
          <w:p>
            <w:pPr>
              <w:spacing w:line="240" w:lineRule="auto"/>
              <w:ind w:right="46" w:rightChars="19" w:firstLine="0" w:firstLineChars="0"/>
              <w:jc w:val="center"/>
              <w:rPr>
                <w:bCs/>
                <w:sz w:val="21"/>
                <w:szCs w:val="21"/>
              </w:rPr>
            </w:pPr>
            <w:r>
              <w:rPr>
                <w:rFonts w:hint="eastAsia"/>
                <w:bCs/>
                <w:sz w:val="21"/>
                <w:szCs w:val="21"/>
              </w:rPr>
              <w:t>—</w:t>
            </w:r>
          </w:p>
        </w:tc>
        <w:tc>
          <w:tcPr>
            <w:tcW w:w="1559" w:type="dxa"/>
            <w:vAlign w:val="center"/>
          </w:tcPr>
          <w:p>
            <w:pPr>
              <w:spacing w:line="240" w:lineRule="auto"/>
              <w:ind w:right="46" w:rightChars="19" w:firstLine="0" w:firstLineChars="0"/>
              <w:jc w:val="center"/>
              <w:rPr>
                <w:kern w:val="0"/>
                <w:sz w:val="21"/>
                <w:szCs w:val="21"/>
              </w:rPr>
            </w:pPr>
            <w:r>
              <w:rPr>
                <w:rFonts w:hint="eastAsia"/>
                <w:kern w:val="0"/>
                <w:sz w:val="21"/>
                <w:szCs w:val="21"/>
              </w:rPr>
              <w:t>0.08t/a</w:t>
            </w:r>
          </w:p>
        </w:tc>
        <w:tc>
          <w:tcPr>
            <w:tcW w:w="1262" w:type="dxa"/>
            <w:vAlign w:val="center"/>
          </w:tcPr>
          <w:p>
            <w:pPr>
              <w:spacing w:line="240" w:lineRule="auto"/>
              <w:ind w:right="46" w:rightChars="19" w:firstLine="0" w:firstLineChars="0"/>
              <w:jc w:val="center"/>
              <w:rPr>
                <w:bCs/>
                <w:sz w:val="21"/>
                <w:szCs w:val="21"/>
              </w:rPr>
            </w:pPr>
            <w:r>
              <w:rPr>
                <w:rFonts w:hint="eastAsia"/>
                <w:bCs/>
                <w:sz w:val="21"/>
                <w:szCs w:val="21"/>
              </w:rPr>
              <w:t>—</w:t>
            </w:r>
          </w:p>
        </w:tc>
        <w:tc>
          <w:tcPr>
            <w:tcW w:w="1843" w:type="dxa"/>
            <w:vAlign w:val="center"/>
          </w:tcPr>
          <w:p>
            <w:pPr>
              <w:spacing w:line="240" w:lineRule="auto"/>
              <w:ind w:right="46" w:rightChars="19" w:firstLine="0" w:firstLineChars="0"/>
              <w:jc w:val="center"/>
              <w:rPr>
                <w:kern w:val="0"/>
                <w:sz w:val="21"/>
                <w:szCs w:val="21"/>
              </w:rPr>
            </w:pPr>
            <w:r>
              <w:rPr>
                <w:rFonts w:hint="eastAsia"/>
                <w:kern w:val="0"/>
                <w:sz w:val="21"/>
                <w:szCs w:val="21"/>
              </w:rPr>
              <w:t>0.08t/a</w:t>
            </w:r>
          </w:p>
        </w:tc>
        <w:tc>
          <w:tcPr>
            <w:tcW w:w="1441" w:type="dxa"/>
            <w:vAlign w:val="center"/>
          </w:tcPr>
          <w:p>
            <w:pPr>
              <w:spacing w:line="240" w:lineRule="auto"/>
              <w:ind w:right="46" w:rightChars="19" w:firstLine="0" w:firstLineChars="0"/>
              <w:jc w:val="center"/>
              <w:rPr>
                <w:kern w:val="0"/>
                <w:sz w:val="21"/>
                <w:szCs w:val="21"/>
              </w:rPr>
            </w:pPr>
            <w:r>
              <w:rPr>
                <w:rFonts w:hint="eastAsia"/>
                <w:kern w:val="0"/>
                <w:sz w:val="21"/>
                <w:szCs w:val="21"/>
              </w:rPr>
              <w:t>+0.08t/a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951" w:type="dxa"/>
            <w:vMerge w:val="continue"/>
            <w:vAlign w:val="center"/>
          </w:tcPr>
          <w:p>
            <w:pPr>
              <w:spacing w:line="240" w:lineRule="auto"/>
              <w:ind w:right="46" w:rightChars="19" w:firstLine="0" w:firstLineChars="0"/>
              <w:jc w:val="center"/>
              <w:rPr>
                <w:sz w:val="21"/>
                <w:szCs w:val="21"/>
              </w:rPr>
            </w:pPr>
          </w:p>
        </w:tc>
        <w:tc>
          <w:tcPr>
            <w:tcW w:w="2410" w:type="dxa"/>
            <w:vAlign w:val="center"/>
          </w:tcPr>
          <w:p>
            <w:pPr>
              <w:topLinePunct/>
              <w:spacing w:line="240" w:lineRule="auto"/>
              <w:ind w:right="46" w:rightChars="19" w:firstLine="0" w:firstLineChars="0"/>
              <w:jc w:val="center"/>
              <w:rPr>
                <w:sz w:val="21"/>
                <w:szCs w:val="21"/>
              </w:rPr>
            </w:pPr>
            <w:r>
              <w:rPr>
                <w:sz w:val="21"/>
                <w:szCs w:val="21"/>
              </w:rPr>
              <w:t>NH</w:t>
            </w:r>
            <w:r>
              <w:rPr>
                <w:sz w:val="21"/>
                <w:szCs w:val="21"/>
                <w:vertAlign w:val="subscript"/>
              </w:rPr>
              <w:t>3</w:t>
            </w:r>
            <w:r>
              <w:rPr>
                <w:sz w:val="21"/>
                <w:szCs w:val="21"/>
              </w:rPr>
              <w:t>-N</w:t>
            </w:r>
          </w:p>
        </w:tc>
        <w:tc>
          <w:tcPr>
            <w:tcW w:w="1701" w:type="dxa"/>
            <w:vAlign w:val="center"/>
          </w:tcPr>
          <w:p>
            <w:pPr>
              <w:spacing w:line="240" w:lineRule="auto"/>
              <w:ind w:right="46" w:rightChars="19" w:firstLine="0" w:firstLineChars="0"/>
              <w:jc w:val="center"/>
              <w:rPr>
                <w:sz w:val="21"/>
                <w:szCs w:val="21"/>
              </w:rPr>
            </w:pPr>
            <w:r>
              <w:rPr>
                <w:rFonts w:hint="eastAsia"/>
                <w:sz w:val="21"/>
                <w:szCs w:val="21"/>
              </w:rPr>
              <w:t>—</w:t>
            </w:r>
          </w:p>
        </w:tc>
        <w:tc>
          <w:tcPr>
            <w:tcW w:w="1289" w:type="dxa"/>
            <w:vAlign w:val="center"/>
          </w:tcPr>
          <w:p>
            <w:pPr>
              <w:spacing w:line="240" w:lineRule="auto"/>
              <w:ind w:right="46" w:rightChars="19" w:firstLine="0" w:firstLineChars="0"/>
              <w:jc w:val="center"/>
              <w:rPr>
                <w:sz w:val="21"/>
                <w:szCs w:val="21"/>
              </w:rPr>
            </w:pPr>
            <w:r>
              <w:rPr>
                <w:rFonts w:hint="eastAsia"/>
                <w:sz w:val="21"/>
                <w:szCs w:val="21"/>
              </w:rPr>
              <w:t>—</w:t>
            </w:r>
          </w:p>
        </w:tc>
        <w:tc>
          <w:tcPr>
            <w:tcW w:w="1701" w:type="dxa"/>
            <w:vAlign w:val="center"/>
          </w:tcPr>
          <w:p>
            <w:pPr>
              <w:spacing w:line="240" w:lineRule="auto"/>
              <w:ind w:right="46" w:rightChars="19" w:firstLine="0" w:firstLineChars="0"/>
              <w:jc w:val="center"/>
              <w:rPr>
                <w:sz w:val="21"/>
                <w:szCs w:val="21"/>
              </w:rPr>
            </w:pPr>
            <w:r>
              <w:rPr>
                <w:rFonts w:hint="eastAsia"/>
                <w:sz w:val="21"/>
                <w:szCs w:val="21"/>
              </w:rPr>
              <w:t>—</w:t>
            </w:r>
          </w:p>
        </w:tc>
        <w:tc>
          <w:tcPr>
            <w:tcW w:w="1559" w:type="dxa"/>
            <w:vAlign w:val="center"/>
          </w:tcPr>
          <w:p>
            <w:pPr>
              <w:spacing w:line="240" w:lineRule="auto"/>
              <w:ind w:right="46" w:rightChars="19" w:firstLine="0" w:firstLineChars="0"/>
              <w:jc w:val="center"/>
              <w:rPr>
                <w:kern w:val="0"/>
                <w:sz w:val="21"/>
                <w:szCs w:val="21"/>
              </w:rPr>
            </w:pPr>
            <w:r>
              <w:rPr>
                <w:rFonts w:hint="eastAsia"/>
                <w:kern w:val="0"/>
                <w:sz w:val="21"/>
                <w:szCs w:val="21"/>
              </w:rPr>
              <w:t>0.10t/a</w:t>
            </w:r>
          </w:p>
        </w:tc>
        <w:tc>
          <w:tcPr>
            <w:tcW w:w="1262" w:type="dxa"/>
            <w:vAlign w:val="center"/>
          </w:tcPr>
          <w:p>
            <w:pPr>
              <w:spacing w:line="240" w:lineRule="auto"/>
              <w:ind w:right="46" w:rightChars="19" w:firstLine="0" w:firstLineChars="0"/>
              <w:jc w:val="center"/>
              <w:rPr>
                <w:sz w:val="21"/>
                <w:szCs w:val="21"/>
              </w:rPr>
            </w:pPr>
            <w:r>
              <w:rPr>
                <w:rFonts w:hint="eastAsia"/>
                <w:sz w:val="21"/>
                <w:szCs w:val="21"/>
              </w:rPr>
              <w:t>—</w:t>
            </w:r>
          </w:p>
        </w:tc>
        <w:tc>
          <w:tcPr>
            <w:tcW w:w="1843" w:type="dxa"/>
            <w:vAlign w:val="center"/>
          </w:tcPr>
          <w:p>
            <w:pPr>
              <w:spacing w:line="240" w:lineRule="auto"/>
              <w:ind w:right="46" w:rightChars="19" w:firstLine="0" w:firstLineChars="0"/>
              <w:jc w:val="center"/>
              <w:rPr>
                <w:kern w:val="0"/>
                <w:sz w:val="21"/>
                <w:szCs w:val="21"/>
              </w:rPr>
            </w:pPr>
            <w:r>
              <w:rPr>
                <w:rFonts w:hint="eastAsia"/>
                <w:kern w:val="0"/>
                <w:sz w:val="21"/>
                <w:szCs w:val="21"/>
              </w:rPr>
              <w:t>0.10t/a</w:t>
            </w:r>
          </w:p>
        </w:tc>
        <w:tc>
          <w:tcPr>
            <w:tcW w:w="1441" w:type="dxa"/>
            <w:vAlign w:val="center"/>
          </w:tcPr>
          <w:p>
            <w:pPr>
              <w:spacing w:line="240" w:lineRule="auto"/>
              <w:ind w:right="46" w:rightChars="19" w:firstLine="0" w:firstLineChars="0"/>
              <w:jc w:val="center"/>
              <w:rPr>
                <w:kern w:val="0"/>
                <w:sz w:val="21"/>
                <w:szCs w:val="21"/>
              </w:rPr>
            </w:pPr>
            <w:r>
              <w:rPr>
                <w:rFonts w:hint="eastAsia"/>
                <w:kern w:val="0"/>
                <w:sz w:val="21"/>
                <w:szCs w:val="21"/>
              </w:rPr>
              <w:t>+0.10t/a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951" w:type="dxa"/>
            <w:vMerge w:val="continue"/>
            <w:vAlign w:val="center"/>
          </w:tcPr>
          <w:p>
            <w:pPr>
              <w:spacing w:line="240" w:lineRule="auto"/>
              <w:ind w:right="46" w:rightChars="19" w:firstLine="0" w:firstLineChars="0"/>
              <w:jc w:val="center"/>
              <w:rPr>
                <w:sz w:val="21"/>
                <w:szCs w:val="21"/>
              </w:rPr>
            </w:pPr>
          </w:p>
        </w:tc>
        <w:tc>
          <w:tcPr>
            <w:tcW w:w="2410" w:type="dxa"/>
            <w:vAlign w:val="center"/>
          </w:tcPr>
          <w:p>
            <w:pPr>
              <w:topLinePunct/>
              <w:spacing w:line="240" w:lineRule="auto"/>
              <w:ind w:right="46" w:rightChars="19" w:firstLine="0" w:firstLineChars="0"/>
              <w:jc w:val="center"/>
              <w:rPr>
                <w:sz w:val="21"/>
                <w:szCs w:val="21"/>
              </w:rPr>
            </w:pPr>
            <w:r>
              <w:rPr>
                <w:sz w:val="21"/>
                <w:szCs w:val="21"/>
              </w:rPr>
              <w:t>TP</w:t>
            </w:r>
          </w:p>
        </w:tc>
        <w:tc>
          <w:tcPr>
            <w:tcW w:w="1701" w:type="dxa"/>
            <w:vAlign w:val="center"/>
          </w:tcPr>
          <w:p>
            <w:pPr>
              <w:spacing w:line="240" w:lineRule="auto"/>
              <w:ind w:right="46" w:rightChars="19" w:firstLine="0" w:firstLineChars="0"/>
              <w:jc w:val="center"/>
              <w:rPr>
                <w:sz w:val="21"/>
                <w:szCs w:val="21"/>
              </w:rPr>
            </w:pPr>
            <w:r>
              <w:rPr>
                <w:rFonts w:hint="eastAsia"/>
                <w:sz w:val="21"/>
                <w:szCs w:val="21"/>
              </w:rPr>
              <w:t>—</w:t>
            </w:r>
          </w:p>
        </w:tc>
        <w:tc>
          <w:tcPr>
            <w:tcW w:w="1289" w:type="dxa"/>
            <w:vAlign w:val="center"/>
          </w:tcPr>
          <w:p>
            <w:pPr>
              <w:spacing w:line="240" w:lineRule="auto"/>
              <w:ind w:right="46" w:rightChars="19" w:firstLine="0" w:firstLineChars="0"/>
              <w:jc w:val="center"/>
              <w:rPr>
                <w:sz w:val="21"/>
                <w:szCs w:val="21"/>
              </w:rPr>
            </w:pPr>
            <w:r>
              <w:rPr>
                <w:rFonts w:hint="eastAsia"/>
                <w:sz w:val="21"/>
                <w:szCs w:val="21"/>
              </w:rPr>
              <w:t>—</w:t>
            </w:r>
          </w:p>
        </w:tc>
        <w:tc>
          <w:tcPr>
            <w:tcW w:w="1701" w:type="dxa"/>
            <w:vAlign w:val="center"/>
          </w:tcPr>
          <w:p>
            <w:pPr>
              <w:spacing w:line="240" w:lineRule="auto"/>
              <w:ind w:right="46" w:rightChars="19" w:firstLine="0" w:firstLineChars="0"/>
              <w:jc w:val="center"/>
              <w:rPr>
                <w:sz w:val="21"/>
                <w:szCs w:val="21"/>
              </w:rPr>
            </w:pPr>
            <w:r>
              <w:rPr>
                <w:rFonts w:hint="eastAsia"/>
                <w:sz w:val="21"/>
                <w:szCs w:val="21"/>
              </w:rPr>
              <w:t>—</w:t>
            </w:r>
          </w:p>
        </w:tc>
        <w:tc>
          <w:tcPr>
            <w:tcW w:w="1559" w:type="dxa"/>
            <w:vAlign w:val="center"/>
          </w:tcPr>
          <w:p>
            <w:pPr>
              <w:spacing w:line="240" w:lineRule="auto"/>
              <w:ind w:right="46" w:rightChars="19" w:firstLine="0" w:firstLineChars="0"/>
              <w:jc w:val="center"/>
              <w:rPr>
                <w:kern w:val="0"/>
                <w:sz w:val="21"/>
                <w:szCs w:val="21"/>
              </w:rPr>
            </w:pPr>
            <w:r>
              <w:rPr>
                <w:rFonts w:hint="eastAsia"/>
                <w:kern w:val="0"/>
                <w:sz w:val="21"/>
                <w:szCs w:val="21"/>
              </w:rPr>
              <w:t>0.01t/a</w:t>
            </w:r>
          </w:p>
        </w:tc>
        <w:tc>
          <w:tcPr>
            <w:tcW w:w="1262" w:type="dxa"/>
            <w:vAlign w:val="center"/>
          </w:tcPr>
          <w:p>
            <w:pPr>
              <w:spacing w:line="240" w:lineRule="auto"/>
              <w:ind w:right="46" w:rightChars="19" w:firstLine="0" w:firstLineChars="0"/>
              <w:jc w:val="center"/>
              <w:rPr>
                <w:sz w:val="21"/>
                <w:szCs w:val="21"/>
              </w:rPr>
            </w:pPr>
            <w:r>
              <w:rPr>
                <w:rFonts w:hint="eastAsia"/>
                <w:sz w:val="21"/>
                <w:szCs w:val="21"/>
              </w:rPr>
              <w:t>—</w:t>
            </w:r>
          </w:p>
        </w:tc>
        <w:tc>
          <w:tcPr>
            <w:tcW w:w="1843" w:type="dxa"/>
            <w:vAlign w:val="center"/>
          </w:tcPr>
          <w:p>
            <w:pPr>
              <w:spacing w:line="240" w:lineRule="auto"/>
              <w:ind w:right="46" w:rightChars="19" w:firstLine="0" w:firstLineChars="0"/>
              <w:jc w:val="center"/>
              <w:rPr>
                <w:kern w:val="0"/>
                <w:sz w:val="21"/>
                <w:szCs w:val="21"/>
              </w:rPr>
            </w:pPr>
            <w:r>
              <w:rPr>
                <w:rFonts w:hint="eastAsia"/>
                <w:kern w:val="0"/>
                <w:sz w:val="21"/>
                <w:szCs w:val="21"/>
              </w:rPr>
              <w:t>0.01t/a</w:t>
            </w:r>
          </w:p>
        </w:tc>
        <w:tc>
          <w:tcPr>
            <w:tcW w:w="1441" w:type="dxa"/>
            <w:vAlign w:val="center"/>
          </w:tcPr>
          <w:p>
            <w:pPr>
              <w:spacing w:line="240" w:lineRule="auto"/>
              <w:ind w:right="46" w:rightChars="19" w:firstLine="0" w:firstLineChars="0"/>
              <w:jc w:val="center"/>
              <w:rPr>
                <w:kern w:val="0"/>
                <w:sz w:val="21"/>
                <w:szCs w:val="21"/>
              </w:rPr>
            </w:pPr>
            <w:r>
              <w:rPr>
                <w:rFonts w:hint="eastAsia"/>
                <w:kern w:val="0"/>
                <w:sz w:val="21"/>
                <w:szCs w:val="21"/>
              </w:rPr>
              <w:t>+0.01t/a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951" w:type="dxa"/>
            <w:vMerge w:val="continue"/>
            <w:vAlign w:val="center"/>
          </w:tcPr>
          <w:p>
            <w:pPr>
              <w:spacing w:line="240" w:lineRule="auto"/>
              <w:ind w:right="46" w:rightChars="19" w:firstLine="0" w:firstLineChars="0"/>
              <w:jc w:val="center"/>
              <w:rPr>
                <w:sz w:val="21"/>
                <w:szCs w:val="21"/>
              </w:rPr>
            </w:pPr>
          </w:p>
        </w:tc>
        <w:tc>
          <w:tcPr>
            <w:tcW w:w="2410" w:type="dxa"/>
            <w:vAlign w:val="center"/>
          </w:tcPr>
          <w:p>
            <w:pPr>
              <w:topLinePunct/>
              <w:spacing w:line="240" w:lineRule="auto"/>
              <w:ind w:right="46" w:rightChars="19" w:firstLine="0" w:firstLineChars="0"/>
              <w:jc w:val="center"/>
              <w:rPr>
                <w:sz w:val="21"/>
                <w:szCs w:val="21"/>
              </w:rPr>
            </w:pPr>
            <w:r>
              <w:rPr>
                <w:sz w:val="21"/>
                <w:szCs w:val="21"/>
              </w:rPr>
              <w:t>TN</w:t>
            </w:r>
          </w:p>
        </w:tc>
        <w:tc>
          <w:tcPr>
            <w:tcW w:w="1701" w:type="dxa"/>
            <w:vAlign w:val="center"/>
          </w:tcPr>
          <w:p>
            <w:pPr>
              <w:spacing w:line="240" w:lineRule="auto"/>
              <w:ind w:right="46" w:rightChars="19" w:firstLine="0" w:firstLineChars="0"/>
              <w:jc w:val="center"/>
              <w:rPr>
                <w:bCs/>
                <w:sz w:val="21"/>
                <w:szCs w:val="21"/>
              </w:rPr>
            </w:pPr>
            <w:r>
              <w:rPr>
                <w:rFonts w:hint="eastAsia"/>
                <w:bCs/>
                <w:sz w:val="21"/>
                <w:szCs w:val="21"/>
              </w:rPr>
              <w:t>—</w:t>
            </w:r>
          </w:p>
        </w:tc>
        <w:tc>
          <w:tcPr>
            <w:tcW w:w="1289" w:type="dxa"/>
            <w:vAlign w:val="center"/>
          </w:tcPr>
          <w:p>
            <w:pPr>
              <w:spacing w:line="240" w:lineRule="auto"/>
              <w:ind w:right="46" w:rightChars="19" w:firstLine="0" w:firstLineChars="0"/>
              <w:jc w:val="center"/>
              <w:rPr>
                <w:bCs/>
                <w:sz w:val="21"/>
                <w:szCs w:val="21"/>
              </w:rPr>
            </w:pPr>
            <w:r>
              <w:rPr>
                <w:rFonts w:hint="eastAsia"/>
                <w:bCs/>
                <w:sz w:val="21"/>
                <w:szCs w:val="21"/>
              </w:rPr>
              <w:t>—</w:t>
            </w:r>
          </w:p>
        </w:tc>
        <w:tc>
          <w:tcPr>
            <w:tcW w:w="1701" w:type="dxa"/>
            <w:vAlign w:val="center"/>
          </w:tcPr>
          <w:p>
            <w:pPr>
              <w:spacing w:line="240" w:lineRule="auto"/>
              <w:ind w:right="46" w:rightChars="19" w:firstLine="0" w:firstLineChars="0"/>
              <w:jc w:val="center"/>
              <w:rPr>
                <w:bCs/>
                <w:sz w:val="21"/>
                <w:szCs w:val="21"/>
              </w:rPr>
            </w:pPr>
            <w:r>
              <w:rPr>
                <w:rFonts w:hint="eastAsia"/>
                <w:bCs/>
                <w:sz w:val="21"/>
                <w:szCs w:val="21"/>
              </w:rPr>
              <w:t>—</w:t>
            </w:r>
          </w:p>
        </w:tc>
        <w:tc>
          <w:tcPr>
            <w:tcW w:w="1559" w:type="dxa"/>
            <w:vAlign w:val="center"/>
          </w:tcPr>
          <w:p>
            <w:pPr>
              <w:spacing w:line="240" w:lineRule="auto"/>
              <w:ind w:right="46" w:rightChars="19" w:firstLine="0" w:firstLineChars="0"/>
              <w:jc w:val="center"/>
              <w:rPr>
                <w:kern w:val="0"/>
                <w:sz w:val="21"/>
                <w:szCs w:val="21"/>
              </w:rPr>
            </w:pPr>
            <w:r>
              <w:rPr>
                <w:rFonts w:hint="eastAsia"/>
                <w:kern w:val="0"/>
                <w:sz w:val="21"/>
                <w:szCs w:val="21"/>
              </w:rPr>
              <w:t>0.11t/a</w:t>
            </w:r>
          </w:p>
        </w:tc>
        <w:tc>
          <w:tcPr>
            <w:tcW w:w="1262" w:type="dxa"/>
            <w:vAlign w:val="center"/>
          </w:tcPr>
          <w:p>
            <w:pPr>
              <w:spacing w:line="240" w:lineRule="auto"/>
              <w:ind w:right="46" w:rightChars="19" w:firstLine="0" w:firstLineChars="0"/>
              <w:jc w:val="center"/>
              <w:rPr>
                <w:bCs/>
                <w:sz w:val="21"/>
                <w:szCs w:val="21"/>
              </w:rPr>
            </w:pPr>
            <w:r>
              <w:rPr>
                <w:rFonts w:hint="eastAsia"/>
                <w:bCs/>
                <w:sz w:val="21"/>
                <w:szCs w:val="21"/>
              </w:rPr>
              <w:t>—</w:t>
            </w:r>
          </w:p>
        </w:tc>
        <w:tc>
          <w:tcPr>
            <w:tcW w:w="1843" w:type="dxa"/>
            <w:vAlign w:val="center"/>
          </w:tcPr>
          <w:p>
            <w:pPr>
              <w:spacing w:line="240" w:lineRule="auto"/>
              <w:ind w:right="46" w:rightChars="19" w:firstLine="0" w:firstLineChars="0"/>
              <w:jc w:val="center"/>
              <w:rPr>
                <w:kern w:val="0"/>
                <w:sz w:val="21"/>
                <w:szCs w:val="21"/>
              </w:rPr>
            </w:pPr>
            <w:r>
              <w:rPr>
                <w:rFonts w:hint="eastAsia"/>
                <w:kern w:val="0"/>
                <w:sz w:val="21"/>
                <w:szCs w:val="21"/>
              </w:rPr>
              <w:t>0.11t/a</w:t>
            </w:r>
          </w:p>
        </w:tc>
        <w:tc>
          <w:tcPr>
            <w:tcW w:w="1441" w:type="dxa"/>
            <w:vAlign w:val="center"/>
          </w:tcPr>
          <w:p>
            <w:pPr>
              <w:spacing w:line="240" w:lineRule="auto"/>
              <w:ind w:right="46" w:rightChars="19" w:firstLine="0" w:firstLineChars="0"/>
              <w:jc w:val="center"/>
              <w:rPr>
                <w:kern w:val="0"/>
                <w:sz w:val="21"/>
                <w:szCs w:val="21"/>
              </w:rPr>
            </w:pPr>
            <w:r>
              <w:rPr>
                <w:rFonts w:hint="eastAsia"/>
                <w:kern w:val="0"/>
                <w:sz w:val="21"/>
                <w:szCs w:val="21"/>
              </w:rPr>
              <w:t>+0.11t/a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951" w:type="dxa"/>
            <w:vMerge w:val="continue"/>
            <w:vAlign w:val="center"/>
          </w:tcPr>
          <w:p>
            <w:pPr>
              <w:spacing w:line="240" w:lineRule="auto"/>
              <w:ind w:right="46" w:rightChars="19" w:firstLine="0" w:firstLineChars="0"/>
              <w:jc w:val="center"/>
              <w:rPr>
                <w:sz w:val="21"/>
                <w:szCs w:val="21"/>
              </w:rPr>
            </w:pPr>
          </w:p>
        </w:tc>
        <w:tc>
          <w:tcPr>
            <w:tcW w:w="2410" w:type="dxa"/>
            <w:vAlign w:val="center"/>
          </w:tcPr>
          <w:p>
            <w:pPr>
              <w:topLinePunct/>
              <w:spacing w:line="240" w:lineRule="auto"/>
              <w:ind w:right="46" w:rightChars="19" w:firstLine="0" w:firstLineChars="0"/>
              <w:jc w:val="center"/>
              <w:rPr>
                <w:sz w:val="21"/>
                <w:szCs w:val="21"/>
              </w:rPr>
            </w:pPr>
            <w:r>
              <w:rPr>
                <w:rFonts w:hint="eastAsia"/>
                <w:sz w:val="21"/>
                <w:szCs w:val="21"/>
              </w:rPr>
              <w:t>LAS</w:t>
            </w:r>
          </w:p>
        </w:tc>
        <w:tc>
          <w:tcPr>
            <w:tcW w:w="1701" w:type="dxa"/>
            <w:vAlign w:val="center"/>
          </w:tcPr>
          <w:p>
            <w:pPr>
              <w:spacing w:line="240" w:lineRule="auto"/>
              <w:ind w:right="46" w:rightChars="19" w:firstLine="0" w:firstLineChars="0"/>
              <w:jc w:val="center"/>
              <w:rPr>
                <w:sz w:val="21"/>
                <w:szCs w:val="21"/>
              </w:rPr>
            </w:pPr>
            <w:r>
              <w:rPr>
                <w:rFonts w:hint="eastAsia"/>
                <w:sz w:val="21"/>
                <w:szCs w:val="21"/>
              </w:rPr>
              <w:t>—</w:t>
            </w:r>
          </w:p>
        </w:tc>
        <w:tc>
          <w:tcPr>
            <w:tcW w:w="1289" w:type="dxa"/>
            <w:vAlign w:val="center"/>
          </w:tcPr>
          <w:p>
            <w:pPr>
              <w:spacing w:line="240" w:lineRule="auto"/>
              <w:ind w:right="46" w:rightChars="19" w:firstLine="0" w:firstLineChars="0"/>
              <w:jc w:val="center"/>
              <w:rPr>
                <w:sz w:val="21"/>
                <w:szCs w:val="21"/>
              </w:rPr>
            </w:pPr>
            <w:r>
              <w:rPr>
                <w:rFonts w:hint="eastAsia"/>
                <w:sz w:val="21"/>
                <w:szCs w:val="21"/>
              </w:rPr>
              <w:t>—</w:t>
            </w:r>
          </w:p>
        </w:tc>
        <w:tc>
          <w:tcPr>
            <w:tcW w:w="1701" w:type="dxa"/>
            <w:vAlign w:val="center"/>
          </w:tcPr>
          <w:p>
            <w:pPr>
              <w:spacing w:line="240" w:lineRule="auto"/>
              <w:ind w:right="46" w:rightChars="19" w:firstLine="0" w:firstLineChars="0"/>
              <w:jc w:val="center"/>
              <w:rPr>
                <w:sz w:val="21"/>
                <w:szCs w:val="21"/>
              </w:rPr>
            </w:pPr>
            <w:r>
              <w:rPr>
                <w:rFonts w:hint="eastAsia"/>
                <w:sz w:val="21"/>
                <w:szCs w:val="21"/>
              </w:rPr>
              <w:t>—</w:t>
            </w:r>
          </w:p>
        </w:tc>
        <w:tc>
          <w:tcPr>
            <w:tcW w:w="1559" w:type="dxa"/>
            <w:vAlign w:val="center"/>
          </w:tcPr>
          <w:p>
            <w:pPr>
              <w:spacing w:line="240" w:lineRule="auto"/>
              <w:ind w:right="46" w:rightChars="19" w:firstLine="0" w:firstLineChars="0"/>
              <w:jc w:val="center"/>
              <w:rPr>
                <w:kern w:val="0"/>
                <w:sz w:val="21"/>
                <w:szCs w:val="21"/>
              </w:rPr>
            </w:pPr>
            <w:r>
              <w:rPr>
                <w:rFonts w:hint="eastAsia"/>
                <w:kern w:val="0"/>
                <w:sz w:val="21"/>
                <w:szCs w:val="21"/>
              </w:rPr>
              <w:t>0.02t/a</w:t>
            </w:r>
          </w:p>
        </w:tc>
        <w:tc>
          <w:tcPr>
            <w:tcW w:w="1262" w:type="dxa"/>
            <w:vAlign w:val="center"/>
          </w:tcPr>
          <w:p>
            <w:pPr>
              <w:spacing w:line="240" w:lineRule="auto"/>
              <w:ind w:right="46" w:rightChars="19" w:firstLine="0" w:firstLineChars="0"/>
              <w:jc w:val="center"/>
              <w:rPr>
                <w:sz w:val="21"/>
                <w:szCs w:val="21"/>
              </w:rPr>
            </w:pPr>
            <w:r>
              <w:rPr>
                <w:rFonts w:hint="eastAsia"/>
                <w:sz w:val="21"/>
                <w:szCs w:val="21"/>
              </w:rPr>
              <w:t>—</w:t>
            </w:r>
          </w:p>
        </w:tc>
        <w:tc>
          <w:tcPr>
            <w:tcW w:w="1843" w:type="dxa"/>
            <w:vAlign w:val="center"/>
          </w:tcPr>
          <w:p>
            <w:pPr>
              <w:spacing w:line="240" w:lineRule="auto"/>
              <w:ind w:right="46" w:rightChars="19" w:firstLine="0" w:firstLineChars="0"/>
              <w:jc w:val="center"/>
              <w:rPr>
                <w:kern w:val="0"/>
                <w:sz w:val="21"/>
                <w:szCs w:val="21"/>
              </w:rPr>
            </w:pPr>
            <w:r>
              <w:rPr>
                <w:rFonts w:hint="eastAsia"/>
                <w:kern w:val="0"/>
                <w:sz w:val="21"/>
                <w:szCs w:val="21"/>
              </w:rPr>
              <w:t>0.02t/a</w:t>
            </w:r>
          </w:p>
        </w:tc>
        <w:tc>
          <w:tcPr>
            <w:tcW w:w="1441" w:type="dxa"/>
            <w:vAlign w:val="center"/>
          </w:tcPr>
          <w:p>
            <w:pPr>
              <w:spacing w:line="240" w:lineRule="auto"/>
              <w:ind w:right="46" w:rightChars="19" w:firstLine="0" w:firstLineChars="0"/>
              <w:jc w:val="center"/>
              <w:rPr>
                <w:kern w:val="0"/>
                <w:sz w:val="21"/>
                <w:szCs w:val="21"/>
              </w:rPr>
            </w:pPr>
            <w:r>
              <w:rPr>
                <w:rFonts w:hint="eastAsia"/>
                <w:kern w:val="0"/>
                <w:sz w:val="21"/>
                <w:szCs w:val="21"/>
              </w:rPr>
              <w:t>+0.02t/a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951" w:type="dxa"/>
            <w:vMerge w:val="continue"/>
            <w:vAlign w:val="center"/>
          </w:tcPr>
          <w:p>
            <w:pPr>
              <w:spacing w:line="240" w:lineRule="auto"/>
              <w:ind w:right="46" w:rightChars="19" w:firstLine="0" w:firstLineChars="0"/>
              <w:jc w:val="center"/>
              <w:rPr>
                <w:sz w:val="21"/>
                <w:szCs w:val="21"/>
              </w:rPr>
            </w:pPr>
          </w:p>
        </w:tc>
        <w:tc>
          <w:tcPr>
            <w:tcW w:w="2410" w:type="dxa"/>
            <w:vAlign w:val="center"/>
          </w:tcPr>
          <w:p>
            <w:pPr>
              <w:topLinePunct/>
              <w:spacing w:line="240" w:lineRule="auto"/>
              <w:ind w:right="46" w:rightChars="19" w:firstLine="0" w:firstLineChars="0"/>
              <w:jc w:val="center"/>
              <w:rPr>
                <w:sz w:val="21"/>
                <w:szCs w:val="21"/>
              </w:rPr>
            </w:pPr>
            <w:r>
              <w:rPr>
                <w:rFonts w:hint="eastAsia"/>
                <w:sz w:val="21"/>
                <w:szCs w:val="21"/>
              </w:rPr>
              <w:t>挥发酚</w:t>
            </w:r>
          </w:p>
        </w:tc>
        <w:tc>
          <w:tcPr>
            <w:tcW w:w="1701" w:type="dxa"/>
            <w:vAlign w:val="center"/>
          </w:tcPr>
          <w:p>
            <w:pPr>
              <w:spacing w:line="240" w:lineRule="auto"/>
              <w:ind w:right="46" w:rightChars="19" w:firstLine="0" w:firstLineChars="0"/>
              <w:jc w:val="center"/>
              <w:rPr>
                <w:bCs/>
                <w:sz w:val="21"/>
                <w:szCs w:val="21"/>
              </w:rPr>
            </w:pPr>
            <w:r>
              <w:rPr>
                <w:rFonts w:hint="eastAsia"/>
                <w:bCs/>
                <w:sz w:val="21"/>
                <w:szCs w:val="21"/>
              </w:rPr>
              <w:t>—</w:t>
            </w:r>
          </w:p>
        </w:tc>
        <w:tc>
          <w:tcPr>
            <w:tcW w:w="1289" w:type="dxa"/>
            <w:vAlign w:val="center"/>
          </w:tcPr>
          <w:p>
            <w:pPr>
              <w:spacing w:line="240" w:lineRule="auto"/>
              <w:ind w:right="46" w:rightChars="19" w:firstLine="0" w:firstLineChars="0"/>
              <w:jc w:val="center"/>
              <w:rPr>
                <w:bCs/>
                <w:sz w:val="21"/>
                <w:szCs w:val="21"/>
              </w:rPr>
            </w:pPr>
            <w:r>
              <w:rPr>
                <w:rFonts w:hint="eastAsia"/>
                <w:bCs/>
                <w:sz w:val="21"/>
                <w:szCs w:val="21"/>
              </w:rPr>
              <w:t>—</w:t>
            </w:r>
          </w:p>
        </w:tc>
        <w:tc>
          <w:tcPr>
            <w:tcW w:w="1701" w:type="dxa"/>
            <w:vAlign w:val="center"/>
          </w:tcPr>
          <w:p>
            <w:pPr>
              <w:spacing w:line="240" w:lineRule="auto"/>
              <w:ind w:right="46" w:rightChars="19" w:firstLine="0" w:firstLineChars="0"/>
              <w:jc w:val="center"/>
              <w:rPr>
                <w:bCs/>
                <w:sz w:val="21"/>
                <w:szCs w:val="21"/>
              </w:rPr>
            </w:pPr>
            <w:r>
              <w:rPr>
                <w:rFonts w:hint="eastAsia"/>
                <w:bCs/>
                <w:sz w:val="21"/>
                <w:szCs w:val="21"/>
              </w:rPr>
              <w:t>—</w:t>
            </w:r>
          </w:p>
        </w:tc>
        <w:tc>
          <w:tcPr>
            <w:tcW w:w="1559" w:type="dxa"/>
            <w:vAlign w:val="center"/>
          </w:tcPr>
          <w:p>
            <w:pPr>
              <w:spacing w:line="240" w:lineRule="auto"/>
              <w:ind w:right="46" w:rightChars="19" w:firstLine="0" w:firstLineChars="0"/>
              <w:jc w:val="center"/>
              <w:rPr>
                <w:kern w:val="0"/>
                <w:sz w:val="21"/>
                <w:szCs w:val="21"/>
              </w:rPr>
            </w:pPr>
            <w:r>
              <w:rPr>
                <w:rFonts w:hint="eastAsia"/>
                <w:kern w:val="0"/>
                <w:sz w:val="21"/>
                <w:szCs w:val="21"/>
              </w:rPr>
              <w:t>0.0001t/a</w:t>
            </w:r>
          </w:p>
        </w:tc>
        <w:tc>
          <w:tcPr>
            <w:tcW w:w="1262" w:type="dxa"/>
            <w:vAlign w:val="center"/>
          </w:tcPr>
          <w:p>
            <w:pPr>
              <w:spacing w:line="240" w:lineRule="auto"/>
              <w:ind w:right="46" w:rightChars="19" w:firstLine="0" w:firstLineChars="0"/>
              <w:jc w:val="center"/>
              <w:rPr>
                <w:sz w:val="21"/>
                <w:szCs w:val="21"/>
              </w:rPr>
            </w:pPr>
          </w:p>
        </w:tc>
        <w:tc>
          <w:tcPr>
            <w:tcW w:w="1843" w:type="dxa"/>
            <w:vAlign w:val="center"/>
          </w:tcPr>
          <w:p>
            <w:pPr>
              <w:spacing w:line="240" w:lineRule="auto"/>
              <w:ind w:right="46" w:rightChars="19" w:firstLine="0" w:firstLineChars="0"/>
              <w:jc w:val="center"/>
              <w:rPr>
                <w:kern w:val="0"/>
                <w:sz w:val="21"/>
                <w:szCs w:val="21"/>
              </w:rPr>
            </w:pPr>
            <w:r>
              <w:rPr>
                <w:rFonts w:hint="eastAsia"/>
                <w:kern w:val="0"/>
                <w:sz w:val="21"/>
                <w:szCs w:val="21"/>
              </w:rPr>
              <w:t>0.0001t/a</w:t>
            </w:r>
          </w:p>
        </w:tc>
        <w:tc>
          <w:tcPr>
            <w:tcW w:w="1441" w:type="dxa"/>
            <w:vAlign w:val="center"/>
          </w:tcPr>
          <w:p>
            <w:pPr>
              <w:spacing w:line="240" w:lineRule="auto"/>
              <w:ind w:right="46" w:rightChars="19" w:firstLine="0" w:firstLineChars="0"/>
              <w:jc w:val="center"/>
              <w:rPr>
                <w:kern w:val="0"/>
                <w:sz w:val="21"/>
                <w:szCs w:val="21"/>
              </w:rPr>
            </w:pPr>
            <w:r>
              <w:rPr>
                <w:rFonts w:hint="eastAsia"/>
                <w:kern w:val="0"/>
                <w:sz w:val="21"/>
                <w:szCs w:val="21"/>
              </w:rPr>
              <w:t>+0.0001t/a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951" w:type="dxa"/>
            <w:vMerge w:val="restart"/>
            <w:vAlign w:val="center"/>
          </w:tcPr>
          <w:p>
            <w:pPr>
              <w:spacing w:line="240" w:lineRule="auto"/>
              <w:ind w:right="46" w:rightChars="19" w:firstLine="0" w:firstLineChars="0"/>
              <w:jc w:val="center"/>
              <w:rPr>
                <w:sz w:val="21"/>
                <w:szCs w:val="21"/>
              </w:rPr>
            </w:pPr>
            <w:r>
              <w:rPr>
                <w:sz w:val="21"/>
                <w:szCs w:val="21"/>
              </w:rPr>
              <w:t>一般工业</w:t>
            </w:r>
          </w:p>
          <w:p>
            <w:pPr>
              <w:spacing w:line="240" w:lineRule="auto"/>
              <w:ind w:right="46" w:rightChars="19" w:firstLine="0" w:firstLineChars="0"/>
              <w:jc w:val="center"/>
              <w:rPr>
                <w:sz w:val="21"/>
                <w:szCs w:val="21"/>
              </w:rPr>
            </w:pPr>
            <w:r>
              <w:rPr>
                <w:sz w:val="21"/>
                <w:szCs w:val="21"/>
              </w:rPr>
              <w:t>固体废物</w:t>
            </w:r>
          </w:p>
        </w:tc>
        <w:tc>
          <w:tcPr>
            <w:tcW w:w="2410" w:type="dxa"/>
            <w:vAlign w:val="center"/>
          </w:tcPr>
          <w:p>
            <w:pPr>
              <w:pStyle w:val="28"/>
              <w:spacing w:line="240" w:lineRule="auto"/>
              <w:ind w:right="46" w:rightChars="19"/>
              <w:rPr>
                <w:szCs w:val="21"/>
              </w:rPr>
            </w:pPr>
            <w:r>
              <w:rPr>
                <w:rFonts w:hint="eastAsia"/>
                <w:szCs w:val="21"/>
              </w:rPr>
              <w:t>生活垃圾</w:t>
            </w:r>
          </w:p>
        </w:tc>
        <w:tc>
          <w:tcPr>
            <w:tcW w:w="1701" w:type="dxa"/>
            <w:vAlign w:val="center"/>
          </w:tcPr>
          <w:p>
            <w:pPr>
              <w:spacing w:line="240" w:lineRule="auto"/>
              <w:ind w:right="46" w:rightChars="19" w:firstLine="0" w:firstLineChars="0"/>
              <w:jc w:val="center"/>
              <w:rPr>
                <w:bCs/>
                <w:sz w:val="21"/>
                <w:szCs w:val="21"/>
              </w:rPr>
            </w:pPr>
            <w:r>
              <w:rPr>
                <w:rFonts w:hint="eastAsia"/>
                <w:bCs/>
                <w:sz w:val="21"/>
                <w:szCs w:val="21"/>
              </w:rPr>
              <w:t>—</w:t>
            </w:r>
          </w:p>
        </w:tc>
        <w:tc>
          <w:tcPr>
            <w:tcW w:w="1289" w:type="dxa"/>
            <w:vAlign w:val="center"/>
          </w:tcPr>
          <w:p>
            <w:pPr>
              <w:spacing w:line="240" w:lineRule="auto"/>
              <w:ind w:right="46" w:rightChars="19" w:firstLine="0" w:firstLineChars="0"/>
              <w:jc w:val="center"/>
              <w:rPr>
                <w:bCs/>
                <w:sz w:val="21"/>
                <w:szCs w:val="21"/>
              </w:rPr>
            </w:pPr>
            <w:r>
              <w:rPr>
                <w:rFonts w:hint="eastAsia"/>
                <w:bCs/>
                <w:sz w:val="21"/>
                <w:szCs w:val="21"/>
              </w:rPr>
              <w:t>—</w:t>
            </w:r>
          </w:p>
        </w:tc>
        <w:tc>
          <w:tcPr>
            <w:tcW w:w="1701" w:type="dxa"/>
            <w:vAlign w:val="center"/>
          </w:tcPr>
          <w:p>
            <w:pPr>
              <w:spacing w:line="240" w:lineRule="auto"/>
              <w:ind w:right="46" w:rightChars="19" w:firstLine="0" w:firstLineChars="0"/>
              <w:jc w:val="center"/>
              <w:rPr>
                <w:bCs/>
                <w:sz w:val="21"/>
                <w:szCs w:val="21"/>
              </w:rPr>
            </w:pPr>
            <w:r>
              <w:rPr>
                <w:rFonts w:hint="eastAsia"/>
                <w:bCs/>
                <w:sz w:val="21"/>
                <w:szCs w:val="21"/>
              </w:rPr>
              <w:t>—</w:t>
            </w:r>
          </w:p>
        </w:tc>
        <w:tc>
          <w:tcPr>
            <w:tcW w:w="1559" w:type="dxa"/>
            <w:vAlign w:val="center"/>
          </w:tcPr>
          <w:p>
            <w:pPr>
              <w:pStyle w:val="28"/>
              <w:spacing w:line="240" w:lineRule="auto"/>
              <w:ind w:right="46" w:rightChars="19"/>
              <w:rPr>
                <w:szCs w:val="21"/>
              </w:rPr>
            </w:pPr>
            <w:r>
              <w:rPr>
                <w:rFonts w:hint="eastAsia"/>
                <w:szCs w:val="21"/>
              </w:rPr>
              <w:t>19.345</w:t>
            </w:r>
            <w:r>
              <w:rPr>
                <w:rFonts w:hint="eastAsia"/>
                <w:kern w:val="0"/>
                <w:szCs w:val="21"/>
              </w:rPr>
              <w:t>t/a</w:t>
            </w:r>
          </w:p>
        </w:tc>
        <w:tc>
          <w:tcPr>
            <w:tcW w:w="1262" w:type="dxa"/>
            <w:vAlign w:val="center"/>
          </w:tcPr>
          <w:p>
            <w:pPr>
              <w:spacing w:line="240" w:lineRule="auto"/>
              <w:ind w:right="46" w:rightChars="19" w:firstLine="0" w:firstLineChars="0"/>
              <w:jc w:val="center"/>
              <w:rPr>
                <w:bCs/>
                <w:sz w:val="21"/>
                <w:szCs w:val="21"/>
              </w:rPr>
            </w:pPr>
            <w:r>
              <w:rPr>
                <w:rFonts w:hint="eastAsia"/>
                <w:bCs/>
                <w:sz w:val="21"/>
                <w:szCs w:val="21"/>
              </w:rPr>
              <w:t>—</w:t>
            </w:r>
          </w:p>
        </w:tc>
        <w:tc>
          <w:tcPr>
            <w:tcW w:w="1843" w:type="dxa"/>
            <w:vAlign w:val="center"/>
          </w:tcPr>
          <w:p>
            <w:pPr>
              <w:pStyle w:val="28"/>
              <w:spacing w:line="240" w:lineRule="auto"/>
              <w:ind w:right="46" w:rightChars="19"/>
              <w:rPr>
                <w:szCs w:val="21"/>
              </w:rPr>
            </w:pPr>
            <w:r>
              <w:rPr>
                <w:rFonts w:hint="eastAsia"/>
                <w:szCs w:val="21"/>
              </w:rPr>
              <w:t>19.345</w:t>
            </w:r>
            <w:r>
              <w:rPr>
                <w:rFonts w:hint="eastAsia"/>
                <w:kern w:val="0"/>
                <w:szCs w:val="21"/>
              </w:rPr>
              <w:t>t/a</w:t>
            </w:r>
          </w:p>
        </w:tc>
        <w:tc>
          <w:tcPr>
            <w:tcW w:w="1441" w:type="dxa"/>
            <w:vAlign w:val="center"/>
          </w:tcPr>
          <w:p>
            <w:pPr>
              <w:pStyle w:val="28"/>
              <w:spacing w:line="240" w:lineRule="auto"/>
              <w:ind w:right="46" w:rightChars="19"/>
              <w:rPr>
                <w:szCs w:val="21"/>
              </w:rPr>
            </w:pPr>
            <w:r>
              <w:rPr>
                <w:rFonts w:hint="eastAsia"/>
                <w:szCs w:val="21"/>
              </w:rPr>
              <w:t>+19.345</w:t>
            </w:r>
            <w:r>
              <w:rPr>
                <w:rFonts w:hint="eastAsia"/>
                <w:kern w:val="0"/>
                <w:szCs w:val="21"/>
              </w:rPr>
              <w:t>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951" w:type="dxa"/>
            <w:vMerge w:val="continue"/>
            <w:vAlign w:val="center"/>
          </w:tcPr>
          <w:p>
            <w:pPr>
              <w:spacing w:line="240" w:lineRule="auto"/>
              <w:ind w:right="46" w:rightChars="19" w:firstLine="0" w:firstLineChars="0"/>
              <w:jc w:val="center"/>
              <w:rPr>
                <w:sz w:val="21"/>
                <w:szCs w:val="21"/>
              </w:rPr>
            </w:pPr>
          </w:p>
        </w:tc>
        <w:tc>
          <w:tcPr>
            <w:tcW w:w="2410" w:type="dxa"/>
            <w:vAlign w:val="center"/>
          </w:tcPr>
          <w:p>
            <w:pPr>
              <w:pStyle w:val="28"/>
              <w:spacing w:line="240" w:lineRule="auto"/>
              <w:ind w:right="46" w:rightChars="19"/>
              <w:rPr>
                <w:szCs w:val="21"/>
              </w:rPr>
            </w:pPr>
            <w:r>
              <w:rPr>
                <w:rFonts w:hint="eastAsia"/>
                <w:szCs w:val="21"/>
              </w:rPr>
              <w:t>中药渣</w:t>
            </w:r>
          </w:p>
        </w:tc>
        <w:tc>
          <w:tcPr>
            <w:tcW w:w="1701" w:type="dxa"/>
            <w:vAlign w:val="center"/>
          </w:tcPr>
          <w:p>
            <w:pPr>
              <w:spacing w:line="240" w:lineRule="auto"/>
              <w:ind w:right="46" w:rightChars="19" w:firstLine="0" w:firstLineChars="0"/>
              <w:jc w:val="center"/>
              <w:rPr>
                <w:bCs/>
                <w:sz w:val="21"/>
                <w:szCs w:val="21"/>
              </w:rPr>
            </w:pPr>
            <w:r>
              <w:rPr>
                <w:rFonts w:hint="eastAsia"/>
                <w:bCs/>
                <w:sz w:val="21"/>
                <w:szCs w:val="21"/>
              </w:rPr>
              <w:t>—</w:t>
            </w:r>
          </w:p>
        </w:tc>
        <w:tc>
          <w:tcPr>
            <w:tcW w:w="1289" w:type="dxa"/>
            <w:vAlign w:val="center"/>
          </w:tcPr>
          <w:p>
            <w:pPr>
              <w:spacing w:line="240" w:lineRule="auto"/>
              <w:ind w:right="46" w:rightChars="19" w:firstLine="0" w:firstLineChars="0"/>
              <w:jc w:val="center"/>
              <w:rPr>
                <w:bCs/>
                <w:sz w:val="21"/>
                <w:szCs w:val="21"/>
              </w:rPr>
            </w:pPr>
            <w:r>
              <w:rPr>
                <w:rFonts w:hint="eastAsia"/>
                <w:bCs/>
                <w:sz w:val="21"/>
                <w:szCs w:val="21"/>
              </w:rPr>
              <w:t>—</w:t>
            </w:r>
          </w:p>
        </w:tc>
        <w:tc>
          <w:tcPr>
            <w:tcW w:w="1701" w:type="dxa"/>
            <w:vAlign w:val="center"/>
          </w:tcPr>
          <w:p>
            <w:pPr>
              <w:spacing w:line="240" w:lineRule="auto"/>
              <w:ind w:right="46" w:rightChars="19" w:firstLine="0" w:firstLineChars="0"/>
              <w:jc w:val="center"/>
              <w:rPr>
                <w:bCs/>
                <w:sz w:val="21"/>
                <w:szCs w:val="21"/>
              </w:rPr>
            </w:pPr>
            <w:r>
              <w:rPr>
                <w:rFonts w:hint="eastAsia"/>
                <w:bCs/>
                <w:sz w:val="21"/>
                <w:szCs w:val="21"/>
              </w:rPr>
              <w:t>—</w:t>
            </w:r>
          </w:p>
        </w:tc>
        <w:tc>
          <w:tcPr>
            <w:tcW w:w="1559" w:type="dxa"/>
            <w:vAlign w:val="center"/>
          </w:tcPr>
          <w:p>
            <w:pPr>
              <w:pStyle w:val="28"/>
              <w:spacing w:line="240" w:lineRule="auto"/>
              <w:ind w:right="46" w:rightChars="19"/>
              <w:rPr>
                <w:szCs w:val="21"/>
              </w:rPr>
            </w:pPr>
            <w:r>
              <w:rPr>
                <w:rFonts w:hint="eastAsia"/>
                <w:szCs w:val="21"/>
              </w:rPr>
              <w:t>20</w:t>
            </w:r>
            <w:r>
              <w:rPr>
                <w:rFonts w:hint="eastAsia"/>
                <w:kern w:val="0"/>
                <w:szCs w:val="21"/>
              </w:rPr>
              <w:t>t/a</w:t>
            </w:r>
          </w:p>
        </w:tc>
        <w:tc>
          <w:tcPr>
            <w:tcW w:w="1262" w:type="dxa"/>
            <w:vAlign w:val="center"/>
          </w:tcPr>
          <w:p>
            <w:pPr>
              <w:spacing w:line="240" w:lineRule="auto"/>
              <w:ind w:right="46" w:rightChars="19" w:firstLine="0" w:firstLineChars="0"/>
              <w:jc w:val="center"/>
              <w:rPr>
                <w:bCs/>
                <w:sz w:val="21"/>
                <w:szCs w:val="21"/>
              </w:rPr>
            </w:pPr>
            <w:r>
              <w:rPr>
                <w:rFonts w:hint="eastAsia"/>
                <w:bCs/>
                <w:sz w:val="21"/>
                <w:szCs w:val="21"/>
              </w:rPr>
              <w:t>—</w:t>
            </w:r>
          </w:p>
        </w:tc>
        <w:tc>
          <w:tcPr>
            <w:tcW w:w="1843" w:type="dxa"/>
            <w:vAlign w:val="center"/>
          </w:tcPr>
          <w:p>
            <w:pPr>
              <w:pStyle w:val="28"/>
              <w:spacing w:line="240" w:lineRule="auto"/>
              <w:ind w:right="46" w:rightChars="19"/>
              <w:rPr>
                <w:szCs w:val="21"/>
              </w:rPr>
            </w:pPr>
            <w:r>
              <w:rPr>
                <w:rFonts w:hint="eastAsia"/>
                <w:szCs w:val="21"/>
              </w:rPr>
              <w:t>20</w:t>
            </w:r>
            <w:r>
              <w:rPr>
                <w:rFonts w:hint="eastAsia"/>
                <w:kern w:val="0"/>
                <w:szCs w:val="21"/>
              </w:rPr>
              <w:t>t/a</w:t>
            </w:r>
          </w:p>
        </w:tc>
        <w:tc>
          <w:tcPr>
            <w:tcW w:w="1441" w:type="dxa"/>
            <w:vAlign w:val="center"/>
          </w:tcPr>
          <w:p>
            <w:pPr>
              <w:pStyle w:val="28"/>
              <w:spacing w:line="240" w:lineRule="auto"/>
              <w:ind w:right="46" w:rightChars="19"/>
              <w:rPr>
                <w:szCs w:val="21"/>
              </w:rPr>
            </w:pPr>
            <w:r>
              <w:rPr>
                <w:rFonts w:hint="eastAsia"/>
                <w:szCs w:val="21"/>
              </w:rPr>
              <w:t>+20</w:t>
            </w:r>
            <w:r>
              <w:rPr>
                <w:rFonts w:hint="eastAsia"/>
                <w:kern w:val="0"/>
                <w:szCs w:val="21"/>
              </w:rPr>
              <w:t>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951" w:type="dxa"/>
            <w:vMerge w:val="continue"/>
            <w:vAlign w:val="center"/>
          </w:tcPr>
          <w:p>
            <w:pPr>
              <w:spacing w:line="240" w:lineRule="auto"/>
              <w:ind w:right="46" w:rightChars="19" w:firstLine="0" w:firstLineChars="0"/>
              <w:jc w:val="center"/>
              <w:rPr>
                <w:sz w:val="21"/>
                <w:szCs w:val="21"/>
              </w:rPr>
            </w:pPr>
          </w:p>
        </w:tc>
        <w:tc>
          <w:tcPr>
            <w:tcW w:w="2410" w:type="dxa"/>
            <w:vAlign w:val="center"/>
          </w:tcPr>
          <w:p>
            <w:pPr>
              <w:pStyle w:val="28"/>
              <w:spacing w:line="240" w:lineRule="auto"/>
              <w:ind w:right="46" w:rightChars="19"/>
              <w:rPr>
                <w:szCs w:val="21"/>
              </w:rPr>
            </w:pPr>
            <w:r>
              <w:rPr>
                <w:rFonts w:hint="eastAsia"/>
                <w:szCs w:val="21"/>
              </w:rPr>
              <w:t>废外包装物</w:t>
            </w:r>
          </w:p>
        </w:tc>
        <w:tc>
          <w:tcPr>
            <w:tcW w:w="1701" w:type="dxa"/>
            <w:vAlign w:val="center"/>
          </w:tcPr>
          <w:p>
            <w:pPr>
              <w:spacing w:line="240" w:lineRule="auto"/>
              <w:ind w:right="46" w:rightChars="19" w:firstLine="0" w:firstLineChars="0"/>
              <w:jc w:val="center"/>
              <w:rPr>
                <w:bCs/>
                <w:sz w:val="21"/>
                <w:szCs w:val="21"/>
              </w:rPr>
            </w:pPr>
            <w:r>
              <w:rPr>
                <w:rFonts w:hint="eastAsia"/>
                <w:bCs/>
                <w:sz w:val="21"/>
                <w:szCs w:val="21"/>
              </w:rPr>
              <w:t>—</w:t>
            </w:r>
          </w:p>
        </w:tc>
        <w:tc>
          <w:tcPr>
            <w:tcW w:w="1289" w:type="dxa"/>
            <w:vAlign w:val="center"/>
          </w:tcPr>
          <w:p>
            <w:pPr>
              <w:spacing w:line="240" w:lineRule="auto"/>
              <w:ind w:right="46" w:rightChars="19" w:firstLine="0" w:firstLineChars="0"/>
              <w:jc w:val="center"/>
              <w:rPr>
                <w:bCs/>
                <w:sz w:val="21"/>
                <w:szCs w:val="21"/>
              </w:rPr>
            </w:pPr>
            <w:r>
              <w:rPr>
                <w:rFonts w:hint="eastAsia"/>
                <w:bCs/>
                <w:sz w:val="21"/>
                <w:szCs w:val="21"/>
              </w:rPr>
              <w:t>—</w:t>
            </w:r>
          </w:p>
        </w:tc>
        <w:tc>
          <w:tcPr>
            <w:tcW w:w="1701" w:type="dxa"/>
            <w:vAlign w:val="center"/>
          </w:tcPr>
          <w:p>
            <w:pPr>
              <w:spacing w:line="240" w:lineRule="auto"/>
              <w:ind w:right="46" w:rightChars="19" w:firstLine="0" w:firstLineChars="0"/>
              <w:jc w:val="center"/>
              <w:rPr>
                <w:bCs/>
                <w:sz w:val="21"/>
                <w:szCs w:val="21"/>
              </w:rPr>
            </w:pPr>
            <w:r>
              <w:rPr>
                <w:rFonts w:hint="eastAsia"/>
                <w:bCs/>
                <w:sz w:val="21"/>
                <w:szCs w:val="21"/>
              </w:rPr>
              <w:t>—</w:t>
            </w:r>
          </w:p>
        </w:tc>
        <w:tc>
          <w:tcPr>
            <w:tcW w:w="1559" w:type="dxa"/>
            <w:vAlign w:val="center"/>
          </w:tcPr>
          <w:p>
            <w:pPr>
              <w:pStyle w:val="28"/>
              <w:spacing w:line="240" w:lineRule="auto"/>
              <w:ind w:right="46" w:rightChars="19"/>
              <w:rPr>
                <w:szCs w:val="21"/>
              </w:rPr>
            </w:pPr>
            <w:r>
              <w:rPr>
                <w:rFonts w:hint="eastAsia"/>
                <w:szCs w:val="21"/>
              </w:rPr>
              <w:t>1</w:t>
            </w:r>
            <w:r>
              <w:rPr>
                <w:rFonts w:hint="eastAsia"/>
                <w:kern w:val="0"/>
                <w:szCs w:val="21"/>
              </w:rPr>
              <w:t>t/a</w:t>
            </w:r>
          </w:p>
        </w:tc>
        <w:tc>
          <w:tcPr>
            <w:tcW w:w="1262" w:type="dxa"/>
            <w:vAlign w:val="center"/>
          </w:tcPr>
          <w:p>
            <w:pPr>
              <w:spacing w:line="240" w:lineRule="auto"/>
              <w:ind w:right="46" w:rightChars="19" w:firstLine="0" w:firstLineChars="0"/>
              <w:jc w:val="center"/>
              <w:rPr>
                <w:bCs/>
                <w:sz w:val="21"/>
                <w:szCs w:val="21"/>
              </w:rPr>
            </w:pPr>
            <w:r>
              <w:rPr>
                <w:rFonts w:hint="eastAsia"/>
                <w:bCs/>
                <w:sz w:val="21"/>
                <w:szCs w:val="21"/>
              </w:rPr>
              <w:t>—</w:t>
            </w:r>
          </w:p>
        </w:tc>
        <w:tc>
          <w:tcPr>
            <w:tcW w:w="1843" w:type="dxa"/>
            <w:vAlign w:val="center"/>
          </w:tcPr>
          <w:p>
            <w:pPr>
              <w:pStyle w:val="28"/>
              <w:spacing w:line="240" w:lineRule="auto"/>
              <w:ind w:right="46" w:rightChars="19"/>
              <w:rPr>
                <w:szCs w:val="21"/>
              </w:rPr>
            </w:pPr>
            <w:r>
              <w:rPr>
                <w:rFonts w:hint="eastAsia"/>
                <w:szCs w:val="21"/>
              </w:rPr>
              <w:t>1</w:t>
            </w:r>
            <w:r>
              <w:rPr>
                <w:rFonts w:hint="eastAsia"/>
                <w:kern w:val="0"/>
                <w:szCs w:val="21"/>
              </w:rPr>
              <w:t>t/a</w:t>
            </w:r>
          </w:p>
        </w:tc>
        <w:tc>
          <w:tcPr>
            <w:tcW w:w="1441" w:type="dxa"/>
            <w:vAlign w:val="center"/>
          </w:tcPr>
          <w:p>
            <w:pPr>
              <w:pStyle w:val="28"/>
              <w:spacing w:line="240" w:lineRule="auto"/>
              <w:ind w:right="46" w:rightChars="19"/>
              <w:rPr>
                <w:szCs w:val="21"/>
              </w:rPr>
            </w:pPr>
            <w:r>
              <w:rPr>
                <w:rFonts w:hint="eastAsia"/>
                <w:szCs w:val="21"/>
              </w:rPr>
              <w:t>+1</w:t>
            </w:r>
            <w:r>
              <w:rPr>
                <w:rFonts w:hint="eastAsia"/>
                <w:kern w:val="0"/>
                <w:szCs w:val="21"/>
              </w:rPr>
              <w:t>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951" w:type="dxa"/>
            <w:vMerge w:val="continue"/>
            <w:vAlign w:val="center"/>
          </w:tcPr>
          <w:p>
            <w:pPr>
              <w:spacing w:line="240" w:lineRule="auto"/>
              <w:ind w:right="46" w:rightChars="19" w:firstLine="0" w:firstLineChars="0"/>
              <w:jc w:val="center"/>
              <w:rPr>
                <w:sz w:val="21"/>
                <w:szCs w:val="21"/>
              </w:rPr>
            </w:pPr>
          </w:p>
        </w:tc>
        <w:tc>
          <w:tcPr>
            <w:tcW w:w="2410" w:type="dxa"/>
            <w:vAlign w:val="center"/>
          </w:tcPr>
          <w:p>
            <w:pPr>
              <w:pStyle w:val="28"/>
              <w:spacing w:line="240" w:lineRule="auto"/>
              <w:ind w:right="46" w:rightChars="19"/>
              <w:rPr>
                <w:szCs w:val="21"/>
              </w:rPr>
            </w:pPr>
            <w:r>
              <w:rPr>
                <w:rFonts w:hint="eastAsia"/>
                <w:szCs w:val="21"/>
              </w:rPr>
              <w:t>废离子交换树脂</w:t>
            </w:r>
          </w:p>
        </w:tc>
        <w:tc>
          <w:tcPr>
            <w:tcW w:w="1701" w:type="dxa"/>
            <w:vAlign w:val="center"/>
          </w:tcPr>
          <w:p>
            <w:pPr>
              <w:spacing w:line="240" w:lineRule="auto"/>
              <w:ind w:right="46" w:rightChars="19" w:firstLine="0" w:firstLineChars="0"/>
              <w:jc w:val="center"/>
              <w:rPr>
                <w:bCs/>
                <w:sz w:val="21"/>
                <w:szCs w:val="21"/>
              </w:rPr>
            </w:pPr>
            <w:r>
              <w:rPr>
                <w:rFonts w:hint="eastAsia"/>
                <w:bCs/>
                <w:sz w:val="21"/>
                <w:szCs w:val="21"/>
              </w:rPr>
              <w:t>—</w:t>
            </w:r>
          </w:p>
        </w:tc>
        <w:tc>
          <w:tcPr>
            <w:tcW w:w="1289" w:type="dxa"/>
            <w:vAlign w:val="center"/>
          </w:tcPr>
          <w:p>
            <w:pPr>
              <w:spacing w:line="240" w:lineRule="auto"/>
              <w:ind w:right="46" w:rightChars="19" w:firstLine="0" w:firstLineChars="0"/>
              <w:jc w:val="center"/>
              <w:rPr>
                <w:bCs/>
                <w:sz w:val="21"/>
                <w:szCs w:val="21"/>
              </w:rPr>
            </w:pPr>
            <w:r>
              <w:rPr>
                <w:rFonts w:hint="eastAsia"/>
                <w:bCs/>
                <w:sz w:val="21"/>
                <w:szCs w:val="21"/>
              </w:rPr>
              <w:t>—</w:t>
            </w:r>
          </w:p>
        </w:tc>
        <w:tc>
          <w:tcPr>
            <w:tcW w:w="1701" w:type="dxa"/>
            <w:vAlign w:val="center"/>
          </w:tcPr>
          <w:p>
            <w:pPr>
              <w:spacing w:line="240" w:lineRule="auto"/>
              <w:ind w:right="46" w:rightChars="19" w:firstLine="0" w:firstLineChars="0"/>
              <w:jc w:val="center"/>
              <w:rPr>
                <w:bCs/>
                <w:sz w:val="21"/>
                <w:szCs w:val="21"/>
              </w:rPr>
            </w:pPr>
            <w:r>
              <w:rPr>
                <w:rFonts w:hint="eastAsia"/>
                <w:bCs/>
                <w:sz w:val="21"/>
                <w:szCs w:val="21"/>
              </w:rPr>
              <w:t>—</w:t>
            </w:r>
          </w:p>
        </w:tc>
        <w:tc>
          <w:tcPr>
            <w:tcW w:w="1559" w:type="dxa"/>
            <w:vAlign w:val="center"/>
          </w:tcPr>
          <w:p>
            <w:pPr>
              <w:pStyle w:val="28"/>
              <w:spacing w:line="240" w:lineRule="auto"/>
              <w:ind w:right="46" w:rightChars="19"/>
              <w:rPr>
                <w:szCs w:val="21"/>
              </w:rPr>
            </w:pPr>
            <w:r>
              <w:rPr>
                <w:rFonts w:hint="eastAsia"/>
                <w:szCs w:val="21"/>
              </w:rPr>
              <w:t>0.1</w:t>
            </w:r>
            <w:r>
              <w:rPr>
                <w:rFonts w:hint="eastAsia"/>
                <w:kern w:val="0"/>
                <w:szCs w:val="21"/>
              </w:rPr>
              <w:t>t/a</w:t>
            </w:r>
          </w:p>
        </w:tc>
        <w:tc>
          <w:tcPr>
            <w:tcW w:w="1262" w:type="dxa"/>
            <w:vAlign w:val="center"/>
          </w:tcPr>
          <w:p>
            <w:pPr>
              <w:spacing w:line="240" w:lineRule="auto"/>
              <w:ind w:right="46" w:rightChars="19" w:firstLine="0" w:firstLineChars="0"/>
              <w:jc w:val="center"/>
              <w:rPr>
                <w:bCs/>
                <w:sz w:val="21"/>
                <w:szCs w:val="21"/>
              </w:rPr>
            </w:pPr>
            <w:r>
              <w:rPr>
                <w:rFonts w:hint="eastAsia"/>
                <w:bCs/>
                <w:sz w:val="21"/>
                <w:szCs w:val="21"/>
              </w:rPr>
              <w:t>—</w:t>
            </w:r>
          </w:p>
        </w:tc>
        <w:tc>
          <w:tcPr>
            <w:tcW w:w="1843" w:type="dxa"/>
            <w:vAlign w:val="center"/>
          </w:tcPr>
          <w:p>
            <w:pPr>
              <w:pStyle w:val="28"/>
              <w:spacing w:line="240" w:lineRule="auto"/>
              <w:ind w:right="46" w:rightChars="19"/>
              <w:rPr>
                <w:szCs w:val="21"/>
              </w:rPr>
            </w:pPr>
            <w:r>
              <w:rPr>
                <w:rFonts w:hint="eastAsia"/>
                <w:szCs w:val="21"/>
              </w:rPr>
              <w:t>0.1</w:t>
            </w:r>
            <w:r>
              <w:rPr>
                <w:rFonts w:hint="eastAsia"/>
                <w:kern w:val="0"/>
                <w:szCs w:val="21"/>
              </w:rPr>
              <w:t>t/a</w:t>
            </w:r>
          </w:p>
        </w:tc>
        <w:tc>
          <w:tcPr>
            <w:tcW w:w="1441" w:type="dxa"/>
            <w:vAlign w:val="center"/>
          </w:tcPr>
          <w:p>
            <w:pPr>
              <w:pStyle w:val="28"/>
              <w:spacing w:line="240" w:lineRule="auto"/>
              <w:ind w:right="46" w:rightChars="19"/>
              <w:rPr>
                <w:szCs w:val="21"/>
              </w:rPr>
            </w:pPr>
            <w:r>
              <w:rPr>
                <w:rFonts w:hint="eastAsia"/>
                <w:szCs w:val="21"/>
              </w:rPr>
              <w:t>+0.1</w:t>
            </w:r>
            <w:r>
              <w:rPr>
                <w:rFonts w:hint="eastAsia"/>
                <w:kern w:val="0"/>
                <w:szCs w:val="21"/>
              </w:rPr>
              <w:t>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951" w:type="dxa"/>
            <w:vMerge w:val="restart"/>
            <w:vAlign w:val="center"/>
          </w:tcPr>
          <w:p>
            <w:pPr>
              <w:spacing w:line="240" w:lineRule="auto"/>
              <w:ind w:right="46" w:rightChars="19" w:firstLine="0" w:firstLineChars="0"/>
              <w:jc w:val="center"/>
              <w:rPr>
                <w:sz w:val="21"/>
                <w:szCs w:val="21"/>
              </w:rPr>
            </w:pPr>
            <w:r>
              <w:rPr>
                <w:sz w:val="21"/>
                <w:szCs w:val="21"/>
              </w:rPr>
              <w:t>危险废物</w:t>
            </w:r>
          </w:p>
        </w:tc>
        <w:tc>
          <w:tcPr>
            <w:tcW w:w="2410" w:type="dxa"/>
            <w:vAlign w:val="center"/>
          </w:tcPr>
          <w:p>
            <w:pPr>
              <w:pStyle w:val="28"/>
              <w:spacing w:line="240" w:lineRule="auto"/>
              <w:ind w:right="46" w:rightChars="19"/>
              <w:rPr>
                <w:szCs w:val="21"/>
              </w:rPr>
            </w:pPr>
            <w:r>
              <w:rPr>
                <w:rFonts w:hint="eastAsia"/>
                <w:szCs w:val="21"/>
              </w:rPr>
              <w:t>医疗废物（含废药品）</w:t>
            </w:r>
          </w:p>
        </w:tc>
        <w:tc>
          <w:tcPr>
            <w:tcW w:w="1701" w:type="dxa"/>
            <w:vAlign w:val="center"/>
          </w:tcPr>
          <w:p>
            <w:pPr>
              <w:spacing w:line="240" w:lineRule="auto"/>
              <w:ind w:right="46" w:rightChars="19" w:firstLine="0" w:firstLineChars="0"/>
              <w:jc w:val="center"/>
              <w:rPr>
                <w:bCs/>
                <w:sz w:val="21"/>
                <w:szCs w:val="21"/>
              </w:rPr>
            </w:pPr>
            <w:r>
              <w:rPr>
                <w:rFonts w:hint="eastAsia"/>
                <w:bCs/>
                <w:sz w:val="21"/>
                <w:szCs w:val="21"/>
              </w:rPr>
              <w:t>—</w:t>
            </w:r>
          </w:p>
        </w:tc>
        <w:tc>
          <w:tcPr>
            <w:tcW w:w="1289" w:type="dxa"/>
            <w:vAlign w:val="center"/>
          </w:tcPr>
          <w:p>
            <w:pPr>
              <w:spacing w:line="240" w:lineRule="auto"/>
              <w:ind w:right="46" w:rightChars="19" w:firstLine="0" w:firstLineChars="0"/>
              <w:jc w:val="center"/>
              <w:rPr>
                <w:bCs/>
                <w:sz w:val="21"/>
                <w:szCs w:val="21"/>
              </w:rPr>
            </w:pPr>
            <w:r>
              <w:rPr>
                <w:rFonts w:hint="eastAsia"/>
                <w:bCs/>
                <w:sz w:val="21"/>
                <w:szCs w:val="21"/>
              </w:rPr>
              <w:t>—</w:t>
            </w:r>
          </w:p>
        </w:tc>
        <w:tc>
          <w:tcPr>
            <w:tcW w:w="1701" w:type="dxa"/>
            <w:vAlign w:val="center"/>
          </w:tcPr>
          <w:p>
            <w:pPr>
              <w:spacing w:line="240" w:lineRule="auto"/>
              <w:ind w:right="46" w:rightChars="19" w:firstLine="0" w:firstLineChars="0"/>
              <w:jc w:val="center"/>
              <w:rPr>
                <w:bCs/>
                <w:sz w:val="21"/>
                <w:szCs w:val="21"/>
              </w:rPr>
            </w:pPr>
            <w:r>
              <w:rPr>
                <w:rFonts w:hint="eastAsia"/>
                <w:bCs/>
                <w:sz w:val="21"/>
                <w:szCs w:val="21"/>
              </w:rPr>
              <w:t>—</w:t>
            </w:r>
          </w:p>
        </w:tc>
        <w:tc>
          <w:tcPr>
            <w:tcW w:w="1559" w:type="dxa"/>
            <w:vAlign w:val="center"/>
          </w:tcPr>
          <w:p>
            <w:pPr>
              <w:pStyle w:val="28"/>
              <w:spacing w:line="240" w:lineRule="auto"/>
              <w:ind w:right="46" w:rightChars="19"/>
              <w:rPr>
                <w:szCs w:val="21"/>
              </w:rPr>
            </w:pPr>
            <w:r>
              <w:rPr>
                <w:rFonts w:hint="eastAsia"/>
                <w:szCs w:val="21"/>
              </w:rPr>
              <w:t>7.629</w:t>
            </w:r>
            <w:r>
              <w:rPr>
                <w:rFonts w:hint="eastAsia"/>
                <w:kern w:val="0"/>
                <w:szCs w:val="21"/>
              </w:rPr>
              <w:t>t/a</w:t>
            </w:r>
          </w:p>
        </w:tc>
        <w:tc>
          <w:tcPr>
            <w:tcW w:w="1262" w:type="dxa"/>
            <w:vAlign w:val="center"/>
          </w:tcPr>
          <w:p>
            <w:pPr>
              <w:spacing w:line="240" w:lineRule="auto"/>
              <w:ind w:right="46" w:rightChars="19" w:firstLine="0" w:firstLineChars="0"/>
              <w:jc w:val="center"/>
              <w:rPr>
                <w:bCs/>
                <w:sz w:val="21"/>
                <w:szCs w:val="21"/>
              </w:rPr>
            </w:pPr>
            <w:r>
              <w:rPr>
                <w:rFonts w:hint="eastAsia"/>
                <w:bCs/>
                <w:sz w:val="21"/>
                <w:szCs w:val="21"/>
              </w:rPr>
              <w:t>—</w:t>
            </w:r>
          </w:p>
        </w:tc>
        <w:tc>
          <w:tcPr>
            <w:tcW w:w="1843" w:type="dxa"/>
            <w:vAlign w:val="center"/>
          </w:tcPr>
          <w:p>
            <w:pPr>
              <w:pStyle w:val="28"/>
              <w:spacing w:line="240" w:lineRule="auto"/>
              <w:ind w:right="46" w:rightChars="19"/>
              <w:rPr>
                <w:szCs w:val="21"/>
              </w:rPr>
            </w:pPr>
            <w:r>
              <w:rPr>
                <w:rFonts w:hint="eastAsia"/>
                <w:szCs w:val="21"/>
              </w:rPr>
              <w:t>7.629</w:t>
            </w:r>
            <w:r>
              <w:rPr>
                <w:rFonts w:hint="eastAsia"/>
                <w:kern w:val="0"/>
                <w:szCs w:val="21"/>
              </w:rPr>
              <w:t>t/a</w:t>
            </w:r>
          </w:p>
        </w:tc>
        <w:tc>
          <w:tcPr>
            <w:tcW w:w="1441" w:type="dxa"/>
            <w:vAlign w:val="center"/>
          </w:tcPr>
          <w:p>
            <w:pPr>
              <w:pStyle w:val="28"/>
              <w:spacing w:line="240" w:lineRule="auto"/>
              <w:ind w:right="46" w:rightChars="19"/>
              <w:rPr>
                <w:szCs w:val="21"/>
              </w:rPr>
            </w:pPr>
            <w:r>
              <w:rPr>
                <w:rFonts w:hint="eastAsia"/>
                <w:szCs w:val="21"/>
              </w:rPr>
              <w:t>+7.629</w:t>
            </w:r>
            <w:r>
              <w:rPr>
                <w:rFonts w:hint="eastAsia"/>
                <w:kern w:val="0"/>
                <w:szCs w:val="21"/>
              </w:rPr>
              <w:t>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951" w:type="dxa"/>
            <w:vMerge w:val="continue"/>
            <w:vAlign w:val="center"/>
          </w:tcPr>
          <w:p>
            <w:pPr>
              <w:spacing w:line="240" w:lineRule="auto"/>
              <w:ind w:right="46" w:rightChars="19" w:firstLine="0" w:firstLineChars="0"/>
              <w:jc w:val="center"/>
              <w:rPr>
                <w:sz w:val="21"/>
                <w:szCs w:val="21"/>
              </w:rPr>
            </w:pPr>
          </w:p>
        </w:tc>
        <w:tc>
          <w:tcPr>
            <w:tcW w:w="2410" w:type="dxa"/>
            <w:vAlign w:val="center"/>
          </w:tcPr>
          <w:p>
            <w:pPr>
              <w:pStyle w:val="28"/>
              <w:spacing w:line="240" w:lineRule="auto"/>
              <w:ind w:right="46" w:rightChars="19"/>
              <w:rPr>
                <w:szCs w:val="21"/>
              </w:rPr>
            </w:pPr>
            <w:r>
              <w:rPr>
                <w:rFonts w:hint="eastAsia"/>
                <w:szCs w:val="21"/>
              </w:rPr>
              <w:t>污泥、栅渣</w:t>
            </w:r>
          </w:p>
        </w:tc>
        <w:tc>
          <w:tcPr>
            <w:tcW w:w="1701" w:type="dxa"/>
            <w:vAlign w:val="center"/>
          </w:tcPr>
          <w:p>
            <w:pPr>
              <w:spacing w:line="240" w:lineRule="auto"/>
              <w:ind w:right="46" w:rightChars="19" w:firstLine="0" w:firstLineChars="0"/>
              <w:jc w:val="center"/>
              <w:rPr>
                <w:bCs/>
                <w:sz w:val="21"/>
                <w:szCs w:val="21"/>
              </w:rPr>
            </w:pPr>
            <w:r>
              <w:rPr>
                <w:rFonts w:hint="eastAsia"/>
                <w:bCs/>
                <w:sz w:val="21"/>
                <w:szCs w:val="21"/>
              </w:rPr>
              <w:t>—</w:t>
            </w:r>
          </w:p>
        </w:tc>
        <w:tc>
          <w:tcPr>
            <w:tcW w:w="1289" w:type="dxa"/>
            <w:vAlign w:val="center"/>
          </w:tcPr>
          <w:p>
            <w:pPr>
              <w:spacing w:line="240" w:lineRule="auto"/>
              <w:ind w:right="46" w:rightChars="19" w:firstLine="0" w:firstLineChars="0"/>
              <w:jc w:val="center"/>
              <w:rPr>
                <w:bCs/>
                <w:sz w:val="21"/>
                <w:szCs w:val="21"/>
              </w:rPr>
            </w:pPr>
            <w:r>
              <w:rPr>
                <w:rFonts w:hint="eastAsia"/>
                <w:bCs/>
                <w:sz w:val="21"/>
                <w:szCs w:val="21"/>
              </w:rPr>
              <w:t>—</w:t>
            </w:r>
          </w:p>
        </w:tc>
        <w:tc>
          <w:tcPr>
            <w:tcW w:w="1701" w:type="dxa"/>
            <w:vAlign w:val="center"/>
          </w:tcPr>
          <w:p>
            <w:pPr>
              <w:spacing w:line="240" w:lineRule="auto"/>
              <w:ind w:right="46" w:rightChars="19" w:firstLine="0" w:firstLineChars="0"/>
              <w:jc w:val="center"/>
              <w:rPr>
                <w:bCs/>
                <w:sz w:val="21"/>
                <w:szCs w:val="21"/>
              </w:rPr>
            </w:pPr>
            <w:r>
              <w:rPr>
                <w:rFonts w:hint="eastAsia"/>
                <w:bCs/>
                <w:sz w:val="21"/>
                <w:szCs w:val="21"/>
              </w:rPr>
              <w:t>—</w:t>
            </w:r>
          </w:p>
        </w:tc>
        <w:tc>
          <w:tcPr>
            <w:tcW w:w="1559" w:type="dxa"/>
            <w:vAlign w:val="center"/>
          </w:tcPr>
          <w:p>
            <w:pPr>
              <w:pStyle w:val="28"/>
              <w:spacing w:line="240" w:lineRule="auto"/>
              <w:ind w:right="46" w:rightChars="19"/>
              <w:rPr>
                <w:szCs w:val="21"/>
              </w:rPr>
            </w:pPr>
            <w:r>
              <w:rPr>
                <w:rFonts w:hint="eastAsia"/>
                <w:szCs w:val="21"/>
              </w:rPr>
              <w:t>1.82</w:t>
            </w:r>
            <w:r>
              <w:rPr>
                <w:rFonts w:hint="eastAsia"/>
                <w:kern w:val="0"/>
                <w:szCs w:val="21"/>
              </w:rPr>
              <w:t>t/a</w:t>
            </w:r>
          </w:p>
        </w:tc>
        <w:tc>
          <w:tcPr>
            <w:tcW w:w="1262" w:type="dxa"/>
            <w:vAlign w:val="center"/>
          </w:tcPr>
          <w:p>
            <w:pPr>
              <w:spacing w:line="240" w:lineRule="auto"/>
              <w:ind w:right="46" w:rightChars="19" w:firstLine="0" w:firstLineChars="0"/>
              <w:jc w:val="center"/>
              <w:rPr>
                <w:bCs/>
                <w:sz w:val="21"/>
                <w:szCs w:val="21"/>
              </w:rPr>
            </w:pPr>
            <w:r>
              <w:rPr>
                <w:rFonts w:hint="eastAsia"/>
                <w:bCs/>
                <w:sz w:val="21"/>
                <w:szCs w:val="21"/>
              </w:rPr>
              <w:t>—</w:t>
            </w:r>
          </w:p>
        </w:tc>
        <w:tc>
          <w:tcPr>
            <w:tcW w:w="1843" w:type="dxa"/>
            <w:vAlign w:val="center"/>
          </w:tcPr>
          <w:p>
            <w:pPr>
              <w:pStyle w:val="28"/>
              <w:spacing w:line="240" w:lineRule="auto"/>
              <w:ind w:right="46" w:rightChars="19"/>
              <w:rPr>
                <w:szCs w:val="21"/>
              </w:rPr>
            </w:pPr>
            <w:r>
              <w:rPr>
                <w:rFonts w:hint="eastAsia"/>
                <w:szCs w:val="21"/>
              </w:rPr>
              <w:t>1.82</w:t>
            </w:r>
            <w:r>
              <w:rPr>
                <w:rFonts w:hint="eastAsia"/>
                <w:kern w:val="0"/>
                <w:szCs w:val="21"/>
              </w:rPr>
              <w:t>t/a</w:t>
            </w:r>
          </w:p>
        </w:tc>
        <w:tc>
          <w:tcPr>
            <w:tcW w:w="1441" w:type="dxa"/>
            <w:vAlign w:val="center"/>
          </w:tcPr>
          <w:p>
            <w:pPr>
              <w:pStyle w:val="28"/>
              <w:spacing w:line="240" w:lineRule="auto"/>
              <w:ind w:right="46" w:rightChars="19"/>
              <w:rPr>
                <w:szCs w:val="21"/>
              </w:rPr>
            </w:pPr>
            <w:r>
              <w:rPr>
                <w:rFonts w:hint="eastAsia"/>
                <w:szCs w:val="21"/>
              </w:rPr>
              <w:t>+1.82</w:t>
            </w:r>
            <w:r>
              <w:rPr>
                <w:rFonts w:hint="eastAsia"/>
                <w:kern w:val="0"/>
                <w:szCs w:val="21"/>
              </w:rPr>
              <w:t>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951" w:type="dxa"/>
            <w:vMerge w:val="continue"/>
            <w:vAlign w:val="center"/>
          </w:tcPr>
          <w:p>
            <w:pPr>
              <w:spacing w:line="240" w:lineRule="auto"/>
              <w:ind w:right="46" w:rightChars="19" w:firstLine="0" w:firstLineChars="0"/>
              <w:jc w:val="center"/>
              <w:rPr>
                <w:sz w:val="21"/>
                <w:szCs w:val="21"/>
              </w:rPr>
            </w:pPr>
          </w:p>
        </w:tc>
        <w:tc>
          <w:tcPr>
            <w:tcW w:w="2410" w:type="dxa"/>
            <w:vAlign w:val="center"/>
          </w:tcPr>
          <w:p>
            <w:pPr>
              <w:pStyle w:val="28"/>
              <w:spacing w:line="240" w:lineRule="auto"/>
              <w:ind w:right="46" w:rightChars="19"/>
              <w:rPr>
                <w:szCs w:val="21"/>
              </w:rPr>
            </w:pPr>
            <w:r>
              <w:rPr>
                <w:rFonts w:hint="eastAsia"/>
                <w:szCs w:val="21"/>
              </w:rPr>
              <w:t>在线检测废液</w:t>
            </w:r>
          </w:p>
        </w:tc>
        <w:tc>
          <w:tcPr>
            <w:tcW w:w="1701" w:type="dxa"/>
            <w:vAlign w:val="center"/>
          </w:tcPr>
          <w:p>
            <w:pPr>
              <w:spacing w:line="240" w:lineRule="auto"/>
              <w:ind w:right="46" w:rightChars="19" w:firstLine="0" w:firstLineChars="0"/>
              <w:jc w:val="center"/>
              <w:rPr>
                <w:bCs/>
                <w:sz w:val="21"/>
                <w:szCs w:val="21"/>
              </w:rPr>
            </w:pPr>
            <w:r>
              <w:rPr>
                <w:rFonts w:hint="eastAsia"/>
                <w:bCs/>
                <w:sz w:val="21"/>
                <w:szCs w:val="21"/>
              </w:rPr>
              <w:t>—</w:t>
            </w:r>
          </w:p>
        </w:tc>
        <w:tc>
          <w:tcPr>
            <w:tcW w:w="1289" w:type="dxa"/>
            <w:vAlign w:val="center"/>
          </w:tcPr>
          <w:p>
            <w:pPr>
              <w:spacing w:line="240" w:lineRule="auto"/>
              <w:ind w:right="46" w:rightChars="19" w:firstLine="0" w:firstLineChars="0"/>
              <w:jc w:val="center"/>
              <w:rPr>
                <w:bCs/>
                <w:sz w:val="21"/>
                <w:szCs w:val="21"/>
              </w:rPr>
            </w:pPr>
            <w:r>
              <w:rPr>
                <w:rFonts w:hint="eastAsia"/>
                <w:bCs/>
                <w:sz w:val="21"/>
                <w:szCs w:val="21"/>
              </w:rPr>
              <w:t>—</w:t>
            </w:r>
          </w:p>
        </w:tc>
        <w:tc>
          <w:tcPr>
            <w:tcW w:w="1701" w:type="dxa"/>
            <w:vAlign w:val="center"/>
          </w:tcPr>
          <w:p>
            <w:pPr>
              <w:spacing w:line="240" w:lineRule="auto"/>
              <w:ind w:right="46" w:rightChars="19" w:firstLine="0" w:firstLineChars="0"/>
              <w:jc w:val="center"/>
              <w:rPr>
                <w:bCs/>
                <w:sz w:val="21"/>
                <w:szCs w:val="21"/>
              </w:rPr>
            </w:pPr>
            <w:r>
              <w:rPr>
                <w:rFonts w:hint="eastAsia"/>
                <w:bCs/>
                <w:sz w:val="21"/>
                <w:szCs w:val="21"/>
              </w:rPr>
              <w:t>—</w:t>
            </w:r>
          </w:p>
        </w:tc>
        <w:tc>
          <w:tcPr>
            <w:tcW w:w="1559" w:type="dxa"/>
            <w:vAlign w:val="center"/>
          </w:tcPr>
          <w:p>
            <w:pPr>
              <w:pStyle w:val="28"/>
              <w:spacing w:line="240" w:lineRule="auto"/>
              <w:ind w:right="46" w:rightChars="19"/>
              <w:rPr>
                <w:szCs w:val="21"/>
              </w:rPr>
            </w:pPr>
            <w:r>
              <w:rPr>
                <w:rFonts w:hint="eastAsia"/>
                <w:szCs w:val="21"/>
              </w:rPr>
              <w:t>0.1</w:t>
            </w:r>
            <w:r>
              <w:rPr>
                <w:rFonts w:hint="eastAsia"/>
                <w:kern w:val="0"/>
                <w:szCs w:val="21"/>
              </w:rPr>
              <w:t>t/a</w:t>
            </w:r>
          </w:p>
        </w:tc>
        <w:tc>
          <w:tcPr>
            <w:tcW w:w="1262" w:type="dxa"/>
            <w:vAlign w:val="center"/>
          </w:tcPr>
          <w:p>
            <w:pPr>
              <w:spacing w:line="240" w:lineRule="auto"/>
              <w:ind w:right="46" w:rightChars="19" w:firstLine="0" w:firstLineChars="0"/>
              <w:jc w:val="center"/>
              <w:rPr>
                <w:bCs/>
                <w:sz w:val="21"/>
                <w:szCs w:val="21"/>
              </w:rPr>
            </w:pPr>
            <w:r>
              <w:rPr>
                <w:rFonts w:hint="eastAsia"/>
                <w:bCs/>
                <w:sz w:val="21"/>
                <w:szCs w:val="21"/>
              </w:rPr>
              <w:t>—</w:t>
            </w:r>
          </w:p>
        </w:tc>
        <w:tc>
          <w:tcPr>
            <w:tcW w:w="1843" w:type="dxa"/>
            <w:vAlign w:val="center"/>
          </w:tcPr>
          <w:p>
            <w:pPr>
              <w:pStyle w:val="28"/>
              <w:spacing w:line="240" w:lineRule="auto"/>
              <w:ind w:right="46" w:rightChars="19"/>
              <w:rPr>
                <w:szCs w:val="21"/>
              </w:rPr>
            </w:pPr>
            <w:r>
              <w:rPr>
                <w:rFonts w:hint="eastAsia"/>
                <w:szCs w:val="21"/>
              </w:rPr>
              <w:t>0.1</w:t>
            </w:r>
            <w:r>
              <w:rPr>
                <w:rFonts w:hint="eastAsia"/>
                <w:kern w:val="0"/>
                <w:szCs w:val="21"/>
              </w:rPr>
              <w:t>t/a</w:t>
            </w:r>
          </w:p>
        </w:tc>
        <w:tc>
          <w:tcPr>
            <w:tcW w:w="1441" w:type="dxa"/>
            <w:vAlign w:val="center"/>
          </w:tcPr>
          <w:p>
            <w:pPr>
              <w:pStyle w:val="28"/>
              <w:spacing w:line="240" w:lineRule="auto"/>
              <w:ind w:right="46" w:rightChars="19"/>
              <w:rPr>
                <w:szCs w:val="21"/>
              </w:rPr>
            </w:pPr>
            <w:r>
              <w:rPr>
                <w:rFonts w:hint="eastAsia"/>
                <w:szCs w:val="21"/>
              </w:rPr>
              <w:t>+0.1</w:t>
            </w:r>
            <w:r>
              <w:rPr>
                <w:rFonts w:hint="eastAsia"/>
                <w:kern w:val="0"/>
                <w:szCs w:val="21"/>
              </w:rPr>
              <w:t>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951" w:type="dxa"/>
            <w:vMerge w:val="continue"/>
            <w:vAlign w:val="center"/>
          </w:tcPr>
          <w:p>
            <w:pPr>
              <w:spacing w:line="240" w:lineRule="auto"/>
              <w:ind w:right="46" w:rightChars="19" w:firstLine="0" w:firstLineChars="0"/>
              <w:jc w:val="center"/>
              <w:rPr>
                <w:sz w:val="21"/>
                <w:szCs w:val="21"/>
              </w:rPr>
            </w:pPr>
          </w:p>
        </w:tc>
        <w:tc>
          <w:tcPr>
            <w:tcW w:w="2410" w:type="dxa"/>
            <w:vAlign w:val="center"/>
          </w:tcPr>
          <w:p>
            <w:pPr>
              <w:pStyle w:val="28"/>
              <w:spacing w:line="240" w:lineRule="auto"/>
              <w:ind w:right="46" w:rightChars="19"/>
              <w:rPr>
                <w:szCs w:val="21"/>
              </w:rPr>
            </w:pPr>
            <w:r>
              <w:rPr>
                <w:rFonts w:hint="eastAsia"/>
                <w:szCs w:val="21"/>
              </w:rPr>
              <w:t>废活性炭</w:t>
            </w:r>
          </w:p>
        </w:tc>
        <w:tc>
          <w:tcPr>
            <w:tcW w:w="1701" w:type="dxa"/>
            <w:vAlign w:val="center"/>
          </w:tcPr>
          <w:p>
            <w:pPr>
              <w:spacing w:line="240" w:lineRule="auto"/>
              <w:ind w:right="46" w:rightChars="19" w:firstLine="0" w:firstLineChars="0"/>
              <w:jc w:val="center"/>
              <w:rPr>
                <w:sz w:val="21"/>
                <w:szCs w:val="21"/>
              </w:rPr>
            </w:pPr>
            <w:r>
              <w:rPr>
                <w:rFonts w:hint="eastAsia"/>
                <w:sz w:val="21"/>
                <w:szCs w:val="21"/>
              </w:rPr>
              <w:t>—</w:t>
            </w:r>
          </w:p>
        </w:tc>
        <w:tc>
          <w:tcPr>
            <w:tcW w:w="1289" w:type="dxa"/>
            <w:vAlign w:val="center"/>
          </w:tcPr>
          <w:p>
            <w:pPr>
              <w:spacing w:line="240" w:lineRule="auto"/>
              <w:ind w:right="46" w:rightChars="19" w:firstLine="0" w:firstLineChars="0"/>
              <w:jc w:val="center"/>
              <w:rPr>
                <w:sz w:val="21"/>
                <w:szCs w:val="21"/>
              </w:rPr>
            </w:pPr>
            <w:r>
              <w:rPr>
                <w:rFonts w:hint="eastAsia"/>
                <w:sz w:val="21"/>
                <w:szCs w:val="21"/>
              </w:rPr>
              <w:t>—</w:t>
            </w:r>
          </w:p>
        </w:tc>
        <w:tc>
          <w:tcPr>
            <w:tcW w:w="1701" w:type="dxa"/>
            <w:vAlign w:val="center"/>
          </w:tcPr>
          <w:p>
            <w:pPr>
              <w:spacing w:line="240" w:lineRule="auto"/>
              <w:ind w:right="46" w:rightChars="19" w:firstLine="0" w:firstLineChars="0"/>
              <w:jc w:val="center"/>
              <w:rPr>
                <w:sz w:val="21"/>
                <w:szCs w:val="21"/>
              </w:rPr>
            </w:pPr>
            <w:r>
              <w:rPr>
                <w:rFonts w:hint="eastAsia"/>
                <w:sz w:val="21"/>
                <w:szCs w:val="21"/>
              </w:rPr>
              <w:t>—</w:t>
            </w:r>
          </w:p>
        </w:tc>
        <w:tc>
          <w:tcPr>
            <w:tcW w:w="1559" w:type="dxa"/>
            <w:vAlign w:val="center"/>
          </w:tcPr>
          <w:p>
            <w:pPr>
              <w:pStyle w:val="28"/>
              <w:spacing w:line="240" w:lineRule="auto"/>
              <w:ind w:right="46" w:rightChars="19"/>
              <w:rPr>
                <w:szCs w:val="21"/>
              </w:rPr>
            </w:pPr>
            <w:r>
              <w:rPr>
                <w:rFonts w:hint="eastAsia"/>
                <w:szCs w:val="21"/>
              </w:rPr>
              <w:t>0.715</w:t>
            </w:r>
            <w:r>
              <w:rPr>
                <w:rFonts w:hint="eastAsia"/>
                <w:kern w:val="0"/>
                <w:szCs w:val="21"/>
              </w:rPr>
              <w:t>t/a</w:t>
            </w:r>
          </w:p>
        </w:tc>
        <w:tc>
          <w:tcPr>
            <w:tcW w:w="1262" w:type="dxa"/>
            <w:vAlign w:val="center"/>
          </w:tcPr>
          <w:p>
            <w:pPr>
              <w:spacing w:line="240" w:lineRule="auto"/>
              <w:ind w:right="46" w:rightChars="19" w:firstLine="0" w:firstLineChars="0"/>
              <w:jc w:val="center"/>
              <w:rPr>
                <w:sz w:val="21"/>
                <w:szCs w:val="21"/>
              </w:rPr>
            </w:pPr>
            <w:r>
              <w:rPr>
                <w:rFonts w:hint="eastAsia"/>
                <w:sz w:val="21"/>
                <w:szCs w:val="21"/>
              </w:rPr>
              <w:t>—</w:t>
            </w:r>
          </w:p>
        </w:tc>
        <w:tc>
          <w:tcPr>
            <w:tcW w:w="1843" w:type="dxa"/>
            <w:vAlign w:val="center"/>
          </w:tcPr>
          <w:p>
            <w:pPr>
              <w:pStyle w:val="28"/>
              <w:spacing w:line="240" w:lineRule="auto"/>
              <w:ind w:right="46" w:rightChars="19"/>
              <w:rPr>
                <w:szCs w:val="21"/>
              </w:rPr>
            </w:pPr>
            <w:r>
              <w:rPr>
                <w:rFonts w:hint="eastAsia"/>
                <w:szCs w:val="21"/>
              </w:rPr>
              <w:t>0.715</w:t>
            </w:r>
            <w:r>
              <w:rPr>
                <w:rFonts w:hint="eastAsia"/>
                <w:kern w:val="0"/>
                <w:szCs w:val="21"/>
              </w:rPr>
              <w:t>t/a</w:t>
            </w:r>
          </w:p>
        </w:tc>
        <w:tc>
          <w:tcPr>
            <w:tcW w:w="1441" w:type="dxa"/>
            <w:vAlign w:val="center"/>
          </w:tcPr>
          <w:p>
            <w:pPr>
              <w:pStyle w:val="28"/>
              <w:spacing w:line="240" w:lineRule="auto"/>
              <w:ind w:right="46" w:rightChars="19"/>
              <w:rPr>
                <w:szCs w:val="21"/>
              </w:rPr>
            </w:pPr>
            <w:r>
              <w:rPr>
                <w:rFonts w:hint="eastAsia"/>
                <w:szCs w:val="21"/>
              </w:rPr>
              <w:t>+0.715</w:t>
            </w:r>
            <w:r>
              <w:rPr>
                <w:rFonts w:hint="eastAsia"/>
                <w:kern w:val="0"/>
                <w:szCs w:val="21"/>
              </w:rPr>
              <w:t>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951" w:type="dxa"/>
            <w:vMerge w:val="continue"/>
            <w:vAlign w:val="center"/>
          </w:tcPr>
          <w:p>
            <w:pPr>
              <w:spacing w:line="240" w:lineRule="auto"/>
              <w:ind w:right="46" w:rightChars="19" w:firstLine="0" w:firstLineChars="0"/>
              <w:jc w:val="center"/>
              <w:rPr>
                <w:sz w:val="21"/>
                <w:szCs w:val="21"/>
              </w:rPr>
            </w:pPr>
          </w:p>
        </w:tc>
        <w:tc>
          <w:tcPr>
            <w:tcW w:w="2410" w:type="dxa"/>
            <w:vAlign w:val="center"/>
          </w:tcPr>
          <w:p>
            <w:pPr>
              <w:pStyle w:val="28"/>
              <w:spacing w:line="240" w:lineRule="auto"/>
              <w:ind w:right="46" w:rightChars="19"/>
              <w:rPr>
                <w:szCs w:val="21"/>
              </w:rPr>
            </w:pPr>
            <w:r>
              <w:rPr>
                <w:rFonts w:hint="eastAsia"/>
                <w:szCs w:val="21"/>
              </w:rPr>
              <w:t>药剂废包装</w:t>
            </w:r>
          </w:p>
        </w:tc>
        <w:tc>
          <w:tcPr>
            <w:tcW w:w="1701" w:type="dxa"/>
            <w:vAlign w:val="center"/>
          </w:tcPr>
          <w:p>
            <w:pPr>
              <w:spacing w:line="240" w:lineRule="auto"/>
              <w:ind w:right="46" w:rightChars="19" w:firstLine="0" w:firstLineChars="0"/>
              <w:jc w:val="center"/>
              <w:rPr>
                <w:sz w:val="21"/>
                <w:szCs w:val="21"/>
              </w:rPr>
            </w:pPr>
            <w:r>
              <w:rPr>
                <w:rFonts w:hint="eastAsia"/>
                <w:sz w:val="21"/>
                <w:szCs w:val="21"/>
              </w:rPr>
              <w:t>—</w:t>
            </w:r>
          </w:p>
        </w:tc>
        <w:tc>
          <w:tcPr>
            <w:tcW w:w="1289" w:type="dxa"/>
            <w:vAlign w:val="center"/>
          </w:tcPr>
          <w:p>
            <w:pPr>
              <w:spacing w:line="240" w:lineRule="auto"/>
              <w:ind w:right="46" w:rightChars="19" w:firstLine="0" w:firstLineChars="0"/>
              <w:jc w:val="center"/>
              <w:rPr>
                <w:sz w:val="21"/>
                <w:szCs w:val="21"/>
              </w:rPr>
            </w:pPr>
            <w:r>
              <w:rPr>
                <w:rFonts w:hint="eastAsia"/>
                <w:sz w:val="21"/>
                <w:szCs w:val="21"/>
              </w:rPr>
              <w:t>—</w:t>
            </w:r>
          </w:p>
        </w:tc>
        <w:tc>
          <w:tcPr>
            <w:tcW w:w="1701" w:type="dxa"/>
            <w:vAlign w:val="center"/>
          </w:tcPr>
          <w:p>
            <w:pPr>
              <w:spacing w:line="240" w:lineRule="auto"/>
              <w:ind w:right="46" w:rightChars="19" w:firstLine="0" w:firstLineChars="0"/>
              <w:jc w:val="center"/>
              <w:rPr>
                <w:sz w:val="21"/>
                <w:szCs w:val="21"/>
              </w:rPr>
            </w:pPr>
            <w:r>
              <w:rPr>
                <w:rFonts w:hint="eastAsia"/>
                <w:sz w:val="21"/>
                <w:szCs w:val="21"/>
              </w:rPr>
              <w:t>—</w:t>
            </w:r>
          </w:p>
        </w:tc>
        <w:tc>
          <w:tcPr>
            <w:tcW w:w="1559" w:type="dxa"/>
            <w:vAlign w:val="center"/>
          </w:tcPr>
          <w:p>
            <w:pPr>
              <w:pStyle w:val="28"/>
              <w:spacing w:line="240" w:lineRule="auto"/>
              <w:ind w:right="46" w:rightChars="19"/>
              <w:rPr>
                <w:szCs w:val="21"/>
              </w:rPr>
            </w:pPr>
            <w:r>
              <w:rPr>
                <w:rFonts w:hint="eastAsia"/>
                <w:szCs w:val="21"/>
              </w:rPr>
              <w:t>0.001t/a</w:t>
            </w:r>
          </w:p>
        </w:tc>
        <w:tc>
          <w:tcPr>
            <w:tcW w:w="1262" w:type="dxa"/>
            <w:vAlign w:val="center"/>
          </w:tcPr>
          <w:p>
            <w:pPr>
              <w:spacing w:line="240" w:lineRule="auto"/>
              <w:ind w:right="46" w:rightChars="19" w:firstLine="0" w:firstLineChars="0"/>
              <w:jc w:val="center"/>
              <w:rPr>
                <w:sz w:val="21"/>
                <w:szCs w:val="21"/>
              </w:rPr>
            </w:pPr>
            <w:r>
              <w:rPr>
                <w:rFonts w:hint="eastAsia"/>
                <w:sz w:val="21"/>
                <w:szCs w:val="21"/>
              </w:rPr>
              <w:t>—</w:t>
            </w:r>
          </w:p>
        </w:tc>
        <w:tc>
          <w:tcPr>
            <w:tcW w:w="1843" w:type="dxa"/>
            <w:vAlign w:val="center"/>
          </w:tcPr>
          <w:p>
            <w:pPr>
              <w:pStyle w:val="28"/>
              <w:spacing w:line="240" w:lineRule="auto"/>
              <w:ind w:right="46" w:rightChars="19"/>
              <w:rPr>
                <w:szCs w:val="21"/>
              </w:rPr>
            </w:pPr>
            <w:r>
              <w:rPr>
                <w:rFonts w:hint="eastAsia"/>
                <w:szCs w:val="21"/>
              </w:rPr>
              <w:t>0.001t/a</w:t>
            </w:r>
          </w:p>
        </w:tc>
        <w:tc>
          <w:tcPr>
            <w:tcW w:w="1441" w:type="dxa"/>
            <w:vAlign w:val="center"/>
          </w:tcPr>
          <w:p>
            <w:pPr>
              <w:pStyle w:val="28"/>
              <w:spacing w:line="240" w:lineRule="auto"/>
              <w:ind w:right="46" w:rightChars="19"/>
              <w:rPr>
                <w:szCs w:val="21"/>
              </w:rPr>
            </w:pPr>
            <w:r>
              <w:rPr>
                <w:rFonts w:hint="eastAsia"/>
                <w:szCs w:val="21"/>
              </w:rPr>
              <w:t>+0.001t/a</w:t>
            </w:r>
          </w:p>
        </w:tc>
      </w:tr>
    </w:tbl>
    <w:p>
      <w:pPr>
        <w:spacing w:line="240" w:lineRule="auto"/>
        <w:ind w:right="46" w:rightChars="19" w:firstLine="0" w:firstLineChars="0"/>
        <w:jc w:val="left"/>
      </w:pPr>
      <w:r>
        <w:rPr>
          <w:sz w:val="18"/>
          <w:szCs w:val="18"/>
        </w:rPr>
        <w:t>注：</w:t>
      </w:r>
      <w:r>
        <w:rPr>
          <w:sz w:val="18"/>
          <w:szCs w:val="18"/>
        </w:rPr>
        <w:fldChar w:fldCharType="begin"/>
      </w:r>
      <w:r>
        <w:rPr>
          <w:sz w:val="18"/>
          <w:szCs w:val="18"/>
        </w:rPr>
        <w:instrText xml:space="preserve"> = 6 \* GB3 \* MERGEFORMAT </w:instrText>
      </w:r>
      <w:r>
        <w:rPr>
          <w:sz w:val="18"/>
          <w:szCs w:val="18"/>
        </w:rPr>
        <w:fldChar w:fldCharType="separate"/>
      </w:r>
      <w:r>
        <w:rPr>
          <w:rFonts w:hint="eastAsia" w:ascii="宋体" w:hAnsi="宋体" w:cs="宋体"/>
          <w:sz w:val="18"/>
          <w:szCs w:val="18"/>
        </w:rPr>
        <w:t>⑥</w:t>
      </w:r>
      <w:r>
        <w:rPr>
          <w:sz w:val="18"/>
          <w:szCs w:val="18"/>
        </w:rPr>
        <w:fldChar w:fldCharType="end"/>
      </w:r>
      <w:r>
        <w:rPr>
          <w:sz w:val="18"/>
          <w:szCs w:val="18"/>
        </w:rPr>
        <w:t>=</w:t>
      </w:r>
      <w:r>
        <w:rPr>
          <w:sz w:val="18"/>
          <w:szCs w:val="18"/>
        </w:rPr>
        <w:fldChar w:fldCharType="begin"/>
      </w:r>
      <w:r>
        <w:rPr>
          <w:sz w:val="18"/>
          <w:szCs w:val="18"/>
        </w:rPr>
        <w:instrText xml:space="preserve"> = 1 \* GB3 \* MERGEFORMAT </w:instrText>
      </w:r>
      <w:r>
        <w:rPr>
          <w:sz w:val="18"/>
          <w:szCs w:val="18"/>
        </w:rPr>
        <w:fldChar w:fldCharType="separate"/>
      </w:r>
      <w:r>
        <w:rPr>
          <w:rFonts w:hint="eastAsia" w:ascii="宋体" w:hAnsi="宋体" w:cs="宋体"/>
          <w:sz w:val="18"/>
          <w:szCs w:val="18"/>
        </w:rPr>
        <w:t>①</w:t>
      </w:r>
      <w:r>
        <w:rPr>
          <w:sz w:val="18"/>
          <w:szCs w:val="18"/>
        </w:rPr>
        <w:fldChar w:fldCharType="end"/>
      </w:r>
      <w:r>
        <w:rPr>
          <w:sz w:val="18"/>
          <w:szCs w:val="18"/>
        </w:rPr>
        <w:t>+</w:t>
      </w:r>
      <w:r>
        <w:rPr>
          <w:sz w:val="18"/>
          <w:szCs w:val="18"/>
        </w:rPr>
        <w:fldChar w:fldCharType="begin"/>
      </w:r>
      <w:r>
        <w:rPr>
          <w:sz w:val="18"/>
          <w:szCs w:val="18"/>
        </w:rPr>
        <w:instrText xml:space="preserve"> = 3 \* GB3 \* MERGEFORMAT </w:instrText>
      </w:r>
      <w:r>
        <w:rPr>
          <w:sz w:val="18"/>
          <w:szCs w:val="18"/>
        </w:rPr>
        <w:fldChar w:fldCharType="separate"/>
      </w:r>
      <w:r>
        <w:rPr>
          <w:rFonts w:hint="eastAsia" w:ascii="宋体" w:hAnsi="宋体" w:cs="宋体"/>
          <w:sz w:val="18"/>
          <w:szCs w:val="18"/>
        </w:rPr>
        <w:t>③</w:t>
      </w:r>
      <w:r>
        <w:rPr>
          <w:sz w:val="18"/>
          <w:szCs w:val="18"/>
        </w:rPr>
        <w:fldChar w:fldCharType="end"/>
      </w:r>
      <w:r>
        <w:rPr>
          <w:sz w:val="18"/>
          <w:szCs w:val="18"/>
        </w:rPr>
        <w:t>+</w:t>
      </w:r>
      <w:r>
        <w:rPr>
          <w:sz w:val="18"/>
          <w:szCs w:val="18"/>
        </w:rPr>
        <w:fldChar w:fldCharType="begin"/>
      </w:r>
      <w:r>
        <w:rPr>
          <w:sz w:val="18"/>
          <w:szCs w:val="18"/>
        </w:rPr>
        <w:instrText xml:space="preserve"> = 4 \* GB3 \* MERGEFORMAT </w:instrText>
      </w:r>
      <w:r>
        <w:rPr>
          <w:sz w:val="18"/>
          <w:szCs w:val="18"/>
        </w:rPr>
        <w:fldChar w:fldCharType="separate"/>
      </w:r>
      <w:r>
        <w:rPr>
          <w:rFonts w:hint="eastAsia" w:ascii="宋体" w:hAnsi="宋体" w:cs="宋体"/>
          <w:sz w:val="18"/>
          <w:szCs w:val="18"/>
        </w:rPr>
        <w:t>④</w:t>
      </w:r>
      <w:r>
        <w:rPr>
          <w:sz w:val="18"/>
          <w:szCs w:val="18"/>
        </w:rPr>
        <w:fldChar w:fldCharType="end"/>
      </w:r>
      <w:r>
        <w:rPr>
          <w:sz w:val="18"/>
          <w:szCs w:val="18"/>
        </w:rPr>
        <w:t>-</w:t>
      </w:r>
      <w:r>
        <w:rPr>
          <w:sz w:val="18"/>
          <w:szCs w:val="18"/>
        </w:rPr>
        <w:fldChar w:fldCharType="begin"/>
      </w:r>
      <w:r>
        <w:rPr>
          <w:sz w:val="18"/>
          <w:szCs w:val="18"/>
        </w:rPr>
        <w:instrText xml:space="preserve"> = 5 \* GB3 \* MERGEFORMAT </w:instrText>
      </w:r>
      <w:r>
        <w:rPr>
          <w:sz w:val="18"/>
          <w:szCs w:val="18"/>
        </w:rPr>
        <w:fldChar w:fldCharType="separate"/>
      </w:r>
      <w:r>
        <w:rPr>
          <w:rFonts w:hint="eastAsia" w:ascii="宋体" w:hAnsi="宋体" w:cs="宋体"/>
          <w:sz w:val="18"/>
          <w:szCs w:val="18"/>
        </w:rPr>
        <w:t>⑤</w:t>
      </w:r>
      <w:r>
        <w:rPr>
          <w:sz w:val="18"/>
          <w:szCs w:val="18"/>
        </w:rPr>
        <w:fldChar w:fldCharType="end"/>
      </w:r>
      <w:r>
        <w:rPr>
          <w:sz w:val="18"/>
          <w:szCs w:val="18"/>
        </w:rPr>
        <w:t>；</w:t>
      </w:r>
      <w:r>
        <w:rPr>
          <w:sz w:val="18"/>
          <w:szCs w:val="18"/>
        </w:rPr>
        <w:fldChar w:fldCharType="begin"/>
      </w:r>
      <w:r>
        <w:rPr>
          <w:sz w:val="18"/>
          <w:szCs w:val="18"/>
        </w:rPr>
        <w:instrText xml:space="preserve"> = 7 \* GB3 \* MERGEFORMAT </w:instrText>
      </w:r>
      <w:r>
        <w:rPr>
          <w:sz w:val="18"/>
          <w:szCs w:val="18"/>
        </w:rPr>
        <w:fldChar w:fldCharType="separate"/>
      </w:r>
      <w:r>
        <w:rPr>
          <w:rFonts w:hint="eastAsia" w:ascii="宋体" w:hAnsi="宋体" w:cs="宋体"/>
          <w:sz w:val="18"/>
          <w:szCs w:val="18"/>
        </w:rPr>
        <w:t>⑦</w:t>
      </w:r>
      <w:r>
        <w:rPr>
          <w:sz w:val="18"/>
          <w:szCs w:val="18"/>
        </w:rPr>
        <w:fldChar w:fldCharType="end"/>
      </w:r>
      <w:r>
        <w:rPr>
          <w:sz w:val="18"/>
          <w:szCs w:val="18"/>
        </w:rPr>
        <w:t>=</w:t>
      </w:r>
      <w:r>
        <w:rPr>
          <w:sz w:val="18"/>
          <w:szCs w:val="18"/>
        </w:rPr>
        <w:fldChar w:fldCharType="begin"/>
      </w:r>
      <w:r>
        <w:rPr>
          <w:sz w:val="18"/>
          <w:szCs w:val="18"/>
        </w:rPr>
        <w:instrText xml:space="preserve"> = 6 \* GB3 \* MERGEFORMAT </w:instrText>
      </w:r>
      <w:r>
        <w:rPr>
          <w:sz w:val="18"/>
          <w:szCs w:val="18"/>
        </w:rPr>
        <w:fldChar w:fldCharType="separate"/>
      </w:r>
      <w:r>
        <w:rPr>
          <w:rFonts w:hint="eastAsia" w:ascii="宋体" w:hAnsi="宋体" w:cs="宋体"/>
          <w:sz w:val="18"/>
          <w:szCs w:val="18"/>
        </w:rPr>
        <w:t>⑥</w:t>
      </w:r>
      <w:r>
        <w:rPr>
          <w:sz w:val="18"/>
          <w:szCs w:val="18"/>
        </w:rPr>
        <w:fldChar w:fldCharType="end"/>
      </w:r>
      <w:r>
        <w:rPr>
          <w:sz w:val="18"/>
          <w:szCs w:val="18"/>
        </w:rPr>
        <w:t>-</w:t>
      </w:r>
      <w:r>
        <w:rPr>
          <w:sz w:val="18"/>
          <w:szCs w:val="18"/>
        </w:rPr>
        <w:fldChar w:fldCharType="begin"/>
      </w:r>
      <w:r>
        <w:rPr>
          <w:sz w:val="18"/>
          <w:szCs w:val="18"/>
        </w:rPr>
        <w:instrText xml:space="preserve"> = 1 \* GB3 \* MERGEFORMAT </w:instrText>
      </w:r>
      <w:r>
        <w:rPr>
          <w:sz w:val="18"/>
          <w:szCs w:val="18"/>
        </w:rPr>
        <w:fldChar w:fldCharType="separate"/>
      </w:r>
      <w:r>
        <w:rPr>
          <w:rFonts w:hint="eastAsia" w:ascii="宋体" w:hAnsi="宋体" w:cs="宋体"/>
          <w:sz w:val="18"/>
          <w:szCs w:val="18"/>
        </w:rPr>
        <w:t>①</w:t>
      </w:r>
      <w:r>
        <w:rPr>
          <w:sz w:val="18"/>
          <w:szCs w:val="18"/>
        </w:rPr>
        <w:fldChar w:fldCharType="end"/>
      </w:r>
    </w:p>
    <w:sectPr>
      <w:footerReference r:id="rId12" w:type="default"/>
      <w:pgSz w:w="16838" w:h="11906" w:orient="landscape"/>
      <w:pgMar w:top="1797" w:right="1440" w:bottom="1797" w:left="144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Unicode MS">
    <w:panose1 w:val="020B0604020202020204"/>
    <w:charset w:val="86"/>
    <w:family w:val="swiss"/>
    <w:pitch w:val="default"/>
    <w:sig w:usb0="FFFFFFFF" w:usb1="E9FFFFFF" w:usb2="0000003F" w:usb3="00000000" w:csb0="603F01FF" w:csb1="FFFF0000"/>
  </w:font>
  <w:font w:name="MingLiU">
    <w:panose1 w:val="02020509000000000000"/>
    <w:charset w:val="88"/>
    <w:family w:val="modern"/>
    <w:pitch w:val="default"/>
    <w:sig w:usb0="A00002FF" w:usb1="28CFFCFA" w:usb2="00000016" w:usb3="00000000" w:csb0="00100001" w:csb1="00000000"/>
  </w:font>
  <w:font w:name="Microsoft YaHei UI">
    <w:altName w:val="宋体"/>
    <w:panose1 w:val="020B0503020204020204"/>
    <w:charset w:val="86"/>
    <w:family w:val="swiss"/>
    <w:pitch w:val="default"/>
    <w:sig w:usb0="00000000" w:usb1="00000000" w:usb2="00000016" w:usb3="00000000" w:csb0="0004001F" w:csb1="00000000"/>
  </w:font>
  <w:font w:name="Wingdings 2">
    <w:panose1 w:val="05020102010507070707"/>
    <w:charset w:val="02"/>
    <w:family w:val="roman"/>
    <w:pitch w:val="default"/>
    <w:sig w:usb0="00000000" w:usb1="00000000" w:usb2="00000000" w:usb3="00000000" w:csb0="80000000" w:csb1="00000000"/>
  </w:font>
  <w:font w:name="楷体">
    <w:panose1 w:val="02010609060101010101"/>
    <w:charset w:val="86"/>
    <w:family w:val="modern"/>
    <w:pitch w:val="default"/>
    <w:sig w:usb0="800002BF" w:usb1="38CF7CFA" w:usb2="00000016" w:usb3="00000000" w:csb0="00040001" w:csb1="00000000"/>
  </w:font>
  <w:font w:name="等线">
    <w:altName w:val="Arial Unicode MS"/>
    <w:panose1 w:val="02010600030101010101"/>
    <w:charset w:val="86"/>
    <w:family w:val="auto"/>
    <w:pitch w:val="default"/>
    <w:sig w:usb0="00000000" w:usb1="00000000"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ind w:firstLine="360"/>
      <w:jc w:val="center"/>
    </w:pPr>
  </w:p>
  <w:p>
    <w:pPr>
      <w:pStyle w:val="12"/>
      <w:spacing w:line="240" w:lineRule="auto"/>
      <w:ind w:firstLine="0" w:firstLineChars="0"/>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710182991"/>
      <w:docPartObj>
        <w:docPartGallery w:val="autotext"/>
      </w:docPartObj>
    </w:sdtPr>
    <w:sdtContent>
      <w:p>
        <w:pPr>
          <w:pStyle w:val="12"/>
          <w:spacing w:line="240" w:lineRule="auto"/>
          <w:ind w:firstLine="0" w:firstLineChars="0"/>
          <w:jc w:val="center"/>
        </w:pPr>
        <w:r>
          <w:fldChar w:fldCharType="begin"/>
        </w:r>
        <w:r>
          <w:instrText xml:space="preserve">PAGE   \* MERGEFORMAT</w:instrText>
        </w:r>
        <w:r>
          <w:fldChar w:fldCharType="separate"/>
        </w:r>
        <w:r>
          <w:rPr>
            <w:lang w:val="zh-CN"/>
          </w:rPr>
          <w:t>78</w:t>
        </w:r>
        <w:r>
          <w:fldChar w:fldCharType="end"/>
        </w:r>
      </w:p>
    </w:sdtContent>
  </w:sdt>
  <w:p>
    <w:pPr>
      <w:pStyle w:val="12"/>
      <w:spacing w:line="240" w:lineRule="auto"/>
      <w:ind w:firstLine="0" w:firstLineChars="0"/>
      <w:jc w:val="cen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framePr w:wrap="around" w:vAnchor="text" w:hAnchor="margin" w:xAlign="center" w:y="1"/>
      <w:ind w:firstLine="360"/>
      <w:rPr>
        <w:rStyle w:val="19"/>
      </w:rPr>
    </w:pPr>
    <w:r>
      <w:rPr>
        <w:rStyle w:val="19"/>
      </w:rPr>
      <w:fldChar w:fldCharType="begin"/>
    </w:r>
    <w:r>
      <w:rPr>
        <w:rStyle w:val="19"/>
      </w:rPr>
      <w:instrText xml:space="preserve">PAGE  </w:instrText>
    </w:r>
    <w:r>
      <w:rPr>
        <w:rStyle w:val="19"/>
      </w:rPr>
      <w:fldChar w:fldCharType="separate"/>
    </w:r>
    <w:r>
      <w:rPr>
        <w:rStyle w:val="19"/>
      </w:rPr>
      <w:t>79</w:t>
    </w:r>
    <w:r>
      <w:rPr>
        <w:rStyle w:val="19"/>
      </w:rPr>
      <w:fldChar w:fldCharType="end"/>
    </w:r>
  </w:p>
  <w:p>
    <w:pPr>
      <w:pStyle w:val="12"/>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480"/>
      </w:pPr>
      <w:r>
        <w:separator/>
      </w:r>
    </w:p>
  </w:footnote>
  <w:footnote w:type="continuationSeparator" w:id="1">
    <w:p>
      <w:pPr>
        <w:spacing w:line="240" w:lineRule="auto"/>
        <w:ind w:firstLine="48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Bdr>
        <w:bottom w:val="none" w:color="auto" w:sz="0" w:space="0"/>
      </w:pBdr>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2A05A3A"/>
    <w:multiLevelType w:val="multilevel"/>
    <w:tmpl w:val="62A05A3A"/>
    <w:lvl w:ilvl="0" w:tentative="0">
      <w:start w:val="1"/>
      <w:numFmt w:val="decimal"/>
      <w:lvlText w:val="%1"/>
      <w:lvlJc w:val="left"/>
      <w:pPr>
        <w:ind w:left="432" w:hanging="432"/>
      </w:pPr>
      <w:rPr>
        <w:rFonts w:hint="default"/>
        <w:b/>
        <w:i w:val="0"/>
        <w:sz w:val="30"/>
      </w:rPr>
    </w:lvl>
    <w:lvl w:ilvl="1" w:tentative="0">
      <w:start w:val="1"/>
      <w:numFmt w:val="decimal"/>
      <w:pStyle w:val="3"/>
      <w:lvlText w:val="%1.%2"/>
      <w:lvlJc w:val="left"/>
      <w:pPr>
        <w:ind w:left="576" w:hanging="576"/>
      </w:pPr>
      <w:rPr>
        <w:rFonts w:hint="default"/>
        <w:b/>
        <w:i w:val="0"/>
        <w:sz w:val="28"/>
      </w:rPr>
    </w:lvl>
    <w:lvl w:ilvl="2" w:tentative="0">
      <w:start w:val="1"/>
      <w:numFmt w:val="decimal"/>
      <w:pStyle w:val="4"/>
      <w:lvlText w:val="%1.%2.%3"/>
      <w:lvlJc w:val="left"/>
      <w:pPr>
        <w:ind w:left="720" w:hanging="720"/>
      </w:pPr>
      <w:rPr>
        <w:rFonts w:hint="default"/>
        <w:b/>
        <w:i w:val="0"/>
        <w:sz w:val="24"/>
      </w:rPr>
    </w:lvl>
    <w:lvl w:ilvl="3" w:tentative="0">
      <w:start w:val="1"/>
      <w:numFmt w:val="decimal"/>
      <w:pStyle w:val="5"/>
      <w:lvlText w:val="%1.%2.%3.%4"/>
      <w:lvlJc w:val="left"/>
      <w:pPr>
        <w:ind w:left="864" w:hanging="864"/>
      </w:pPr>
      <w:rPr>
        <w:rFonts w:hint="eastAsia"/>
        <w:b w:val="0"/>
        <w:i w:val="0"/>
        <w:sz w:val="24"/>
      </w:rPr>
    </w:lvl>
    <w:lvl w:ilvl="4" w:tentative="0">
      <w:start w:val="1"/>
      <w:numFmt w:val="decimal"/>
      <w:lvlText w:val="%1.%2.%3.%4.%5"/>
      <w:lvlJc w:val="left"/>
      <w:pPr>
        <w:ind w:left="1008" w:hanging="1008"/>
      </w:pPr>
      <w:rPr>
        <w:rFonts w:hint="eastAsia"/>
      </w:rPr>
    </w:lvl>
    <w:lvl w:ilvl="5" w:tentative="0">
      <w:start w:val="1"/>
      <w:numFmt w:val="decimal"/>
      <w:lvlText w:val="%1.%2.%3.%4.%5.%6"/>
      <w:lvlJc w:val="left"/>
      <w:pPr>
        <w:ind w:left="1152" w:hanging="1152"/>
      </w:pPr>
      <w:rPr>
        <w:rFonts w:hint="eastAsia"/>
      </w:rPr>
    </w:lvl>
    <w:lvl w:ilvl="6" w:tentative="0">
      <w:start w:val="1"/>
      <w:numFmt w:val="decimal"/>
      <w:lvlText w:val="%1.%2.%3.%4.%5.%6.%7"/>
      <w:lvlJc w:val="left"/>
      <w:pPr>
        <w:ind w:left="1296" w:hanging="1296"/>
      </w:pPr>
      <w:rPr>
        <w:rFonts w:hint="eastAsia"/>
      </w:rPr>
    </w:lvl>
    <w:lvl w:ilvl="7" w:tentative="0">
      <w:start w:val="1"/>
      <w:numFmt w:val="decimal"/>
      <w:lvlText w:val="%1.%2.%3.%4.%5.%6.%7.%8"/>
      <w:lvlJc w:val="left"/>
      <w:pPr>
        <w:ind w:left="1440" w:hanging="1440"/>
      </w:pPr>
      <w:rPr>
        <w:rFonts w:hint="eastAsia"/>
      </w:rPr>
    </w:lvl>
    <w:lvl w:ilvl="8" w:tentative="0">
      <w:start w:val="1"/>
      <w:numFmt w:val="decimal"/>
      <w:lvlText w:val="%1.%2.%3.%4.%5.%6.%7.%8.%9"/>
      <w:lvlJc w:val="left"/>
      <w:pPr>
        <w:ind w:left="1584" w:hanging="1584"/>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documentProtection w:enforcement="0"/>
  <w:defaultTabStop w:val="420"/>
  <w:drawingGridHorizontalSpacing w:val="120"/>
  <w:drawingGridVerticalSpacing w:val="163"/>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655C"/>
    <w:rsid w:val="00000AF5"/>
    <w:rsid w:val="00000C7C"/>
    <w:rsid w:val="00000F62"/>
    <w:rsid w:val="000011A7"/>
    <w:rsid w:val="0000133A"/>
    <w:rsid w:val="00001943"/>
    <w:rsid w:val="00001945"/>
    <w:rsid w:val="00001BDA"/>
    <w:rsid w:val="000020C8"/>
    <w:rsid w:val="0000211D"/>
    <w:rsid w:val="000027F5"/>
    <w:rsid w:val="000029F9"/>
    <w:rsid w:val="00003A75"/>
    <w:rsid w:val="00004197"/>
    <w:rsid w:val="00004252"/>
    <w:rsid w:val="000049FE"/>
    <w:rsid w:val="0000558F"/>
    <w:rsid w:val="000064B5"/>
    <w:rsid w:val="00006596"/>
    <w:rsid w:val="00006BBD"/>
    <w:rsid w:val="00006D67"/>
    <w:rsid w:val="000070B6"/>
    <w:rsid w:val="000070C0"/>
    <w:rsid w:val="00007198"/>
    <w:rsid w:val="0000795C"/>
    <w:rsid w:val="00007C17"/>
    <w:rsid w:val="00007D75"/>
    <w:rsid w:val="000100CD"/>
    <w:rsid w:val="000100DD"/>
    <w:rsid w:val="00010161"/>
    <w:rsid w:val="0001042A"/>
    <w:rsid w:val="00010516"/>
    <w:rsid w:val="00010EA5"/>
    <w:rsid w:val="000110C9"/>
    <w:rsid w:val="000111CA"/>
    <w:rsid w:val="00011BD1"/>
    <w:rsid w:val="00012007"/>
    <w:rsid w:val="00012288"/>
    <w:rsid w:val="000126C2"/>
    <w:rsid w:val="0001278F"/>
    <w:rsid w:val="000132A7"/>
    <w:rsid w:val="000133DC"/>
    <w:rsid w:val="000134E1"/>
    <w:rsid w:val="0001351B"/>
    <w:rsid w:val="0001378B"/>
    <w:rsid w:val="000138E4"/>
    <w:rsid w:val="00013C77"/>
    <w:rsid w:val="00014638"/>
    <w:rsid w:val="00014ACC"/>
    <w:rsid w:val="00015064"/>
    <w:rsid w:val="00015620"/>
    <w:rsid w:val="00015D7B"/>
    <w:rsid w:val="00015DE7"/>
    <w:rsid w:val="000167FA"/>
    <w:rsid w:val="00016A84"/>
    <w:rsid w:val="00017344"/>
    <w:rsid w:val="00017931"/>
    <w:rsid w:val="000202D9"/>
    <w:rsid w:val="00020AA0"/>
    <w:rsid w:val="00021A1D"/>
    <w:rsid w:val="00021C7C"/>
    <w:rsid w:val="000221BA"/>
    <w:rsid w:val="0002223D"/>
    <w:rsid w:val="00022ADC"/>
    <w:rsid w:val="00022CFA"/>
    <w:rsid w:val="00022FDA"/>
    <w:rsid w:val="00023622"/>
    <w:rsid w:val="000239ED"/>
    <w:rsid w:val="00023D24"/>
    <w:rsid w:val="00024839"/>
    <w:rsid w:val="00025085"/>
    <w:rsid w:val="00025161"/>
    <w:rsid w:val="00025248"/>
    <w:rsid w:val="00025371"/>
    <w:rsid w:val="0002548F"/>
    <w:rsid w:val="000257BB"/>
    <w:rsid w:val="00026131"/>
    <w:rsid w:val="000262F0"/>
    <w:rsid w:val="0002676F"/>
    <w:rsid w:val="00026975"/>
    <w:rsid w:val="00027D72"/>
    <w:rsid w:val="0003048D"/>
    <w:rsid w:val="00030873"/>
    <w:rsid w:val="00030D6E"/>
    <w:rsid w:val="00030E74"/>
    <w:rsid w:val="00032B10"/>
    <w:rsid w:val="00033330"/>
    <w:rsid w:val="0003415F"/>
    <w:rsid w:val="0003456F"/>
    <w:rsid w:val="0003470D"/>
    <w:rsid w:val="0003471D"/>
    <w:rsid w:val="000356B1"/>
    <w:rsid w:val="000356CB"/>
    <w:rsid w:val="00035798"/>
    <w:rsid w:val="00036396"/>
    <w:rsid w:val="0003655C"/>
    <w:rsid w:val="00036CB6"/>
    <w:rsid w:val="00036ECE"/>
    <w:rsid w:val="00037030"/>
    <w:rsid w:val="00037767"/>
    <w:rsid w:val="00037E91"/>
    <w:rsid w:val="0004029C"/>
    <w:rsid w:val="000404B8"/>
    <w:rsid w:val="00040D53"/>
    <w:rsid w:val="00041037"/>
    <w:rsid w:val="00041277"/>
    <w:rsid w:val="00041A6D"/>
    <w:rsid w:val="00041C26"/>
    <w:rsid w:val="00042A9F"/>
    <w:rsid w:val="00042BEF"/>
    <w:rsid w:val="00042DE0"/>
    <w:rsid w:val="00042FE5"/>
    <w:rsid w:val="0004301A"/>
    <w:rsid w:val="000431CD"/>
    <w:rsid w:val="00043780"/>
    <w:rsid w:val="00043F8A"/>
    <w:rsid w:val="00044136"/>
    <w:rsid w:val="00044360"/>
    <w:rsid w:val="00045219"/>
    <w:rsid w:val="00045410"/>
    <w:rsid w:val="000459CE"/>
    <w:rsid w:val="00045B60"/>
    <w:rsid w:val="000466DF"/>
    <w:rsid w:val="00046765"/>
    <w:rsid w:val="000467F8"/>
    <w:rsid w:val="000475E8"/>
    <w:rsid w:val="00047C6B"/>
    <w:rsid w:val="00050068"/>
    <w:rsid w:val="00050680"/>
    <w:rsid w:val="00050703"/>
    <w:rsid w:val="00050735"/>
    <w:rsid w:val="00050D52"/>
    <w:rsid w:val="00050F54"/>
    <w:rsid w:val="000513B5"/>
    <w:rsid w:val="0005150E"/>
    <w:rsid w:val="00051515"/>
    <w:rsid w:val="000515B4"/>
    <w:rsid w:val="00051A7D"/>
    <w:rsid w:val="0005225E"/>
    <w:rsid w:val="000522F4"/>
    <w:rsid w:val="00052598"/>
    <w:rsid w:val="0005274F"/>
    <w:rsid w:val="000530E4"/>
    <w:rsid w:val="00053177"/>
    <w:rsid w:val="0005408E"/>
    <w:rsid w:val="00054669"/>
    <w:rsid w:val="00054B61"/>
    <w:rsid w:val="00055B27"/>
    <w:rsid w:val="00055E42"/>
    <w:rsid w:val="00055E81"/>
    <w:rsid w:val="00056C9E"/>
    <w:rsid w:val="00056D5A"/>
    <w:rsid w:val="00056E5F"/>
    <w:rsid w:val="000574D0"/>
    <w:rsid w:val="00057813"/>
    <w:rsid w:val="00057932"/>
    <w:rsid w:val="00057B97"/>
    <w:rsid w:val="0006028F"/>
    <w:rsid w:val="0006038B"/>
    <w:rsid w:val="000606AD"/>
    <w:rsid w:val="000607C9"/>
    <w:rsid w:val="000608F6"/>
    <w:rsid w:val="000609B4"/>
    <w:rsid w:val="00060A2F"/>
    <w:rsid w:val="00060A49"/>
    <w:rsid w:val="000616F1"/>
    <w:rsid w:val="00061EDA"/>
    <w:rsid w:val="000621F0"/>
    <w:rsid w:val="000622DC"/>
    <w:rsid w:val="00062467"/>
    <w:rsid w:val="00063022"/>
    <w:rsid w:val="0006313C"/>
    <w:rsid w:val="00063B18"/>
    <w:rsid w:val="00063B58"/>
    <w:rsid w:val="0006440B"/>
    <w:rsid w:val="00064926"/>
    <w:rsid w:val="00064936"/>
    <w:rsid w:val="00065A14"/>
    <w:rsid w:val="00066FB3"/>
    <w:rsid w:val="00067A1C"/>
    <w:rsid w:val="00067DF2"/>
    <w:rsid w:val="00070655"/>
    <w:rsid w:val="00070C27"/>
    <w:rsid w:val="000713F2"/>
    <w:rsid w:val="00072599"/>
    <w:rsid w:val="00072D74"/>
    <w:rsid w:val="00072E26"/>
    <w:rsid w:val="00073D14"/>
    <w:rsid w:val="00074566"/>
    <w:rsid w:val="00074EAB"/>
    <w:rsid w:val="00075164"/>
    <w:rsid w:val="000755CE"/>
    <w:rsid w:val="000757F5"/>
    <w:rsid w:val="00075866"/>
    <w:rsid w:val="0007591C"/>
    <w:rsid w:val="00075F75"/>
    <w:rsid w:val="000762AB"/>
    <w:rsid w:val="000764CF"/>
    <w:rsid w:val="0007691E"/>
    <w:rsid w:val="00076A26"/>
    <w:rsid w:val="00077252"/>
    <w:rsid w:val="0007741C"/>
    <w:rsid w:val="00077451"/>
    <w:rsid w:val="00077A31"/>
    <w:rsid w:val="00077C50"/>
    <w:rsid w:val="000803B7"/>
    <w:rsid w:val="000803F4"/>
    <w:rsid w:val="00080421"/>
    <w:rsid w:val="00080DFB"/>
    <w:rsid w:val="00081690"/>
    <w:rsid w:val="00082AD1"/>
    <w:rsid w:val="00082E0D"/>
    <w:rsid w:val="00082E4B"/>
    <w:rsid w:val="00082F2A"/>
    <w:rsid w:val="00083039"/>
    <w:rsid w:val="0008334D"/>
    <w:rsid w:val="00083B7F"/>
    <w:rsid w:val="000840BB"/>
    <w:rsid w:val="00084B6A"/>
    <w:rsid w:val="00086162"/>
    <w:rsid w:val="000864CC"/>
    <w:rsid w:val="00086689"/>
    <w:rsid w:val="00086DD8"/>
    <w:rsid w:val="0008721C"/>
    <w:rsid w:val="00087832"/>
    <w:rsid w:val="0008789F"/>
    <w:rsid w:val="00090017"/>
    <w:rsid w:val="000902F9"/>
    <w:rsid w:val="000905D4"/>
    <w:rsid w:val="00090BDA"/>
    <w:rsid w:val="00091108"/>
    <w:rsid w:val="000915B6"/>
    <w:rsid w:val="00091B2E"/>
    <w:rsid w:val="00092680"/>
    <w:rsid w:val="000928AB"/>
    <w:rsid w:val="00093074"/>
    <w:rsid w:val="00094A30"/>
    <w:rsid w:val="00094A7D"/>
    <w:rsid w:val="00094B49"/>
    <w:rsid w:val="00094CE0"/>
    <w:rsid w:val="0009517F"/>
    <w:rsid w:val="00095A22"/>
    <w:rsid w:val="00095DD8"/>
    <w:rsid w:val="00095EEF"/>
    <w:rsid w:val="000960A2"/>
    <w:rsid w:val="000964C5"/>
    <w:rsid w:val="000969CB"/>
    <w:rsid w:val="00096C8A"/>
    <w:rsid w:val="000970F0"/>
    <w:rsid w:val="00097C3C"/>
    <w:rsid w:val="00097C5A"/>
    <w:rsid w:val="00097F7A"/>
    <w:rsid w:val="000A008C"/>
    <w:rsid w:val="000A1664"/>
    <w:rsid w:val="000A16B9"/>
    <w:rsid w:val="000A1B06"/>
    <w:rsid w:val="000A265F"/>
    <w:rsid w:val="000A294D"/>
    <w:rsid w:val="000A2995"/>
    <w:rsid w:val="000A2B54"/>
    <w:rsid w:val="000A3613"/>
    <w:rsid w:val="000A3D99"/>
    <w:rsid w:val="000A3E08"/>
    <w:rsid w:val="000A40FB"/>
    <w:rsid w:val="000A4546"/>
    <w:rsid w:val="000A4D80"/>
    <w:rsid w:val="000A62FD"/>
    <w:rsid w:val="000A649F"/>
    <w:rsid w:val="000A68CF"/>
    <w:rsid w:val="000A6DB8"/>
    <w:rsid w:val="000A7147"/>
    <w:rsid w:val="000B00B5"/>
    <w:rsid w:val="000B0475"/>
    <w:rsid w:val="000B0AE1"/>
    <w:rsid w:val="000B0EF9"/>
    <w:rsid w:val="000B1490"/>
    <w:rsid w:val="000B160C"/>
    <w:rsid w:val="000B1820"/>
    <w:rsid w:val="000B1C0B"/>
    <w:rsid w:val="000B218E"/>
    <w:rsid w:val="000B2497"/>
    <w:rsid w:val="000B2F1F"/>
    <w:rsid w:val="000B3A66"/>
    <w:rsid w:val="000B3F71"/>
    <w:rsid w:val="000B4463"/>
    <w:rsid w:val="000B50DB"/>
    <w:rsid w:val="000B5D2C"/>
    <w:rsid w:val="000B6732"/>
    <w:rsid w:val="000B6A51"/>
    <w:rsid w:val="000B6ADD"/>
    <w:rsid w:val="000B6DDA"/>
    <w:rsid w:val="000B706A"/>
    <w:rsid w:val="000B7278"/>
    <w:rsid w:val="000B7961"/>
    <w:rsid w:val="000C01DC"/>
    <w:rsid w:val="000C046B"/>
    <w:rsid w:val="000C0CBC"/>
    <w:rsid w:val="000C1661"/>
    <w:rsid w:val="000C1AD3"/>
    <w:rsid w:val="000C20E7"/>
    <w:rsid w:val="000C2466"/>
    <w:rsid w:val="000C2638"/>
    <w:rsid w:val="000C2B57"/>
    <w:rsid w:val="000C2BCC"/>
    <w:rsid w:val="000C2EFD"/>
    <w:rsid w:val="000C3320"/>
    <w:rsid w:val="000C37A9"/>
    <w:rsid w:val="000C37C6"/>
    <w:rsid w:val="000C39C0"/>
    <w:rsid w:val="000C3A01"/>
    <w:rsid w:val="000C4599"/>
    <w:rsid w:val="000C4AEC"/>
    <w:rsid w:val="000C56FB"/>
    <w:rsid w:val="000C574E"/>
    <w:rsid w:val="000C6648"/>
    <w:rsid w:val="000C6B0B"/>
    <w:rsid w:val="000C6FCA"/>
    <w:rsid w:val="000C717A"/>
    <w:rsid w:val="000C762A"/>
    <w:rsid w:val="000C77D2"/>
    <w:rsid w:val="000D020D"/>
    <w:rsid w:val="000D0814"/>
    <w:rsid w:val="000D0E5D"/>
    <w:rsid w:val="000D1065"/>
    <w:rsid w:val="000D1111"/>
    <w:rsid w:val="000D17F0"/>
    <w:rsid w:val="000D1877"/>
    <w:rsid w:val="000D19F7"/>
    <w:rsid w:val="000D1CFD"/>
    <w:rsid w:val="000D1EC2"/>
    <w:rsid w:val="000D2B2D"/>
    <w:rsid w:val="000D2FA2"/>
    <w:rsid w:val="000D3861"/>
    <w:rsid w:val="000D3C31"/>
    <w:rsid w:val="000D3E19"/>
    <w:rsid w:val="000D4271"/>
    <w:rsid w:val="000D4358"/>
    <w:rsid w:val="000D44E4"/>
    <w:rsid w:val="000D4A1B"/>
    <w:rsid w:val="000D4FF4"/>
    <w:rsid w:val="000D5147"/>
    <w:rsid w:val="000D538F"/>
    <w:rsid w:val="000D591A"/>
    <w:rsid w:val="000D5BDE"/>
    <w:rsid w:val="000D5DB8"/>
    <w:rsid w:val="000D6658"/>
    <w:rsid w:val="000D6BA7"/>
    <w:rsid w:val="000D71EF"/>
    <w:rsid w:val="000D7744"/>
    <w:rsid w:val="000E0134"/>
    <w:rsid w:val="000E0148"/>
    <w:rsid w:val="000E0677"/>
    <w:rsid w:val="000E0F58"/>
    <w:rsid w:val="000E11C0"/>
    <w:rsid w:val="000E1726"/>
    <w:rsid w:val="000E1E83"/>
    <w:rsid w:val="000E1F44"/>
    <w:rsid w:val="000E2D2D"/>
    <w:rsid w:val="000E2F9D"/>
    <w:rsid w:val="000E3209"/>
    <w:rsid w:val="000E37FD"/>
    <w:rsid w:val="000E3B98"/>
    <w:rsid w:val="000E3C24"/>
    <w:rsid w:val="000E3F6B"/>
    <w:rsid w:val="000E4DAB"/>
    <w:rsid w:val="000E5364"/>
    <w:rsid w:val="000E5AB3"/>
    <w:rsid w:val="000E6BD2"/>
    <w:rsid w:val="000F05BF"/>
    <w:rsid w:val="000F05CB"/>
    <w:rsid w:val="000F063D"/>
    <w:rsid w:val="000F0B45"/>
    <w:rsid w:val="000F1132"/>
    <w:rsid w:val="000F1621"/>
    <w:rsid w:val="000F1AF7"/>
    <w:rsid w:val="000F1E61"/>
    <w:rsid w:val="000F28AB"/>
    <w:rsid w:val="000F39F2"/>
    <w:rsid w:val="000F4035"/>
    <w:rsid w:val="000F40F2"/>
    <w:rsid w:val="000F4995"/>
    <w:rsid w:val="000F5347"/>
    <w:rsid w:val="000F53FD"/>
    <w:rsid w:val="000F56B3"/>
    <w:rsid w:val="000F6947"/>
    <w:rsid w:val="000F6A64"/>
    <w:rsid w:val="000F6F52"/>
    <w:rsid w:val="000F73AC"/>
    <w:rsid w:val="000F7F1F"/>
    <w:rsid w:val="00100026"/>
    <w:rsid w:val="00101139"/>
    <w:rsid w:val="00101312"/>
    <w:rsid w:val="001016C2"/>
    <w:rsid w:val="00101765"/>
    <w:rsid w:val="00102517"/>
    <w:rsid w:val="00102EAC"/>
    <w:rsid w:val="00104E83"/>
    <w:rsid w:val="00105216"/>
    <w:rsid w:val="00105691"/>
    <w:rsid w:val="00105DEC"/>
    <w:rsid w:val="001061EC"/>
    <w:rsid w:val="0010663A"/>
    <w:rsid w:val="0010663D"/>
    <w:rsid w:val="00107109"/>
    <w:rsid w:val="001073CF"/>
    <w:rsid w:val="00107BDD"/>
    <w:rsid w:val="00110473"/>
    <w:rsid w:val="0011078F"/>
    <w:rsid w:val="0011163B"/>
    <w:rsid w:val="00111F41"/>
    <w:rsid w:val="00112F47"/>
    <w:rsid w:val="00113322"/>
    <w:rsid w:val="0011449D"/>
    <w:rsid w:val="00114671"/>
    <w:rsid w:val="00114EED"/>
    <w:rsid w:val="001154F3"/>
    <w:rsid w:val="001163B8"/>
    <w:rsid w:val="00116542"/>
    <w:rsid w:val="00116941"/>
    <w:rsid w:val="001169BF"/>
    <w:rsid w:val="00116B95"/>
    <w:rsid w:val="00116B97"/>
    <w:rsid w:val="00116C06"/>
    <w:rsid w:val="0011739C"/>
    <w:rsid w:val="00117555"/>
    <w:rsid w:val="00117E8B"/>
    <w:rsid w:val="00120283"/>
    <w:rsid w:val="001202F6"/>
    <w:rsid w:val="001206EC"/>
    <w:rsid w:val="00120977"/>
    <w:rsid w:val="0012144F"/>
    <w:rsid w:val="0012177F"/>
    <w:rsid w:val="0012188D"/>
    <w:rsid w:val="00122126"/>
    <w:rsid w:val="00122151"/>
    <w:rsid w:val="001224C1"/>
    <w:rsid w:val="0012292A"/>
    <w:rsid w:val="00122FAA"/>
    <w:rsid w:val="00123197"/>
    <w:rsid w:val="0012332C"/>
    <w:rsid w:val="001235B2"/>
    <w:rsid w:val="0012380F"/>
    <w:rsid w:val="00123BDE"/>
    <w:rsid w:val="00123CA7"/>
    <w:rsid w:val="00123E25"/>
    <w:rsid w:val="001243A2"/>
    <w:rsid w:val="00124519"/>
    <w:rsid w:val="0012467C"/>
    <w:rsid w:val="00125041"/>
    <w:rsid w:val="00125160"/>
    <w:rsid w:val="001258C5"/>
    <w:rsid w:val="00125F9A"/>
    <w:rsid w:val="00127957"/>
    <w:rsid w:val="00127F48"/>
    <w:rsid w:val="00130606"/>
    <w:rsid w:val="001309D7"/>
    <w:rsid w:val="00130C63"/>
    <w:rsid w:val="00130EC5"/>
    <w:rsid w:val="001310F7"/>
    <w:rsid w:val="001318B8"/>
    <w:rsid w:val="00131CC7"/>
    <w:rsid w:val="00132315"/>
    <w:rsid w:val="001323A6"/>
    <w:rsid w:val="00132540"/>
    <w:rsid w:val="00132DA4"/>
    <w:rsid w:val="001330F6"/>
    <w:rsid w:val="00133507"/>
    <w:rsid w:val="00133585"/>
    <w:rsid w:val="001336AC"/>
    <w:rsid w:val="001338C3"/>
    <w:rsid w:val="00135023"/>
    <w:rsid w:val="001354CE"/>
    <w:rsid w:val="0013562E"/>
    <w:rsid w:val="001363F4"/>
    <w:rsid w:val="0013652F"/>
    <w:rsid w:val="001368B5"/>
    <w:rsid w:val="001371E5"/>
    <w:rsid w:val="00137322"/>
    <w:rsid w:val="00137F1C"/>
    <w:rsid w:val="00137FDF"/>
    <w:rsid w:val="001402A2"/>
    <w:rsid w:val="001421E6"/>
    <w:rsid w:val="00142777"/>
    <w:rsid w:val="00142790"/>
    <w:rsid w:val="001427A3"/>
    <w:rsid w:val="00142A47"/>
    <w:rsid w:val="00142D6F"/>
    <w:rsid w:val="0014321A"/>
    <w:rsid w:val="00143297"/>
    <w:rsid w:val="001432AE"/>
    <w:rsid w:val="001433AD"/>
    <w:rsid w:val="0014356B"/>
    <w:rsid w:val="001439B7"/>
    <w:rsid w:val="0014418F"/>
    <w:rsid w:val="0014482C"/>
    <w:rsid w:val="001449D0"/>
    <w:rsid w:val="00144AE4"/>
    <w:rsid w:val="00144C2E"/>
    <w:rsid w:val="00145390"/>
    <w:rsid w:val="001454DA"/>
    <w:rsid w:val="00145524"/>
    <w:rsid w:val="0014588F"/>
    <w:rsid w:val="00145BBC"/>
    <w:rsid w:val="00145ED0"/>
    <w:rsid w:val="00146289"/>
    <w:rsid w:val="001463E4"/>
    <w:rsid w:val="00146F0D"/>
    <w:rsid w:val="00147152"/>
    <w:rsid w:val="00147171"/>
    <w:rsid w:val="0014761B"/>
    <w:rsid w:val="0014794F"/>
    <w:rsid w:val="00147B79"/>
    <w:rsid w:val="00147C43"/>
    <w:rsid w:val="00147FB7"/>
    <w:rsid w:val="00150128"/>
    <w:rsid w:val="00150171"/>
    <w:rsid w:val="00150371"/>
    <w:rsid w:val="0015086B"/>
    <w:rsid w:val="00151235"/>
    <w:rsid w:val="00151692"/>
    <w:rsid w:val="00151DD6"/>
    <w:rsid w:val="001521B5"/>
    <w:rsid w:val="00152285"/>
    <w:rsid w:val="00152500"/>
    <w:rsid w:val="00152578"/>
    <w:rsid w:val="001528CA"/>
    <w:rsid w:val="00152B1F"/>
    <w:rsid w:val="00153183"/>
    <w:rsid w:val="001534AC"/>
    <w:rsid w:val="00153657"/>
    <w:rsid w:val="00153B37"/>
    <w:rsid w:val="00153FBE"/>
    <w:rsid w:val="00154C91"/>
    <w:rsid w:val="001553F7"/>
    <w:rsid w:val="00155896"/>
    <w:rsid w:val="00155F13"/>
    <w:rsid w:val="00156320"/>
    <w:rsid w:val="001566CC"/>
    <w:rsid w:val="0015685A"/>
    <w:rsid w:val="00156AE5"/>
    <w:rsid w:val="001571D1"/>
    <w:rsid w:val="001606DA"/>
    <w:rsid w:val="00161685"/>
    <w:rsid w:val="00161C61"/>
    <w:rsid w:val="00161E57"/>
    <w:rsid w:val="00161ECB"/>
    <w:rsid w:val="00162454"/>
    <w:rsid w:val="001630DD"/>
    <w:rsid w:val="001633F8"/>
    <w:rsid w:val="0016380F"/>
    <w:rsid w:val="001639BA"/>
    <w:rsid w:val="00163C2A"/>
    <w:rsid w:val="00163CEA"/>
    <w:rsid w:val="00163FBC"/>
    <w:rsid w:val="00164444"/>
    <w:rsid w:val="001647B1"/>
    <w:rsid w:val="001648B1"/>
    <w:rsid w:val="00164901"/>
    <w:rsid w:val="00164E07"/>
    <w:rsid w:val="00164F4E"/>
    <w:rsid w:val="001656FF"/>
    <w:rsid w:val="001657BD"/>
    <w:rsid w:val="001660FC"/>
    <w:rsid w:val="00166259"/>
    <w:rsid w:val="001663B8"/>
    <w:rsid w:val="001664BE"/>
    <w:rsid w:val="00166B5C"/>
    <w:rsid w:val="00166EC5"/>
    <w:rsid w:val="00167339"/>
    <w:rsid w:val="0016785A"/>
    <w:rsid w:val="001704D5"/>
    <w:rsid w:val="00171A5D"/>
    <w:rsid w:val="00172360"/>
    <w:rsid w:val="00172683"/>
    <w:rsid w:val="00172974"/>
    <w:rsid w:val="00172AA4"/>
    <w:rsid w:val="00172C12"/>
    <w:rsid w:val="00172D82"/>
    <w:rsid w:val="00173C21"/>
    <w:rsid w:val="00173CC8"/>
    <w:rsid w:val="0017446C"/>
    <w:rsid w:val="00174F7C"/>
    <w:rsid w:val="00174F89"/>
    <w:rsid w:val="00174FC3"/>
    <w:rsid w:val="00175032"/>
    <w:rsid w:val="00175A10"/>
    <w:rsid w:val="00175D46"/>
    <w:rsid w:val="001762A1"/>
    <w:rsid w:val="0017641C"/>
    <w:rsid w:val="00176670"/>
    <w:rsid w:val="001767FA"/>
    <w:rsid w:val="001776CB"/>
    <w:rsid w:val="00177985"/>
    <w:rsid w:val="001779BE"/>
    <w:rsid w:val="00177AFB"/>
    <w:rsid w:val="00180225"/>
    <w:rsid w:val="00180858"/>
    <w:rsid w:val="00180B4B"/>
    <w:rsid w:val="00180D0E"/>
    <w:rsid w:val="0018123F"/>
    <w:rsid w:val="00182182"/>
    <w:rsid w:val="001826E1"/>
    <w:rsid w:val="00183B95"/>
    <w:rsid w:val="00183FE6"/>
    <w:rsid w:val="0018412C"/>
    <w:rsid w:val="00184707"/>
    <w:rsid w:val="00184990"/>
    <w:rsid w:val="00185427"/>
    <w:rsid w:val="00185557"/>
    <w:rsid w:val="00185F5B"/>
    <w:rsid w:val="001861C4"/>
    <w:rsid w:val="001864D8"/>
    <w:rsid w:val="00186C90"/>
    <w:rsid w:val="00187271"/>
    <w:rsid w:val="0018729B"/>
    <w:rsid w:val="00187A05"/>
    <w:rsid w:val="00187B33"/>
    <w:rsid w:val="0019050C"/>
    <w:rsid w:val="0019072E"/>
    <w:rsid w:val="001909FE"/>
    <w:rsid w:val="00190B47"/>
    <w:rsid w:val="00190CDB"/>
    <w:rsid w:val="00190D6C"/>
    <w:rsid w:val="00190EB4"/>
    <w:rsid w:val="00190ECE"/>
    <w:rsid w:val="001913A7"/>
    <w:rsid w:val="0019162F"/>
    <w:rsid w:val="00191AF6"/>
    <w:rsid w:val="00191C21"/>
    <w:rsid w:val="00191C7D"/>
    <w:rsid w:val="00191F01"/>
    <w:rsid w:val="00192778"/>
    <w:rsid w:val="00192B6A"/>
    <w:rsid w:val="0019303B"/>
    <w:rsid w:val="00193046"/>
    <w:rsid w:val="00193117"/>
    <w:rsid w:val="00193C1D"/>
    <w:rsid w:val="00194AB6"/>
    <w:rsid w:val="00194BD1"/>
    <w:rsid w:val="0019599D"/>
    <w:rsid w:val="00195E8E"/>
    <w:rsid w:val="00196148"/>
    <w:rsid w:val="001964DA"/>
    <w:rsid w:val="00196ED4"/>
    <w:rsid w:val="00196F34"/>
    <w:rsid w:val="001973D5"/>
    <w:rsid w:val="00197A82"/>
    <w:rsid w:val="00197E20"/>
    <w:rsid w:val="001A0180"/>
    <w:rsid w:val="001A01D7"/>
    <w:rsid w:val="001A024C"/>
    <w:rsid w:val="001A0471"/>
    <w:rsid w:val="001A105E"/>
    <w:rsid w:val="001A1A8B"/>
    <w:rsid w:val="001A2B5A"/>
    <w:rsid w:val="001A2C47"/>
    <w:rsid w:val="001A2FA8"/>
    <w:rsid w:val="001A300D"/>
    <w:rsid w:val="001A3621"/>
    <w:rsid w:val="001A3A38"/>
    <w:rsid w:val="001A3EB1"/>
    <w:rsid w:val="001A402C"/>
    <w:rsid w:val="001A447B"/>
    <w:rsid w:val="001A62D2"/>
    <w:rsid w:val="001A635C"/>
    <w:rsid w:val="001A689A"/>
    <w:rsid w:val="001A6D28"/>
    <w:rsid w:val="001A6DC4"/>
    <w:rsid w:val="001A741E"/>
    <w:rsid w:val="001A7F2A"/>
    <w:rsid w:val="001A7FA6"/>
    <w:rsid w:val="001B0162"/>
    <w:rsid w:val="001B0698"/>
    <w:rsid w:val="001B0A11"/>
    <w:rsid w:val="001B0B05"/>
    <w:rsid w:val="001B1B96"/>
    <w:rsid w:val="001B1D1E"/>
    <w:rsid w:val="001B2B60"/>
    <w:rsid w:val="001B2C1D"/>
    <w:rsid w:val="001B2F19"/>
    <w:rsid w:val="001B4698"/>
    <w:rsid w:val="001B505C"/>
    <w:rsid w:val="001B5A96"/>
    <w:rsid w:val="001B6C3A"/>
    <w:rsid w:val="001B6D68"/>
    <w:rsid w:val="001B6FE2"/>
    <w:rsid w:val="001B70EB"/>
    <w:rsid w:val="001B721D"/>
    <w:rsid w:val="001B76B5"/>
    <w:rsid w:val="001B7C1D"/>
    <w:rsid w:val="001B7DBC"/>
    <w:rsid w:val="001B7E20"/>
    <w:rsid w:val="001B7E8B"/>
    <w:rsid w:val="001C086A"/>
    <w:rsid w:val="001C13BB"/>
    <w:rsid w:val="001C1A52"/>
    <w:rsid w:val="001C238F"/>
    <w:rsid w:val="001C23EB"/>
    <w:rsid w:val="001C3725"/>
    <w:rsid w:val="001C3792"/>
    <w:rsid w:val="001C3AFA"/>
    <w:rsid w:val="001C3B1E"/>
    <w:rsid w:val="001C40E3"/>
    <w:rsid w:val="001C6A60"/>
    <w:rsid w:val="001C704C"/>
    <w:rsid w:val="001C712C"/>
    <w:rsid w:val="001C78B5"/>
    <w:rsid w:val="001C7E6B"/>
    <w:rsid w:val="001D0593"/>
    <w:rsid w:val="001D0D37"/>
    <w:rsid w:val="001D12E5"/>
    <w:rsid w:val="001D13D2"/>
    <w:rsid w:val="001D2768"/>
    <w:rsid w:val="001D2EEF"/>
    <w:rsid w:val="001D38E2"/>
    <w:rsid w:val="001D41BF"/>
    <w:rsid w:val="001D5733"/>
    <w:rsid w:val="001D5AA4"/>
    <w:rsid w:val="001D5D04"/>
    <w:rsid w:val="001D5D1D"/>
    <w:rsid w:val="001D60A1"/>
    <w:rsid w:val="001D7161"/>
    <w:rsid w:val="001D7B24"/>
    <w:rsid w:val="001E02B6"/>
    <w:rsid w:val="001E175D"/>
    <w:rsid w:val="001E1F7E"/>
    <w:rsid w:val="001E2345"/>
    <w:rsid w:val="001E239C"/>
    <w:rsid w:val="001E2411"/>
    <w:rsid w:val="001E2497"/>
    <w:rsid w:val="001E29C1"/>
    <w:rsid w:val="001E34FC"/>
    <w:rsid w:val="001E3582"/>
    <w:rsid w:val="001E3694"/>
    <w:rsid w:val="001E3AE4"/>
    <w:rsid w:val="001E40D0"/>
    <w:rsid w:val="001E4DA5"/>
    <w:rsid w:val="001E4F87"/>
    <w:rsid w:val="001E582E"/>
    <w:rsid w:val="001E5C93"/>
    <w:rsid w:val="001E5EAD"/>
    <w:rsid w:val="001E683B"/>
    <w:rsid w:val="001E6A92"/>
    <w:rsid w:val="001E6DCC"/>
    <w:rsid w:val="001E7ABA"/>
    <w:rsid w:val="001F0574"/>
    <w:rsid w:val="001F0819"/>
    <w:rsid w:val="001F082F"/>
    <w:rsid w:val="001F0F5A"/>
    <w:rsid w:val="001F130D"/>
    <w:rsid w:val="001F153E"/>
    <w:rsid w:val="001F2ABB"/>
    <w:rsid w:val="001F2E49"/>
    <w:rsid w:val="001F2EDA"/>
    <w:rsid w:val="001F3220"/>
    <w:rsid w:val="001F3BCB"/>
    <w:rsid w:val="001F4122"/>
    <w:rsid w:val="001F462E"/>
    <w:rsid w:val="001F4B36"/>
    <w:rsid w:val="001F4FE2"/>
    <w:rsid w:val="001F5A8B"/>
    <w:rsid w:val="001F69C7"/>
    <w:rsid w:val="001F6A2C"/>
    <w:rsid w:val="001F6B55"/>
    <w:rsid w:val="001F73E5"/>
    <w:rsid w:val="001F7818"/>
    <w:rsid w:val="001F7AC4"/>
    <w:rsid w:val="001F7CEB"/>
    <w:rsid w:val="001F7E99"/>
    <w:rsid w:val="001F7F63"/>
    <w:rsid w:val="0020090B"/>
    <w:rsid w:val="00200A6F"/>
    <w:rsid w:val="00200BCF"/>
    <w:rsid w:val="00200C8C"/>
    <w:rsid w:val="00200D6E"/>
    <w:rsid w:val="00201318"/>
    <w:rsid w:val="00203E22"/>
    <w:rsid w:val="00204205"/>
    <w:rsid w:val="002048B0"/>
    <w:rsid w:val="00204CF7"/>
    <w:rsid w:val="0020551B"/>
    <w:rsid w:val="002055CD"/>
    <w:rsid w:val="00206845"/>
    <w:rsid w:val="00207137"/>
    <w:rsid w:val="00207187"/>
    <w:rsid w:val="002073D3"/>
    <w:rsid w:val="0020753A"/>
    <w:rsid w:val="00210715"/>
    <w:rsid w:val="00211528"/>
    <w:rsid w:val="0021159F"/>
    <w:rsid w:val="00211DB0"/>
    <w:rsid w:val="002124D8"/>
    <w:rsid w:val="00212507"/>
    <w:rsid w:val="00212ECA"/>
    <w:rsid w:val="0021350A"/>
    <w:rsid w:val="00213952"/>
    <w:rsid w:val="00213E4B"/>
    <w:rsid w:val="0021431D"/>
    <w:rsid w:val="00214861"/>
    <w:rsid w:val="00214E1D"/>
    <w:rsid w:val="0021526C"/>
    <w:rsid w:val="0021531E"/>
    <w:rsid w:val="00215557"/>
    <w:rsid w:val="00215891"/>
    <w:rsid w:val="00215DAB"/>
    <w:rsid w:val="00216747"/>
    <w:rsid w:val="00216BB4"/>
    <w:rsid w:val="00216D0C"/>
    <w:rsid w:val="00217780"/>
    <w:rsid w:val="00217E0B"/>
    <w:rsid w:val="0022041B"/>
    <w:rsid w:val="0022056F"/>
    <w:rsid w:val="002209EF"/>
    <w:rsid w:val="00220A13"/>
    <w:rsid w:val="00220A7C"/>
    <w:rsid w:val="00220DBC"/>
    <w:rsid w:val="00221069"/>
    <w:rsid w:val="00221305"/>
    <w:rsid w:val="002216FB"/>
    <w:rsid w:val="00221794"/>
    <w:rsid w:val="00221F6E"/>
    <w:rsid w:val="00222083"/>
    <w:rsid w:val="00222457"/>
    <w:rsid w:val="00222A8A"/>
    <w:rsid w:val="00222B4C"/>
    <w:rsid w:val="00223634"/>
    <w:rsid w:val="002237F1"/>
    <w:rsid w:val="00223AE6"/>
    <w:rsid w:val="00223D02"/>
    <w:rsid w:val="002240BC"/>
    <w:rsid w:val="0022594B"/>
    <w:rsid w:val="0022601A"/>
    <w:rsid w:val="00226345"/>
    <w:rsid w:val="002267AB"/>
    <w:rsid w:val="00226FDE"/>
    <w:rsid w:val="0022719A"/>
    <w:rsid w:val="002274A8"/>
    <w:rsid w:val="002274D2"/>
    <w:rsid w:val="00227529"/>
    <w:rsid w:val="00227A1C"/>
    <w:rsid w:val="00227D20"/>
    <w:rsid w:val="00227D92"/>
    <w:rsid w:val="00227EAE"/>
    <w:rsid w:val="00230B82"/>
    <w:rsid w:val="00230E4D"/>
    <w:rsid w:val="00231BF8"/>
    <w:rsid w:val="00232366"/>
    <w:rsid w:val="0023271D"/>
    <w:rsid w:val="00233019"/>
    <w:rsid w:val="00233032"/>
    <w:rsid w:val="002330F1"/>
    <w:rsid w:val="002333D6"/>
    <w:rsid w:val="002340A5"/>
    <w:rsid w:val="00234228"/>
    <w:rsid w:val="002346DA"/>
    <w:rsid w:val="00234AA9"/>
    <w:rsid w:val="00234ABF"/>
    <w:rsid w:val="00234E7C"/>
    <w:rsid w:val="00235086"/>
    <w:rsid w:val="00235A76"/>
    <w:rsid w:val="0023611A"/>
    <w:rsid w:val="00236D93"/>
    <w:rsid w:val="00237015"/>
    <w:rsid w:val="00237153"/>
    <w:rsid w:val="0023747C"/>
    <w:rsid w:val="00237507"/>
    <w:rsid w:val="00237549"/>
    <w:rsid w:val="00237888"/>
    <w:rsid w:val="002408D2"/>
    <w:rsid w:val="0024094C"/>
    <w:rsid w:val="002411D4"/>
    <w:rsid w:val="0024151F"/>
    <w:rsid w:val="00241598"/>
    <w:rsid w:val="002417A8"/>
    <w:rsid w:val="002420BF"/>
    <w:rsid w:val="00242542"/>
    <w:rsid w:val="00242DED"/>
    <w:rsid w:val="00242ECD"/>
    <w:rsid w:val="00243130"/>
    <w:rsid w:val="00243399"/>
    <w:rsid w:val="00243A3B"/>
    <w:rsid w:val="00243AFF"/>
    <w:rsid w:val="00243CE6"/>
    <w:rsid w:val="002442F3"/>
    <w:rsid w:val="002456E3"/>
    <w:rsid w:val="00245A85"/>
    <w:rsid w:val="00245F76"/>
    <w:rsid w:val="002468F3"/>
    <w:rsid w:val="00246A3C"/>
    <w:rsid w:val="00246AF9"/>
    <w:rsid w:val="00246DCE"/>
    <w:rsid w:val="00246E9B"/>
    <w:rsid w:val="00246F98"/>
    <w:rsid w:val="002470A1"/>
    <w:rsid w:val="0024787A"/>
    <w:rsid w:val="00250087"/>
    <w:rsid w:val="0025063C"/>
    <w:rsid w:val="00250A80"/>
    <w:rsid w:val="00250B3F"/>
    <w:rsid w:val="00250ED3"/>
    <w:rsid w:val="00250F6E"/>
    <w:rsid w:val="00251E53"/>
    <w:rsid w:val="00251FE5"/>
    <w:rsid w:val="0025258C"/>
    <w:rsid w:val="002525B0"/>
    <w:rsid w:val="00253CE5"/>
    <w:rsid w:val="00254299"/>
    <w:rsid w:val="002559FB"/>
    <w:rsid w:val="00255CA1"/>
    <w:rsid w:val="00256685"/>
    <w:rsid w:val="0025736B"/>
    <w:rsid w:val="002577C5"/>
    <w:rsid w:val="00257E7A"/>
    <w:rsid w:val="00257FEE"/>
    <w:rsid w:val="00260671"/>
    <w:rsid w:val="002606DE"/>
    <w:rsid w:val="002607D6"/>
    <w:rsid w:val="00260932"/>
    <w:rsid w:val="00261738"/>
    <w:rsid w:val="00261D42"/>
    <w:rsid w:val="002621EE"/>
    <w:rsid w:val="00262AFA"/>
    <w:rsid w:val="00262D57"/>
    <w:rsid w:val="00263484"/>
    <w:rsid w:val="00263CD4"/>
    <w:rsid w:val="002645FD"/>
    <w:rsid w:val="00264E8D"/>
    <w:rsid w:val="002650DA"/>
    <w:rsid w:val="00265FC0"/>
    <w:rsid w:val="0026620F"/>
    <w:rsid w:val="0026627C"/>
    <w:rsid w:val="002667BC"/>
    <w:rsid w:val="002668B0"/>
    <w:rsid w:val="00266DD4"/>
    <w:rsid w:val="0026727F"/>
    <w:rsid w:val="002672F5"/>
    <w:rsid w:val="00267840"/>
    <w:rsid w:val="002679F6"/>
    <w:rsid w:val="0027096C"/>
    <w:rsid w:val="00271139"/>
    <w:rsid w:val="0027130C"/>
    <w:rsid w:val="00271540"/>
    <w:rsid w:val="00271CF6"/>
    <w:rsid w:val="0027210C"/>
    <w:rsid w:val="00273476"/>
    <w:rsid w:val="0027370D"/>
    <w:rsid w:val="00273C6C"/>
    <w:rsid w:val="00273F10"/>
    <w:rsid w:val="00273F8D"/>
    <w:rsid w:val="00274107"/>
    <w:rsid w:val="00274483"/>
    <w:rsid w:val="00275021"/>
    <w:rsid w:val="0027514D"/>
    <w:rsid w:val="002752A5"/>
    <w:rsid w:val="00276534"/>
    <w:rsid w:val="00276775"/>
    <w:rsid w:val="00276895"/>
    <w:rsid w:val="00277041"/>
    <w:rsid w:val="002776D0"/>
    <w:rsid w:val="00280053"/>
    <w:rsid w:val="0028054F"/>
    <w:rsid w:val="002809E6"/>
    <w:rsid w:val="00280FBC"/>
    <w:rsid w:val="00281697"/>
    <w:rsid w:val="0028299A"/>
    <w:rsid w:val="00282A71"/>
    <w:rsid w:val="0028379B"/>
    <w:rsid w:val="00283A1F"/>
    <w:rsid w:val="00283BAC"/>
    <w:rsid w:val="00284523"/>
    <w:rsid w:val="00284D61"/>
    <w:rsid w:val="002850C1"/>
    <w:rsid w:val="002850F7"/>
    <w:rsid w:val="00285329"/>
    <w:rsid w:val="002853F9"/>
    <w:rsid w:val="0028573B"/>
    <w:rsid w:val="00285D7F"/>
    <w:rsid w:val="00285ED1"/>
    <w:rsid w:val="0028614C"/>
    <w:rsid w:val="002864B0"/>
    <w:rsid w:val="00286584"/>
    <w:rsid w:val="00286707"/>
    <w:rsid w:val="0028694C"/>
    <w:rsid w:val="00286DC4"/>
    <w:rsid w:val="00286F41"/>
    <w:rsid w:val="0028773D"/>
    <w:rsid w:val="00287A89"/>
    <w:rsid w:val="00287E14"/>
    <w:rsid w:val="00287EC9"/>
    <w:rsid w:val="002908F7"/>
    <w:rsid w:val="00290963"/>
    <w:rsid w:val="00290F7E"/>
    <w:rsid w:val="00291C35"/>
    <w:rsid w:val="00291CEC"/>
    <w:rsid w:val="002921E5"/>
    <w:rsid w:val="002926DD"/>
    <w:rsid w:val="00292DB2"/>
    <w:rsid w:val="00292E17"/>
    <w:rsid w:val="00293D4A"/>
    <w:rsid w:val="00293FF2"/>
    <w:rsid w:val="0029408B"/>
    <w:rsid w:val="002940A0"/>
    <w:rsid w:val="002947BF"/>
    <w:rsid w:val="00295098"/>
    <w:rsid w:val="002952DA"/>
    <w:rsid w:val="00295527"/>
    <w:rsid w:val="0029557A"/>
    <w:rsid w:val="002958B3"/>
    <w:rsid w:val="002961FD"/>
    <w:rsid w:val="002965B0"/>
    <w:rsid w:val="002968E8"/>
    <w:rsid w:val="00296DDF"/>
    <w:rsid w:val="0029715D"/>
    <w:rsid w:val="002974C0"/>
    <w:rsid w:val="00297E68"/>
    <w:rsid w:val="002A00DA"/>
    <w:rsid w:val="002A0242"/>
    <w:rsid w:val="002A08C3"/>
    <w:rsid w:val="002A0A35"/>
    <w:rsid w:val="002A0AF2"/>
    <w:rsid w:val="002A0DD9"/>
    <w:rsid w:val="002A108A"/>
    <w:rsid w:val="002A1BC6"/>
    <w:rsid w:val="002A2EEE"/>
    <w:rsid w:val="002A397B"/>
    <w:rsid w:val="002A3A0D"/>
    <w:rsid w:val="002A4964"/>
    <w:rsid w:val="002A4D54"/>
    <w:rsid w:val="002A4DAF"/>
    <w:rsid w:val="002A5321"/>
    <w:rsid w:val="002A5378"/>
    <w:rsid w:val="002A5B3E"/>
    <w:rsid w:val="002A5DBB"/>
    <w:rsid w:val="002A5E09"/>
    <w:rsid w:val="002A64F8"/>
    <w:rsid w:val="002A6580"/>
    <w:rsid w:val="002A6C00"/>
    <w:rsid w:val="002A6DD4"/>
    <w:rsid w:val="002A727E"/>
    <w:rsid w:val="002A72E1"/>
    <w:rsid w:val="002A7C3F"/>
    <w:rsid w:val="002A7FD8"/>
    <w:rsid w:val="002B0508"/>
    <w:rsid w:val="002B0705"/>
    <w:rsid w:val="002B0BFC"/>
    <w:rsid w:val="002B0E76"/>
    <w:rsid w:val="002B1E9E"/>
    <w:rsid w:val="002B2429"/>
    <w:rsid w:val="002B2730"/>
    <w:rsid w:val="002B2977"/>
    <w:rsid w:val="002B2D4C"/>
    <w:rsid w:val="002B2D85"/>
    <w:rsid w:val="002B3221"/>
    <w:rsid w:val="002B3AE7"/>
    <w:rsid w:val="002B3B7F"/>
    <w:rsid w:val="002B4071"/>
    <w:rsid w:val="002B464C"/>
    <w:rsid w:val="002B4CB7"/>
    <w:rsid w:val="002B4DEE"/>
    <w:rsid w:val="002B5038"/>
    <w:rsid w:val="002B5965"/>
    <w:rsid w:val="002B59D3"/>
    <w:rsid w:val="002B5DFB"/>
    <w:rsid w:val="002B6280"/>
    <w:rsid w:val="002B6E1D"/>
    <w:rsid w:val="002B6F6A"/>
    <w:rsid w:val="002B7221"/>
    <w:rsid w:val="002B79F3"/>
    <w:rsid w:val="002C0040"/>
    <w:rsid w:val="002C03C8"/>
    <w:rsid w:val="002C07D0"/>
    <w:rsid w:val="002C0997"/>
    <w:rsid w:val="002C115B"/>
    <w:rsid w:val="002C15A5"/>
    <w:rsid w:val="002C1802"/>
    <w:rsid w:val="002C1E8D"/>
    <w:rsid w:val="002C26E2"/>
    <w:rsid w:val="002C2F9D"/>
    <w:rsid w:val="002C3BE7"/>
    <w:rsid w:val="002C51A4"/>
    <w:rsid w:val="002C5754"/>
    <w:rsid w:val="002C606E"/>
    <w:rsid w:val="002C6299"/>
    <w:rsid w:val="002C66AE"/>
    <w:rsid w:val="002C671A"/>
    <w:rsid w:val="002C682E"/>
    <w:rsid w:val="002C684D"/>
    <w:rsid w:val="002C6A47"/>
    <w:rsid w:val="002C6FBB"/>
    <w:rsid w:val="002C7C01"/>
    <w:rsid w:val="002D0B32"/>
    <w:rsid w:val="002D0CBB"/>
    <w:rsid w:val="002D0FF9"/>
    <w:rsid w:val="002D10B1"/>
    <w:rsid w:val="002D1175"/>
    <w:rsid w:val="002D11A4"/>
    <w:rsid w:val="002D13B5"/>
    <w:rsid w:val="002D1CB1"/>
    <w:rsid w:val="002D26B4"/>
    <w:rsid w:val="002D26EC"/>
    <w:rsid w:val="002D2988"/>
    <w:rsid w:val="002D29A8"/>
    <w:rsid w:val="002D2CFC"/>
    <w:rsid w:val="002D362A"/>
    <w:rsid w:val="002D4202"/>
    <w:rsid w:val="002D49EB"/>
    <w:rsid w:val="002D4A5F"/>
    <w:rsid w:val="002D53A3"/>
    <w:rsid w:val="002D5463"/>
    <w:rsid w:val="002D58D6"/>
    <w:rsid w:val="002D5981"/>
    <w:rsid w:val="002D5C53"/>
    <w:rsid w:val="002D5CAE"/>
    <w:rsid w:val="002D67FB"/>
    <w:rsid w:val="002D6EC7"/>
    <w:rsid w:val="002D70F7"/>
    <w:rsid w:val="002D79A1"/>
    <w:rsid w:val="002D7FDF"/>
    <w:rsid w:val="002E09DB"/>
    <w:rsid w:val="002E0F25"/>
    <w:rsid w:val="002E171D"/>
    <w:rsid w:val="002E1A76"/>
    <w:rsid w:val="002E1AAD"/>
    <w:rsid w:val="002E268F"/>
    <w:rsid w:val="002E2733"/>
    <w:rsid w:val="002E291E"/>
    <w:rsid w:val="002E2962"/>
    <w:rsid w:val="002E2FC1"/>
    <w:rsid w:val="002E3AB5"/>
    <w:rsid w:val="002E3CB1"/>
    <w:rsid w:val="002E4178"/>
    <w:rsid w:val="002E460A"/>
    <w:rsid w:val="002E4B86"/>
    <w:rsid w:val="002E512A"/>
    <w:rsid w:val="002E5428"/>
    <w:rsid w:val="002E5611"/>
    <w:rsid w:val="002E5C90"/>
    <w:rsid w:val="002E648B"/>
    <w:rsid w:val="002E64CB"/>
    <w:rsid w:val="002F01C0"/>
    <w:rsid w:val="002F046F"/>
    <w:rsid w:val="002F07A3"/>
    <w:rsid w:val="002F0864"/>
    <w:rsid w:val="002F0A91"/>
    <w:rsid w:val="002F0F1D"/>
    <w:rsid w:val="002F1654"/>
    <w:rsid w:val="002F18AD"/>
    <w:rsid w:val="002F20DC"/>
    <w:rsid w:val="002F21F6"/>
    <w:rsid w:val="002F23B5"/>
    <w:rsid w:val="002F2697"/>
    <w:rsid w:val="002F2BCA"/>
    <w:rsid w:val="002F2D4D"/>
    <w:rsid w:val="002F2FB0"/>
    <w:rsid w:val="002F307F"/>
    <w:rsid w:val="002F31EF"/>
    <w:rsid w:val="002F362A"/>
    <w:rsid w:val="002F3E0C"/>
    <w:rsid w:val="002F4030"/>
    <w:rsid w:val="002F46C0"/>
    <w:rsid w:val="002F4F6F"/>
    <w:rsid w:val="002F52AB"/>
    <w:rsid w:val="002F56B3"/>
    <w:rsid w:val="002F56FA"/>
    <w:rsid w:val="002F5735"/>
    <w:rsid w:val="002F57B1"/>
    <w:rsid w:val="002F6580"/>
    <w:rsid w:val="002F6635"/>
    <w:rsid w:val="002F6DC4"/>
    <w:rsid w:val="002F750B"/>
    <w:rsid w:val="002F7996"/>
    <w:rsid w:val="002F7B2C"/>
    <w:rsid w:val="002F7CAB"/>
    <w:rsid w:val="003008A1"/>
    <w:rsid w:val="00300AE3"/>
    <w:rsid w:val="00300E91"/>
    <w:rsid w:val="00300FC0"/>
    <w:rsid w:val="00300FEA"/>
    <w:rsid w:val="003011FF"/>
    <w:rsid w:val="0030186F"/>
    <w:rsid w:val="00301A68"/>
    <w:rsid w:val="00301F96"/>
    <w:rsid w:val="00302398"/>
    <w:rsid w:val="0030245D"/>
    <w:rsid w:val="00302DB2"/>
    <w:rsid w:val="003031A4"/>
    <w:rsid w:val="003034E3"/>
    <w:rsid w:val="00303A64"/>
    <w:rsid w:val="0030436D"/>
    <w:rsid w:val="00305170"/>
    <w:rsid w:val="003051F4"/>
    <w:rsid w:val="00305572"/>
    <w:rsid w:val="00307FF2"/>
    <w:rsid w:val="0031074C"/>
    <w:rsid w:val="00310EF9"/>
    <w:rsid w:val="00311118"/>
    <w:rsid w:val="0031163A"/>
    <w:rsid w:val="00311E53"/>
    <w:rsid w:val="003121C7"/>
    <w:rsid w:val="003122B4"/>
    <w:rsid w:val="003123A1"/>
    <w:rsid w:val="00312929"/>
    <w:rsid w:val="00312E75"/>
    <w:rsid w:val="00312EB9"/>
    <w:rsid w:val="003132BC"/>
    <w:rsid w:val="00313F21"/>
    <w:rsid w:val="00313FB9"/>
    <w:rsid w:val="0031411A"/>
    <w:rsid w:val="00314353"/>
    <w:rsid w:val="0031490E"/>
    <w:rsid w:val="00314CEB"/>
    <w:rsid w:val="00315B10"/>
    <w:rsid w:val="00315D50"/>
    <w:rsid w:val="00315FC8"/>
    <w:rsid w:val="00316359"/>
    <w:rsid w:val="003175B6"/>
    <w:rsid w:val="00317D88"/>
    <w:rsid w:val="00320175"/>
    <w:rsid w:val="00320361"/>
    <w:rsid w:val="003204BB"/>
    <w:rsid w:val="0032090A"/>
    <w:rsid w:val="00320FAF"/>
    <w:rsid w:val="00321407"/>
    <w:rsid w:val="00321B5A"/>
    <w:rsid w:val="00322233"/>
    <w:rsid w:val="003227B5"/>
    <w:rsid w:val="00322845"/>
    <w:rsid w:val="00322DE6"/>
    <w:rsid w:val="00322F74"/>
    <w:rsid w:val="003232D4"/>
    <w:rsid w:val="00323469"/>
    <w:rsid w:val="00323A84"/>
    <w:rsid w:val="003246C2"/>
    <w:rsid w:val="003248AB"/>
    <w:rsid w:val="00324D05"/>
    <w:rsid w:val="0032511B"/>
    <w:rsid w:val="00325276"/>
    <w:rsid w:val="00325E1C"/>
    <w:rsid w:val="0032677F"/>
    <w:rsid w:val="00326908"/>
    <w:rsid w:val="00326B6E"/>
    <w:rsid w:val="00326F17"/>
    <w:rsid w:val="003271AB"/>
    <w:rsid w:val="003271E9"/>
    <w:rsid w:val="00327804"/>
    <w:rsid w:val="00327C85"/>
    <w:rsid w:val="003300EA"/>
    <w:rsid w:val="003301C3"/>
    <w:rsid w:val="00330370"/>
    <w:rsid w:val="00330C74"/>
    <w:rsid w:val="003311F3"/>
    <w:rsid w:val="0033125B"/>
    <w:rsid w:val="00331A7A"/>
    <w:rsid w:val="00331CCD"/>
    <w:rsid w:val="00332819"/>
    <w:rsid w:val="003329E5"/>
    <w:rsid w:val="00332BCC"/>
    <w:rsid w:val="00333759"/>
    <w:rsid w:val="003337FA"/>
    <w:rsid w:val="00334105"/>
    <w:rsid w:val="003348EE"/>
    <w:rsid w:val="00334BD5"/>
    <w:rsid w:val="00334F53"/>
    <w:rsid w:val="003357B7"/>
    <w:rsid w:val="00335AF3"/>
    <w:rsid w:val="00335E2A"/>
    <w:rsid w:val="00335EC9"/>
    <w:rsid w:val="003361E0"/>
    <w:rsid w:val="0033626E"/>
    <w:rsid w:val="0033665C"/>
    <w:rsid w:val="00336751"/>
    <w:rsid w:val="0033689A"/>
    <w:rsid w:val="00336968"/>
    <w:rsid w:val="00337A15"/>
    <w:rsid w:val="00337E17"/>
    <w:rsid w:val="003400B0"/>
    <w:rsid w:val="00340AC7"/>
    <w:rsid w:val="00341128"/>
    <w:rsid w:val="0034125D"/>
    <w:rsid w:val="00341B05"/>
    <w:rsid w:val="00341DCD"/>
    <w:rsid w:val="00341DD0"/>
    <w:rsid w:val="003420C9"/>
    <w:rsid w:val="003424E2"/>
    <w:rsid w:val="003424E4"/>
    <w:rsid w:val="00342849"/>
    <w:rsid w:val="00342FB6"/>
    <w:rsid w:val="0034347D"/>
    <w:rsid w:val="003434CB"/>
    <w:rsid w:val="0034397D"/>
    <w:rsid w:val="00344549"/>
    <w:rsid w:val="003448B5"/>
    <w:rsid w:val="0034569A"/>
    <w:rsid w:val="00345945"/>
    <w:rsid w:val="00345D0F"/>
    <w:rsid w:val="00346227"/>
    <w:rsid w:val="003467A5"/>
    <w:rsid w:val="003476C1"/>
    <w:rsid w:val="00347B0A"/>
    <w:rsid w:val="00347F49"/>
    <w:rsid w:val="0035080D"/>
    <w:rsid w:val="00350924"/>
    <w:rsid w:val="00351196"/>
    <w:rsid w:val="0035151A"/>
    <w:rsid w:val="0035160A"/>
    <w:rsid w:val="00351614"/>
    <w:rsid w:val="00351FD6"/>
    <w:rsid w:val="00352412"/>
    <w:rsid w:val="0035248F"/>
    <w:rsid w:val="00352BD2"/>
    <w:rsid w:val="00352EA7"/>
    <w:rsid w:val="0035322F"/>
    <w:rsid w:val="0035329A"/>
    <w:rsid w:val="003535CC"/>
    <w:rsid w:val="00353F3C"/>
    <w:rsid w:val="003541CF"/>
    <w:rsid w:val="00354903"/>
    <w:rsid w:val="00354A3D"/>
    <w:rsid w:val="00355505"/>
    <w:rsid w:val="0035557B"/>
    <w:rsid w:val="0035567A"/>
    <w:rsid w:val="003556BB"/>
    <w:rsid w:val="00355ED5"/>
    <w:rsid w:val="00356A12"/>
    <w:rsid w:val="00356B7F"/>
    <w:rsid w:val="00356D2B"/>
    <w:rsid w:val="003570C8"/>
    <w:rsid w:val="00357217"/>
    <w:rsid w:val="00357FAF"/>
    <w:rsid w:val="0036024C"/>
    <w:rsid w:val="0036074D"/>
    <w:rsid w:val="00360ADD"/>
    <w:rsid w:val="003611E8"/>
    <w:rsid w:val="003620F9"/>
    <w:rsid w:val="00362833"/>
    <w:rsid w:val="003631C5"/>
    <w:rsid w:val="003637F6"/>
    <w:rsid w:val="00363CB6"/>
    <w:rsid w:val="003649A2"/>
    <w:rsid w:val="00364C67"/>
    <w:rsid w:val="00364F5C"/>
    <w:rsid w:val="00365256"/>
    <w:rsid w:val="0036600E"/>
    <w:rsid w:val="00366360"/>
    <w:rsid w:val="0036708B"/>
    <w:rsid w:val="00367E23"/>
    <w:rsid w:val="00371067"/>
    <w:rsid w:val="0037195A"/>
    <w:rsid w:val="003721F0"/>
    <w:rsid w:val="003728AF"/>
    <w:rsid w:val="00372E7D"/>
    <w:rsid w:val="003731EE"/>
    <w:rsid w:val="00373E00"/>
    <w:rsid w:val="0037411A"/>
    <w:rsid w:val="0037453D"/>
    <w:rsid w:val="003747F4"/>
    <w:rsid w:val="00374ACE"/>
    <w:rsid w:val="00375153"/>
    <w:rsid w:val="0037523A"/>
    <w:rsid w:val="00375684"/>
    <w:rsid w:val="00375751"/>
    <w:rsid w:val="00375B34"/>
    <w:rsid w:val="00375C1F"/>
    <w:rsid w:val="00376008"/>
    <w:rsid w:val="003763F3"/>
    <w:rsid w:val="00376E6C"/>
    <w:rsid w:val="00376F40"/>
    <w:rsid w:val="00376FD8"/>
    <w:rsid w:val="003773F5"/>
    <w:rsid w:val="003777D8"/>
    <w:rsid w:val="00377F16"/>
    <w:rsid w:val="003801AA"/>
    <w:rsid w:val="0038063E"/>
    <w:rsid w:val="003806BB"/>
    <w:rsid w:val="0038139E"/>
    <w:rsid w:val="00381BCE"/>
    <w:rsid w:val="00381C6C"/>
    <w:rsid w:val="00381D04"/>
    <w:rsid w:val="00382670"/>
    <w:rsid w:val="0038321F"/>
    <w:rsid w:val="00383302"/>
    <w:rsid w:val="00383F88"/>
    <w:rsid w:val="00384409"/>
    <w:rsid w:val="003845EF"/>
    <w:rsid w:val="00384803"/>
    <w:rsid w:val="00384A59"/>
    <w:rsid w:val="00384E1F"/>
    <w:rsid w:val="003850FC"/>
    <w:rsid w:val="00385776"/>
    <w:rsid w:val="00385B39"/>
    <w:rsid w:val="00385CB2"/>
    <w:rsid w:val="003861B1"/>
    <w:rsid w:val="003862E8"/>
    <w:rsid w:val="00386472"/>
    <w:rsid w:val="00387894"/>
    <w:rsid w:val="003879ED"/>
    <w:rsid w:val="00387A22"/>
    <w:rsid w:val="0039048E"/>
    <w:rsid w:val="0039050A"/>
    <w:rsid w:val="00390BFB"/>
    <w:rsid w:val="00390FF0"/>
    <w:rsid w:val="0039103D"/>
    <w:rsid w:val="0039153D"/>
    <w:rsid w:val="0039164E"/>
    <w:rsid w:val="00391DE3"/>
    <w:rsid w:val="00391E72"/>
    <w:rsid w:val="00391F2B"/>
    <w:rsid w:val="00391FAC"/>
    <w:rsid w:val="00391FF3"/>
    <w:rsid w:val="0039271F"/>
    <w:rsid w:val="00392E2A"/>
    <w:rsid w:val="00393523"/>
    <w:rsid w:val="00393986"/>
    <w:rsid w:val="003939A6"/>
    <w:rsid w:val="003939AC"/>
    <w:rsid w:val="00393BE2"/>
    <w:rsid w:val="0039468B"/>
    <w:rsid w:val="003947CD"/>
    <w:rsid w:val="00394A98"/>
    <w:rsid w:val="00394EC0"/>
    <w:rsid w:val="00397ECA"/>
    <w:rsid w:val="00397EED"/>
    <w:rsid w:val="003A0471"/>
    <w:rsid w:val="003A05A6"/>
    <w:rsid w:val="003A09DF"/>
    <w:rsid w:val="003A0A9F"/>
    <w:rsid w:val="003A1A0D"/>
    <w:rsid w:val="003A1ED2"/>
    <w:rsid w:val="003A1FFA"/>
    <w:rsid w:val="003A28F8"/>
    <w:rsid w:val="003A2970"/>
    <w:rsid w:val="003A2D9A"/>
    <w:rsid w:val="003A30BB"/>
    <w:rsid w:val="003A3167"/>
    <w:rsid w:val="003A38B2"/>
    <w:rsid w:val="003A3AF1"/>
    <w:rsid w:val="003A426D"/>
    <w:rsid w:val="003A4794"/>
    <w:rsid w:val="003A498E"/>
    <w:rsid w:val="003A49D1"/>
    <w:rsid w:val="003A4A16"/>
    <w:rsid w:val="003A512A"/>
    <w:rsid w:val="003A536F"/>
    <w:rsid w:val="003A55C0"/>
    <w:rsid w:val="003A57FA"/>
    <w:rsid w:val="003A5F66"/>
    <w:rsid w:val="003A6265"/>
    <w:rsid w:val="003A637B"/>
    <w:rsid w:val="003A6F42"/>
    <w:rsid w:val="003A6FC6"/>
    <w:rsid w:val="003A73F3"/>
    <w:rsid w:val="003A74CA"/>
    <w:rsid w:val="003A75BA"/>
    <w:rsid w:val="003A7976"/>
    <w:rsid w:val="003A7A47"/>
    <w:rsid w:val="003B007C"/>
    <w:rsid w:val="003B0365"/>
    <w:rsid w:val="003B0853"/>
    <w:rsid w:val="003B099E"/>
    <w:rsid w:val="003B0B2F"/>
    <w:rsid w:val="003B0C55"/>
    <w:rsid w:val="003B1717"/>
    <w:rsid w:val="003B1942"/>
    <w:rsid w:val="003B2735"/>
    <w:rsid w:val="003B2785"/>
    <w:rsid w:val="003B27F2"/>
    <w:rsid w:val="003B3847"/>
    <w:rsid w:val="003B3DE4"/>
    <w:rsid w:val="003B41EF"/>
    <w:rsid w:val="003B483F"/>
    <w:rsid w:val="003B488D"/>
    <w:rsid w:val="003B48E1"/>
    <w:rsid w:val="003B65D2"/>
    <w:rsid w:val="003B6B89"/>
    <w:rsid w:val="003B73F8"/>
    <w:rsid w:val="003B76C2"/>
    <w:rsid w:val="003B7A8C"/>
    <w:rsid w:val="003B7D90"/>
    <w:rsid w:val="003C0058"/>
    <w:rsid w:val="003C02E3"/>
    <w:rsid w:val="003C034A"/>
    <w:rsid w:val="003C0F93"/>
    <w:rsid w:val="003C107D"/>
    <w:rsid w:val="003C1275"/>
    <w:rsid w:val="003C17B0"/>
    <w:rsid w:val="003C1988"/>
    <w:rsid w:val="003C1B0B"/>
    <w:rsid w:val="003C1B8C"/>
    <w:rsid w:val="003C1C06"/>
    <w:rsid w:val="003C1F89"/>
    <w:rsid w:val="003C2749"/>
    <w:rsid w:val="003C28A2"/>
    <w:rsid w:val="003C3240"/>
    <w:rsid w:val="003C3843"/>
    <w:rsid w:val="003C3C8E"/>
    <w:rsid w:val="003C3E33"/>
    <w:rsid w:val="003C3F1C"/>
    <w:rsid w:val="003C40E1"/>
    <w:rsid w:val="003C421F"/>
    <w:rsid w:val="003C5CB3"/>
    <w:rsid w:val="003C71A9"/>
    <w:rsid w:val="003D0084"/>
    <w:rsid w:val="003D0E0F"/>
    <w:rsid w:val="003D1C42"/>
    <w:rsid w:val="003D2545"/>
    <w:rsid w:val="003D2798"/>
    <w:rsid w:val="003D2BDB"/>
    <w:rsid w:val="003D382F"/>
    <w:rsid w:val="003D40E2"/>
    <w:rsid w:val="003D4204"/>
    <w:rsid w:val="003D4489"/>
    <w:rsid w:val="003D45E0"/>
    <w:rsid w:val="003D46A7"/>
    <w:rsid w:val="003D4898"/>
    <w:rsid w:val="003D5968"/>
    <w:rsid w:val="003D5C0E"/>
    <w:rsid w:val="003D5E4F"/>
    <w:rsid w:val="003D6400"/>
    <w:rsid w:val="003D6A9C"/>
    <w:rsid w:val="003D75DE"/>
    <w:rsid w:val="003E066F"/>
    <w:rsid w:val="003E0F23"/>
    <w:rsid w:val="003E14E7"/>
    <w:rsid w:val="003E2B34"/>
    <w:rsid w:val="003E2C75"/>
    <w:rsid w:val="003E357D"/>
    <w:rsid w:val="003E35EB"/>
    <w:rsid w:val="003E3AB8"/>
    <w:rsid w:val="003E418C"/>
    <w:rsid w:val="003E4673"/>
    <w:rsid w:val="003E5209"/>
    <w:rsid w:val="003E5727"/>
    <w:rsid w:val="003E5817"/>
    <w:rsid w:val="003E5CE3"/>
    <w:rsid w:val="003E6C55"/>
    <w:rsid w:val="003E73EA"/>
    <w:rsid w:val="003E753C"/>
    <w:rsid w:val="003E761B"/>
    <w:rsid w:val="003E7AE6"/>
    <w:rsid w:val="003E7B91"/>
    <w:rsid w:val="003E7FBA"/>
    <w:rsid w:val="003F106A"/>
    <w:rsid w:val="003F1702"/>
    <w:rsid w:val="003F1989"/>
    <w:rsid w:val="003F1C3A"/>
    <w:rsid w:val="003F22EC"/>
    <w:rsid w:val="003F24B9"/>
    <w:rsid w:val="003F25DA"/>
    <w:rsid w:val="003F28B3"/>
    <w:rsid w:val="003F2B22"/>
    <w:rsid w:val="003F2C6C"/>
    <w:rsid w:val="003F309C"/>
    <w:rsid w:val="003F32BB"/>
    <w:rsid w:val="003F408D"/>
    <w:rsid w:val="003F50AE"/>
    <w:rsid w:val="003F50D6"/>
    <w:rsid w:val="003F5307"/>
    <w:rsid w:val="003F5850"/>
    <w:rsid w:val="003F5E32"/>
    <w:rsid w:val="003F5F75"/>
    <w:rsid w:val="003F61D5"/>
    <w:rsid w:val="003F6458"/>
    <w:rsid w:val="003F6B19"/>
    <w:rsid w:val="003F7A67"/>
    <w:rsid w:val="003F7C17"/>
    <w:rsid w:val="0040006A"/>
    <w:rsid w:val="0040031E"/>
    <w:rsid w:val="00400D05"/>
    <w:rsid w:val="004010CC"/>
    <w:rsid w:val="00401ED0"/>
    <w:rsid w:val="004021C9"/>
    <w:rsid w:val="00402200"/>
    <w:rsid w:val="0040230B"/>
    <w:rsid w:val="004023A9"/>
    <w:rsid w:val="0040247B"/>
    <w:rsid w:val="00403373"/>
    <w:rsid w:val="004034B8"/>
    <w:rsid w:val="00403564"/>
    <w:rsid w:val="00403BA7"/>
    <w:rsid w:val="00404072"/>
    <w:rsid w:val="004044D8"/>
    <w:rsid w:val="00404663"/>
    <w:rsid w:val="004049E1"/>
    <w:rsid w:val="00404C45"/>
    <w:rsid w:val="00404C8D"/>
    <w:rsid w:val="004055F7"/>
    <w:rsid w:val="00405729"/>
    <w:rsid w:val="0040665A"/>
    <w:rsid w:val="00407410"/>
    <w:rsid w:val="00407416"/>
    <w:rsid w:val="00407563"/>
    <w:rsid w:val="004104E7"/>
    <w:rsid w:val="00410672"/>
    <w:rsid w:val="00410B17"/>
    <w:rsid w:val="00410B54"/>
    <w:rsid w:val="00410FCA"/>
    <w:rsid w:val="004113E8"/>
    <w:rsid w:val="004114CF"/>
    <w:rsid w:val="00411924"/>
    <w:rsid w:val="00411BED"/>
    <w:rsid w:val="00412AB5"/>
    <w:rsid w:val="00412C90"/>
    <w:rsid w:val="0041309C"/>
    <w:rsid w:val="0041323E"/>
    <w:rsid w:val="00413844"/>
    <w:rsid w:val="004138C9"/>
    <w:rsid w:val="00413BA8"/>
    <w:rsid w:val="00413E24"/>
    <w:rsid w:val="00413FEF"/>
    <w:rsid w:val="0041403C"/>
    <w:rsid w:val="004143C1"/>
    <w:rsid w:val="004143FD"/>
    <w:rsid w:val="00414405"/>
    <w:rsid w:val="00414B21"/>
    <w:rsid w:val="004150C6"/>
    <w:rsid w:val="004150FE"/>
    <w:rsid w:val="00416516"/>
    <w:rsid w:val="0041670A"/>
    <w:rsid w:val="00416C94"/>
    <w:rsid w:val="00416DE3"/>
    <w:rsid w:val="004178CA"/>
    <w:rsid w:val="004178DE"/>
    <w:rsid w:val="00417A2F"/>
    <w:rsid w:val="00420068"/>
    <w:rsid w:val="004203AC"/>
    <w:rsid w:val="00421C0A"/>
    <w:rsid w:val="0042254C"/>
    <w:rsid w:val="0042279A"/>
    <w:rsid w:val="00422AB2"/>
    <w:rsid w:val="00422BD3"/>
    <w:rsid w:val="0042359D"/>
    <w:rsid w:val="00424014"/>
    <w:rsid w:val="00424814"/>
    <w:rsid w:val="004248AD"/>
    <w:rsid w:val="00424A2B"/>
    <w:rsid w:val="00424D97"/>
    <w:rsid w:val="00425C87"/>
    <w:rsid w:val="00425E25"/>
    <w:rsid w:val="00425FD3"/>
    <w:rsid w:val="004263F4"/>
    <w:rsid w:val="00426659"/>
    <w:rsid w:val="004269BE"/>
    <w:rsid w:val="00426A06"/>
    <w:rsid w:val="004272F5"/>
    <w:rsid w:val="0042757B"/>
    <w:rsid w:val="0042774C"/>
    <w:rsid w:val="0042775A"/>
    <w:rsid w:val="00430359"/>
    <w:rsid w:val="004303BF"/>
    <w:rsid w:val="00430893"/>
    <w:rsid w:val="00431124"/>
    <w:rsid w:val="00431429"/>
    <w:rsid w:val="004314A1"/>
    <w:rsid w:val="004319CD"/>
    <w:rsid w:val="00431D26"/>
    <w:rsid w:val="00432A26"/>
    <w:rsid w:val="00432DB3"/>
    <w:rsid w:val="00433323"/>
    <w:rsid w:val="0043469D"/>
    <w:rsid w:val="004348EA"/>
    <w:rsid w:val="00435202"/>
    <w:rsid w:val="004358E3"/>
    <w:rsid w:val="00435D91"/>
    <w:rsid w:val="00436069"/>
    <w:rsid w:val="00436152"/>
    <w:rsid w:val="004364DC"/>
    <w:rsid w:val="004364DE"/>
    <w:rsid w:val="00436687"/>
    <w:rsid w:val="004379BE"/>
    <w:rsid w:val="0044097A"/>
    <w:rsid w:val="00441AA9"/>
    <w:rsid w:val="00441C09"/>
    <w:rsid w:val="00441CB8"/>
    <w:rsid w:val="00442495"/>
    <w:rsid w:val="004424C2"/>
    <w:rsid w:val="004428DD"/>
    <w:rsid w:val="00442BF9"/>
    <w:rsid w:val="004431BB"/>
    <w:rsid w:val="00443292"/>
    <w:rsid w:val="00443C65"/>
    <w:rsid w:val="00444061"/>
    <w:rsid w:val="004444A6"/>
    <w:rsid w:val="0044454B"/>
    <w:rsid w:val="00444805"/>
    <w:rsid w:val="00444852"/>
    <w:rsid w:val="00444896"/>
    <w:rsid w:val="004448E4"/>
    <w:rsid w:val="00444A31"/>
    <w:rsid w:val="00444F06"/>
    <w:rsid w:val="00444F7B"/>
    <w:rsid w:val="0044561D"/>
    <w:rsid w:val="00445D61"/>
    <w:rsid w:val="004461E4"/>
    <w:rsid w:val="004464A4"/>
    <w:rsid w:val="00446B96"/>
    <w:rsid w:val="00446DA8"/>
    <w:rsid w:val="00446F01"/>
    <w:rsid w:val="00447578"/>
    <w:rsid w:val="00447582"/>
    <w:rsid w:val="00447D5C"/>
    <w:rsid w:val="0045063A"/>
    <w:rsid w:val="004506DA"/>
    <w:rsid w:val="00450A9D"/>
    <w:rsid w:val="00450CA9"/>
    <w:rsid w:val="00450D50"/>
    <w:rsid w:val="00451BBB"/>
    <w:rsid w:val="00451C9D"/>
    <w:rsid w:val="004524FD"/>
    <w:rsid w:val="0045275D"/>
    <w:rsid w:val="00453797"/>
    <w:rsid w:val="0045388F"/>
    <w:rsid w:val="004538C1"/>
    <w:rsid w:val="004539B0"/>
    <w:rsid w:val="00453BFE"/>
    <w:rsid w:val="00453E8C"/>
    <w:rsid w:val="00453F5D"/>
    <w:rsid w:val="004547CF"/>
    <w:rsid w:val="0045571F"/>
    <w:rsid w:val="00456549"/>
    <w:rsid w:val="004568DC"/>
    <w:rsid w:val="00457126"/>
    <w:rsid w:val="004571D8"/>
    <w:rsid w:val="0045733E"/>
    <w:rsid w:val="0045787D"/>
    <w:rsid w:val="00457C32"/>
    <w:rsid w:val="00457EDD"/>
    <w:rsid w:val="0046007D"/>
    <w:rsid w:val="004603AD"/>
    <w:rsid w:val="004608F6"/>
    <w:rsid w:val="00460D1F"/>
    <w:rsid w:val="004616D1"/>
    <w:rsid w:val="004628B8"/>
    <w:rsid w:val="004638E0"/>
    <w:rsid w:val="0046399A"/>
    <w:rsid w:val="00463BDC"/>
    <w:rsid w:val="00464D7E"/>
    <w:rsid w:val="0046538D"/>
    <w:rsid w:val="004654C7"/>
    <w:rsid w:val="00465CE5"/>
    <w:rsid w:val="00466045"/>
    <w:rsid w:val="0046611F"/>
    <w:rsid w:val="00466E77"/>
    <w:rsid w:val="00467282"/>
    <w:rsid w:val="004674D6"/>
    <w:rsid w:val="0046751D"/>
    <w:rsid w:val="00467790"/>
    <w:rsid w:val="004679F9"/>
    <w:rsid w:val="00467AF1"/>
    <w:rsid w:val="00467F25"/>
    <w:rsid w:val="0047012C"/>
    <w:rsid w:val="00470278"/>
    <w:rsid w:val="004704E3"/>
    <w:rsid w:val="004706D9"/>
    <w:rsid w:val="00470726"/>
    <w:rsid w:val="004707B9"/>
    <w:rsid w:val="004710A8"/>
    <w:rsid w:val="004714DD"/>
    <w:rsid w:val="004721DE"/>
    <w:rsid w:val="0047242E"/>
    <w:rsid w:val="00472BE7"/>
    <w:rsid w:val="004735DD"/>
    <w:rsid w:val="00473671"/>
    <w:rsid w:val="00474347"/>
    <w:rsid w:val="00475245"/>
    <w:rsid w:val="00475BB5"/>
    <w:rsid w:val="00476148"/>
    <w:rsid w:val="0047629D"/>
    <w:rsid w:val="0047674A"/>
    <w:rsid w:val="00476817"/>
    <w:rsid w:val="00476A47"/>
    <w:rsid w:val="00476B84"/>
    <w:rsid w:val="00476BD3"/>
    <w:rsid w:val="00476E7D"/>
    <w:rsid w:val="00476FA5"/>
    <w:rsid w:val="004777BD"/>
    <w:rsid w:val="00477FB7"/>
    <w:rsid w:val="00480231"/>
    <w:rsid w:val="00480515"/>
    <w:rsid w:val="00480734"/>
    <w:rsid w:val="00480D64"/>
    <w:rsid w:val="00481290"/>
    <w:rsid w:val="00481A4C"/>
    <w:rsid w:val="00481F91"/>
    <w:rsid w:val="0048288F"/>
    <w:rsid w:val="004846E1"/>
    <w:rsid w:val="004849F8"/>
    <w:rsid w:val="00484B7E"/>
    <w:rsid w:val="00484E59"/>
    <w:rsid w:val="0048527A"/>
    <w:rsid w:val="00485589"/>
    <w:rsid w:val="00485E77"/>
    <w:rsid w:val="0048649A"/>
    <w:rsid w:val="004871E7"/>
    <w:rsid w:val="00487C49"/>
    <w:rsid w:val="004908DC"/>
    <w:rsid w:val="00490CFC"/>
    <w:rsid w:val="00490F5B"/>
    <w:rsid w:val="00492029"/>
    <w:rsid w:val="0049228A"/>
    <w:rsid w:val="0049306E"/>
    <w:rsid w:val="004933BE"/>
    <w:rsid w:val="004935B8"/>
    <w:rsid w:val="00493734"/>
    <w:rsid w:val="0049392E"/>
    <w:rsid w:val="00493E33"/>
    <w:rsid w:val="0049428C"/>
    <w:rsid w:val="004952DF"/>
    <w:rsid w:val="004953DD"/>
    <w:rsid w:val="0049613F"/>
    <w:rsid w:val="00496CE5"/>
    <w:rsid w:val="00497157"/>
    <w:rsid w:val="0049762A"/>
    <w:rsid w:val="00497683"/>
    <w:rsid w:val="00497955"/>
    <w:rsid w:val="004A01E9"/>
    <w:rsid w:val="004A0577"/>
    <w:rsid w:val="004A069C"/>
    <w:rsid w:val="004A07B0"/>
    <w:rsid w:val="004A18C3"/>
    <w:rsid w:val="004A1A94"/>
    <w:rsid w:val="004A2420"/>
    <w:rsid w:val="004A2457"/>
    <w:rsid w:val="004A2479"/>
    <w:rsid w:val="004A2C32"/>
    <w:rsid w:val="004A2E75"/>
    <w:rsid w:val="004A337D"/>
    <w:rsid w:val="004A3930"/>
    <w:rsid w:val="004A3D2D"/>
    <w:rsid w:val="004A42C4"/>
    <w:rsid w:val="004A4956"/>
    <w:rsid w:val="004A4BAC"/>
    <w:rsid w:val="004A5160"/>
    <w:rsid w:val="004A58A7"/>
    <w:rsid w:val="004A5EE7"/>
    <w:rsid w:val="004A6940"/>
    <w:rsid w:val="004A7387"/>
    <w:rsid w:val="004A7AB3"/>
    <w:rsid w:val="004B0AF8"/>
    <w:rsid w:val="004B0C76"/>
    <w:rsid w:val="004B1216"/>
    <w:rsid w:val="004B15D2"/>
    <w:rsid w:val="004B1821"/>
    <w:rsid w:val="004B1D8B"/>
    <w:rsid w:val="004B1F2D"/>
    <w:rsid w:val="004B2326"/>
    <w:rsid w:val="004B254A"/>
    <w:rsid w:val="004B2C98"/>
    <w:rsid w:val="004B2E63"/>
    <w:rsid w:val="004B3357"/>
    <w:rsid w:val="004B369E"/>
    <w:rsid w:val="004B3C1D"/>
    <w:rsid w:val="004B410B"/>
    <w:rsid w:val="004B42C8"/>
    <w:rsid w:val="004B4F9F"/>
    <w:rsid w:val="004B5440"/>
    <w:rsid w:val="004B556E"/>
    <w:rsid w:val="004B5EFA"/>
    <w:rsid w:val="004B6196"/>
    <w:rsid w:val="004B7548"/>
    <w:rsid w:val="004B7D15"/>
    <w:rsid w:val="004C03C6"/>
    <w:rsid w:val="004C055D"/>
    <w:rsid w:val="004C0820"/>
    <w:rsid w:val="004C0BDD"/>
    <w:rsid w:val="004C1110"/>
    <w:rsid w:val="004C1CD4"/>
    <w:rsid w:val="004C1E95"/>
    <w:rsid w:val="004C23B2"/>
    <w:rsid w:val="004C28B7"/>
    <w:rsid w:val="004C2C41"/>
    <w:rsid w:val="004C3681"/>
    <w:rsid w:val="004C3BB4"/>
    <w:rsid w:val="004C4128"/>
    <w:rsid w:val="004C42B3"/>
    <w:rsid w:val="004C4633"/>
    <w:rsid w:val="004C4717"/>
    <w:rsid w:val="004C5182"/>
    <w:rsid w:val="004C5BFE"/>
    <w:rsid w:val="004C5CBC"/>
    <w:rsid w:val="004C6285"/>
    <w:rsid w:val="004C66CD"/>
    <w:rsid w:val="004C6789"/>
    <w:rsid w:val="004C67CD"/>
    <w:rsid w:val="004C6A89"/>
    <w:rsid w:val="004C6EFD"/>
    <w:rsid w:val="004C6F5A"/>
    <w:rsid w:val="004C7C38"/>
    <w:rsid w:val="004C7F5D"/>
    <w:rsid w:val="004D0287"/>
    <w:rsid w:val="004D04CE"/>
    <w:rsid w:val="004D07CE"/>
    <w:rsid w:val="004D0AFE"/>
    <w:rsid w:val="004D0CF0"/>
    <w:rsid w:val="004D0D53"/>
    <w:rsid w:val="004D1CE0"/>
    <w:rsid w:val="004D1D2A"/>
    <w:rsid w:val="004D1D59"/>
    <w:rsid w:val="004D1D76"/>
    <w:rsid w:val="004D1EDB"/>
    <w:rsid w:val="004D267B"/>
    <w:rsid w:val="004D3319"/>
    <w:rsid w:val="004D3361"/>
    <w:rsid w:val="004D3813"/>
    <w:rsid w:val="004D4504"/>
    <w:rsid w:val="004D4972"/>
    <w:rsid w:val="004D50C5"/>
    <w:rsid w:val="004D53AF"/>
    <w:rsid w:val="004D54FB"/>
    <w:rsid w:val="004D55F0"/>
    <w:rsid w:val="004D5B9E"/>
    <w:rsid w:val="004D6147"/>
    <w:rsid w:val="004D6305"/>
    <w:rsid w:val="004D74C9"/>
    <w:rsid w:val="004D7606"/>
    <w:rsid w:val="004D7D26"/>
    <w:rsid w:val="004D7FBF"/>
    <w:rsid w:val="004E02BD"/>
    <w:rsid w:val="004E0F64"/>
    <w:rsid w:val="004E1411"/>
    <w:rsid w:val="004E1564"/>
    <w:rsid w:val="004E1C68"/>
    <w:rsid w:val="004E1E18"/>
    <w:rsid w:val="004E1FE8"/>
    <w:rsid w:val="004E2152"/>
    <w:rsid w:val="004E2621"/>
    <w:rsid w:val="004E284C"/>
    <w:rsid w:val="004E2B65"/>
    <w:rsid w:val="004E31A7"/>
    <w:rsid w:val="004E3E63"/>
    <w:rsid w:val="004E4374"/>
    <w:rsid w:val="004E4933"/>
    <w:rsid w:val="004E58CA"/>
    <w:rsid w:val="004E686C"/>
    <w:rsid w:val="004E7A39"/>
    <w:rsid w:val="004E7D65"/>
    <w:rsid w:val="004F0615"/>
    <w:rsid w:val="004F0E29"/>
    <w:rsid w:val="004F16FF"/>
    <w:rsid w:val="004F19BD"/>
    <w:rsid w:val="004F1E1D"/>
    <w:rsid w:val="004F1FF1"/>
    <w:rsid w:val="004F2167"/>
    <w:rsid w:val="004F2181"/>
    <w:rsid w:val="004F2BCE"/>
    <w:rsid w:val="004F2C4B"/>
    <w:rsid w:val="004F2D2F"/>
    <w:rsid w:val="004F2E8D"/>
    <w:rsid w:val="004F3484"/>
    <w:rsid w:val="004F3D4D"/>
    <w:rsid w:val="004F3E27"/>
    <w:rsid w:val="004F412D"/>
    <w:rsid w:val="004F42E2"/>
    <w:rsid w:val="004F509F"/>
    <w:rsid w:val="004F56FA"/>
    <w:rsid w:val="004F5713"/>
    <w:rsid w:val="004F5C14"/>
    <w:rsid w:val="004F6A1F"/>
    <w:rsid w:val="004F6B4D"/>
    <w:rsid w:val="004F6D09"/>
    <w:rsid w:val="004F7022"/>
    <w:rsid w:val="004F76F4"/>
    <w:rsid w:val="004F7B55"/>
    <w:rsid w:val="004F7DD8"/>
    <w:rsid w:val="00500751"/>
    <w:rsid w:val="00500C47"/>
    <w:rsid w:val="00500F8A"/>
    <w:rsid w:val="0050102E"/>
    <w:rsid w:val="005011F5"/>
    <w:rsid w:val="00501B33"/>
    <w:rsid w:val="0050209D"/>
    <w:rsid w:val="0050221E"/>
    <w:rsid w:val="005025D3"/>
    <w:rsid w:val="005026E5"/>
    <w:rsid w:val="00502BC9"/>
    <w:rsid w:val="00503174"/>
    <w:rsid w:val="00503DFA"/>
    <w:rsid w:val="00503E2F"/>
    <w:rsid w:val="0050498A"/>
    <w:rsid w:val="005051E9"/>
    <w:rsid w:val="005056C4"/>
    <w:rsid w:val="00506012"/>
    <w:rsid w:val="005063B2"/>
    <w:rsid w:val="005067CE"/>
    <w:rsid w:val="0050696C"/>
    <w:rsid w:val="00506C17"/>
    <w:rsid w:val="00506E09"/>
    <w:rsid w:val="00506F97"/>
    <w:rsid w:val="00507954"/>
    <w:rsid w:val="00507973"/>
    <w:rsid w:val="005100AE"/>
    <w:rsid w:val="0051024F"/>
    <w:rsid w:val="005104A4"/>
    <w:rsid w:val="005108CB"/>
    <w:rsid w:val="00510B07"/>
    <w:rsid w:val="00511054"/>
    <w:rsid w:val="005111CB"/>
    <w:rsid w:val="00511407"/>
    <w:rsid w:val="0051168B"/>
    <w:rsid w:val="00511703"/>
    <w:rsid w:val="00512235"/>
    <w:rsid w:val="00512584"/>
    <w:rsid w:val="005125BE"/>
    <w:rsid w:val="005127FB"/>
    <w:rsid w:val="00512A69"/>
    <w:rsid w:val="005132B0"/>
    <w:rsid w:val="00513477"/>
    <w:rsid w:val="005134CD"/>
    <w:rsid w:val="00513C2D"/>
    <w:rsid w:val="00513CF1"/>
    <w:rsid w:val="0051483A"/>
    <w:rsid w:val="00514DA6"/>
    <w:rsid w:val="0051541C"/>
    <w:rsid w:val="005154CB"/>
    <w:rsid w:val="005155A3"/>
    <w:rsid w:val="00515949"/>
    <w:rsid w:val="00515C7F"/>
    <w:rsid w:val="005161B9"/>
    <w:rsid w:val="00516369"/>
    <w:rsid w:val="0051720A"/>
    <w:rsid w:val="00517F23"/>
    <w:rsid w:val="0052029A"/>
    <w:rsid w:val="00520F95"/>
    <w:rsid w:val="0052174B"/>
    <w:rsid w:val="00521BE4"/>
    <w:rsid w:val="00521EEE"/>
    <w:rsid w:val="00522240"/>
    <w:rsid w:val="005226B1"/>
    <w:rsid w:val="00523676"/>
    <w:rsid w:val="00523684"/>
    <w:rsid w:val="005236C2"/>
    <w:rsid w:val="005236DE"/>
    <w:rsid w:val="00523F99"/>
    <w:rsid w:val="005240AA"/>
    <w:rsid w:val="00524312"/>
    <w:rsid w:val="00524551"/>
    <w:rsid w:val="005245B0"/>
    <w:rsid w:val="00524C63"/>
    <w:rsid w:val="00525222"/>
    <w:rsid w:val="00525337"/>
    <w:rsid w:val="00526960"/>
    <w:rsid w:val="00526DEB"/>
    <w:rsid w:val="005270CB"/>
    <w:rsid w:val="00527144"/>
    <w:rsid w:val="00527696"/>
    <w:rsid w:val="0052775F"/>
    <w:rsid w:val="00531759"/>
    <w:rsid w:val="00532B2B"/>
    <w:rsid w:val="005334E3"/>
    <w:rsid w:val="005339CD"/>
    <w:rsid w:val="00533E61"/>
    <w:rsid w:val="00533EAB"/>
    <w:rsid w:val="00534530"/>
    <w:rsid w:val="00534565"/>
    <w:rsid w:val="005347D1"/>
    <w:rsid w:val="00534D36"/>
    <w:rsid w:val="0053556E"/>
    <w:rsid w:val="00535897"/>
    <w:rsid w:val="00535CF4"/>
    <w:rsid w:val="00535F98"/>
    <w:rsid w:val="00536347"/>
    <w:rsid w:val="0053662A"/>
    <w:rsid w:val="005368AE"/>
    <w:rsid w:val="00536998"/>
    <w:rsid w:val="00536AC5"/>
    <w:rsid w:val="00536DEE"/>
    <w:rsid w:val="00536FA4"/>
    <w:rsid w:val="0053736D"/>
    <w:rsid w:val="0053737B"/>
    <w:rsid w:val="00537662"/>
    <w:rsid w:val="0054004E"/>
    <w:rsid w:val="005401BA"/>
    <w:rsid w:val="00540213"/>
    <w:rsid w:val="0054094D"/>
    <w:rsid w:val="005409BD"/>
    <w:rsid w:val="00540A35"/>
    <w:rsid w:val="00540A6A"/>
    <w:rsid w:val="00540D2B"/>
    <w:rsid w:val="0054169E"/>
    <w:rsid w:val="00541729"/>
    <w:rsid w:val="00541CCE"/>
    <w:rsid w:val="00542119"/>
    <w:rsid w:val="005421DD"/>
    <w:rsid w:val="005425F4"/>
    <w:rsid w:val="00542B0C"/>
    <w:rsid w:val="00542C1D"/>
    <w:rsid w:val="00542CF6"/>
    <w:rsid w:val="00543D36"/>
    <w:rsid w:val="00543E40"/>
    <w:rsid w:val="00543F02"/>
    <w:rsid w:val="005445B5"/>
    <w:rsid w:val="005448BA"/>
    <w:rsid w:val="00544B21"/>
    <w:rsid w:val="00544C20"/>
    <w:rsid w:val="00544C9E"/>
    <w:rsid w:val="00544E7A"/>
    <w:rsid w:val="0054525D"/>
    <w:rsid w:val="0054564A"/>
    <w:rsid w:val="00545786"/>
    <w:rsid w:val="0054587B"/>
    <w:rsid w:val="00545CD3"/>
    <w:rsid w:val="00545FC9"/>
    <w:rsid w:val="00546F33"/>
    <w:rsid w:val="005474F7"/>
    <w:rsid w:val="005479DE"/>
    <w:rsid w:val="0055010C"/>
    <w:rsid w:val="00550361"/>
    <w:rsid w:val="005503DF"/>
    <w:rsid w:val="0055148B"/>
    <w:rsid w:val="00552896"/>
    <w:rsid w:val="005529AB"/>
    <w:rsid w:val="005529EF"/>
    <w:rsid w:val="00552AE5"/>
    <w:rsid w:val="0055396B"/>
    <w:rsid w:val="00553D97"/>
    <w:rsid w:val="00555227"/>
    <w:rsid w:val="0055524D"/>
    <w:rsid w:val="00555471"/>
    <w:rsid w:val="0055556D"/>
    <w:rsid w:val="00555BBF"/>
    <w:rsid w:val="00556488"/>
    <w:rsid w:val="0055672A"/>
    <w:rsid w:val="00556F80"/>
    <w:rsid w:val="00560408"/>
    <w:rsid w:val="00560ACA"/>
    <w:rsid w:val="00560DFE"/>
    <w:rsid w:val="00560F0D"/>
    <w:rsid w:val="00561749"/>
    <w:rsid w:val="00561F07"/>
    <w:rsid w:val="00562A00"/>
    <w:rsid w:val="00562CCC"/>
    <w:rsid w:val="00563052"/>
    <w:rsid w:val="0056349D"/>
    <w:rsid w:val="00564098"/>
    <w:rsid w:val="00564BC9"/>
    <w:rsid w:val="00564D1D"/>
    <w:rsid w:val="00564D53"/>
    <w:rsid w:val="00564DF0"/>
    <w:rsid w:val="005657CE"/>
    <w:rsid w:val="00565C30"/>
    <w:rsid w:val="005660EA"/>
    <w:rsid w:val="005676BF"/>
    <w:rsid w:val="005677E3"/>
    <w:rsid w:val="0057012C"/>
    <w:rsid w:val="0057020E"/>
    <w:rsid w:val="005704FD"/>
    <w:rsid w:val="00571E1E"/>
    <w:rsid w:val="00571E2E"/>
    <w:rsid w:val="00572E6F"/>
    <w:rsid w:val="005734B2"/>
    <w:rsid w:val="005735E7"/>
    <w:rsid w:val="00573BA6"/>
    <w:rsid w:val="00574139"/>
    <w:rsid w:val="005746B6"/>
    <w:rsid w:val="00574767"/>
    <w:rsid w:val="005752DC"/>
    <w:rsid w:val="0057543F"/>
    <w:rsid w:val="00575A47"/>
    <w:rsid w:val="00575B97"/>
    <w:rsid w:val="00575F41"/>
    <w:rsid w:val="00576085"/>
    <w:rsid w:val="00576AF9"/>
    <w:rsid w:val="00577017"/>
    <w:rsid w:val="00577636"/>
    <w:rsid w:val="00577B2F"/>
    <w:rsid w:val="00577BFE"/>
    <w:rsid w:val="00577F9F"/>
    <w:rsid w:val="00577FC3"/>
    <w:rsid w:val="0058049D"/>
    <w:rsid w:val="00580644"/>
    <w:rsid w:val="00580AED"/>
    <w:rsid w:val="0058189F"/>
    <w:rsid w:val="0058217F"/>
    <w:rsid w:val="005825D2"/>
    <w:rsid w:val="00582C13"/>
    <w:rsid w:val="00582DD1"/>
    <w:rsid w:val="00582E84"/>
    <w:rsid w:val="00582F26"/>
    <w:rsid w:val="00583020"/>
    <w:rsid w:val="005830F6"/>
    <w:rsid w:val="00583824"/>
    <w:rsid w:val="005838AE"/>
    <w:rsid w:val="0058476B"/>
    <w:rsid w:val="00584C0B"/>
    <w:rsid w:val="00584FE2"/>
    <w:rsid w:val="00585348"/>
    <w:rsid w:val="005855E6"/>
    <w:rsid w:val="005860D7"/>
    <w:rsid w:val="005869C6"/>
    <w:rsid w:val="00586FBD"/>
    <w:rsid w:val="0058711A"/>
    <w:rsid w:val="00587534"/>
    <w:rsid w:val="005876EE"/>
    <w:rsid w:val="00587DC9"/>
    <w:rsid w:val="0059037B"/>
    <w:rsid w:val="0059090C"/>
    <w:rsid w:val="00590986"/>
    <w:rsid w:val="005918EA"/>
    <w:rsid w:val="0059270D"/>
    <w:rsid w:val="005928A1"/>
    <w:rsid w:val="005942E1"/>
    <w:rsid w:val="00594693"/>
    <w:rsid w:val="00594945"/>
    <w:rsid w:val="00594B0C"/>
    <w:rsid w:val="00594F19"/>
    <w:rsid w:val="00595D2C"/>
    <w:rsid w:val="0059666F"/>
    <w:rsid w:val="00596854"/>
    <w:rsid w:val="00596B40"/>
    <w:rsid w:val="00596C1C"/>
    <w:rsid w:val="00596CC7"/>
    <w:rsid w:val="00596F29"/>
    <w:rsid w:val="00597388"/>
    <w:rsid w:val="00597504"/>
    <w:rsid w:val="0059770D"/>
    <w:rsid w:val="005979D1"/>
    <w:rsid w:val="00597C73"/>
    <w:rsid w:val="00597D48"/>
    <w:rsid w:val="00597E48"/>
    <w:rsid w:val="005A0361"/>
    <w:rsid w:val="005A05C4"/>
    <w:rsid w:val="005A1458"/>
    <w:rsid w:val="005A1CD7"/>
    <w:rsid w:val="005A1D73"/>
    <w:rsid w:val="005A2986"/>
    <w:rsid w:val="005A2AF1"/>
    <w:rsid w:val="005A2B8E"/>
    <w:rsid w:val="005A3116"/>
    <w:rsid w:val="005A31C9"/>
    <w:rsid w:val="005A3555"/>
    <w:rsid w:val="005A3644"/>
    <w:rsid w:val="005A370B"/>
    <w:rsid w:val="005A39E6"/>
    <w:rsid w:val="005A3F1E"/>
    <w:rsid w:val="005A3FAE"/>
    <w:rsid w:val="005A411D"/>
    <w:rsid w:val="005A45C7"/>
    <w:rsid w:val="005A47CE"/>
    <w:rsid w:val="005A47E3"/>
    <w:rsid w:val="005A48E0"/>
    <w:rsid w:val="005A4B2B"/>
    <w:rsid w:val="005A5666"/>
    <w:rsid w:val="005A571B"/>
    <w:rsid w:val="005A5EF0"/>
    <w:rsid w:val="005A61DA"/>
    <w:rsid w:val="005A6586"/>
    <w:rsid w:val="005A662B"/>
    <w:rsid w:val="005A70C5"/>
    <w:rsid w:val="005A76B8"/>
    <w:rsid w:val="005A7CCE"/>
    <w:rsid w:val="005B0024"/>
    <w:rsid w:val="005B01A7"/>
    <w:rsid w:val="005B0A5E"/>
    <w:rsid w:val="005B0D39"/>
    <w:rsid w:val="005B100A"/>
    <w:rsid w:val="005B10B0"/>
    <w:rsid w:val="005B12DB"/>
    <w:rsid w:val="005B1D24"/>
    <w:rsid w:val="005B1FDA"/>
    <w:rsid w:val="005B2990"/>
    <w:rsid w:val="005B2B98"/>
    <w:rsid w:val="005B2FD9"/>
    <w:rsid w:val="005B306D"/>
    <w:rsid w:val="005B36B5"/>
    <w:rsid w:val="005B3D31"/>
    <w:rsid w:val="005B4106"/>
    <w:rsid w:val="005B410A"/>
    <w:rsid w:val="005B502A"/>
    <w:rsid w:val="005B5379"/>
    <w:rsid w:val="005B5AA4"/>
    <w:rsid w:val="005B5F16"/>
    <w:rsid w:val="005B5F18"/>
    <w:rsid w:val="005B633B"/>
    <w:rsid w:val="005B6BD4"/>
    <w:rsid w:val="005B6BEC"/>
    <w:rsid w:val="005B727C"/>
    <w:rsid w:val="005B7373"/>
    <w:rsid w:val="005B7F98"/>
    <w:rsid w:val="005C05AF"/>
    <w:rsid w:val="005C06D7"/>
    <w:rsid w:val="005C0A30"/>
    <w:rsid w:val="005C0FD3"/>
    <w:rsid w:val="005C116D"/>
    <w:rsid w:val="005C14A9"/>
    <w:rsid w:val="005C1563"/>
    <w:rsid w:val="005C16E4"/>
    <w:rsid w:val="005C2157"/>
    <w:rsid w:val="005C3571"/>
    <w:rsid w:val="005C35EF"/>
    <w:rsid w:val="005C37C0"/>
    <w:rsid w:val="005C3D97"/>
    <w:rsid w:val="005C489B"/>
    <w:rsid w:val="005C4E05"/>
    <w:rsid w:val="005C521E"/>
    <w:rsid w:val="005C7016"/>
    <w:rsid w:val="005C713D"/>
    <w:rsid w:val="005C72E5"/>
    <w:rsid w:val="005C770F"/>
    <w:rsid w:val="005C77E0"/>
    <w:rsid w:val="005C7E15"/>
    <w:rsid w:val="005D046A"/>
    <w:rsid w:val="005D0641"/>
    <w:rsid w:val="005D08D2"/>
    <w:rsid w:val="005D0B78"/>
    <w:rsid w:val="005D0D3F"/>
    <w:rsid w:val="005D1ABF"/>
    <w:rsid w:val="005D1C9F"/>
    <w:rsid w:val="005D1CA8"/>
    <w:rsid w:val="005D1CCD"/>
    <w:rsid w:val="005D1EE4"/>
    <w:rsid w:val="005D26D9"/>
    <w:rsid w:val="005D32E5"/>
    <w:rsid w:val="005D3657"/>
    <w:rsid w:val="005D368F"/>
    <w:rsid w:val="005D3A1F"/>
    <w:rsid w:val="005D3C3F"/>
    <w:rsid w:val="005D3E64"/>
    <w:rsid w:val="005D3EFD"/>
    <w:rsid w:val="005D4014"/>
    <w:rsid w:val="005D44F8"/>
    <w:rsid w:val="005D4CEA"/>
    <w:rsid w:val="005D538B"/>
    <w:rsid w:val="005D55CC"/>
    <w:rsid w:val="005D5F7E"/>
    <w:rsid w:val="005D655D"/>
    <w:rsid w:val="005D6B62"/>
    <w:rsid w:val="005D743C"/>
    <w:rsid w:val="005D7BBB"/>
    <w:rsid w:val="005D7F18"/>
    <w:rsid w:val="005E0351"/>
    <w:rsid w:val="005E0C38"/>
    <w:rsid w:val="005E10EC"/>
    <w:rsid w:val="005E11A9"/>
    <w:rsid w:val="005E11DA"/>
    <w:rsid w:val="005E1245"/>
    <w:rsid w:val="005E127B"/>
    <w:rsid w:val="005E1EE6"/>
    <w:rsid w:val="005E2437"/>
    <w:rsid w:val="005E2525"/>
    <w:rsid w:val="005E2759"/>
    <w:rsid w:val="005E359B"/>
    <w:rsid w:val="005E35CE"/>
    <w:rsid w:val="005E35DD"/>
    <w:rsid w:val="005E389B"/>
    <w:rsid w:val="005E397A"/>
    <w:rsid w:val="005E3AD8"/>
    <w:rsid w:val="005E41DE"/>
    <w:rsid w:val="005E6116"/>
    <w:rsid w:val="005E62C5"/>
    <w:rsid w:val="005E66D4"/>
    <w:rsid w:val="005E68AC"/>
    <w:rsid w:val="005E69C2"/>
    <w:rsid w:val="005E735A"/>
    <w:rsid w:val="005E77F4"/>
    <w:rsid w:val="005E7AC9"/>
    <w:rsid w:val="005E7D09"/>
    <w:rsid w:val="005F05CE"/>
    <w:rsid w:val="005F0987"/>
    <w:rsid w:val="005F0E1A"/>
    <w:rsid w:val="005F0E8D"/>
    <w:rsid w:val="005F1568"/>
    <w:rsid w:val="005F1A13"/>
    <w:rsid w:val="005F1A39"/>
    <w:rsid w:val="005F20E6"/>
    <w:rsid w:val="005F22EA"/>
    <w:rsid w:val="005F2361"/>
    <w:rsid w:val="005F28F3"/>
    <w:rsid w:val="005F2FE5"/>
    <w:rsid w:val="005F338D"/>
    <w:rsid w:val="005F360F"/>
    <w:rsid w:val="005F3680"/>
    <w:rsid w:val="005F3AE1"/>
    <w:rsid w:val="005F4E27"/>
    <w:rsid w:val="005F4E74"/>
    <w:rsid w:val="005F5588"/>
    <w:rsid w:val="005F645F"/>
    <w:rsid w:val="005F653F"/>
    <w:rsid w:val="005F6846"/>
    <w:rsid w:val="005F68AB"/>
    <w:rsid w:val="005F7DAC"/>
    <w:rsid w:val="0060009B"/>
    <w:rsid w:val="0060029B"/>
    <w:rsid w:val="006010FC"/>
    <w:rsid w:val="006019A4"/>
    <w:rsid w:val="00602706"/>
    <w:rsid w:val="00602822"/>
    <w:rsid w:val="00602A43"/>
    <w:rsid w:val="00602DBC"/>
    <w:rsid w:val="00602E2B"/>
    <w:rsid w:val="006033F6"/>
    <w:rsid w:val="0060350C"/>
    <w:rsid w:val="006036DD"/>
    <w:rsid w:val="00603744"/>
    <w:rsid w:val="00603ACA"/>
    <w:rsid w:val="00603FC7"/>
    <w:rsid w:val="00604819"/>
    <w:rsid w:val="0060504C"/>
    <w:rsid w:val="006052C6"/>
    <w:rsid w:val="00605575"/>
    <w:rsid w:val="00606628"/>
    <w:rsid w:val="00606D50"/>
    <w:rsid w:val="006077A2"/>
    <w:rsid w:val="006077C7"/>
    <w:rsid w:val="006106E4"/>
    <w:rsid w:val="00610FBA"/>
    <w:rsid w:val="006118F7"/>
    <w:rsid w:val="00611B59"/>
    <w:rsid w:val="00611CCB"/>
    <w:rsid w:val="0061219C"/>
    <w:rsid w:val="0061232A"/>
    <w:rsid w:val="0061242C"/>
    <w:rsid w:val="006125B6"/>
    <w:rsid w:val="00613067"/>
    <w:rsid w:val="00613249"/>
    <w:rsid w:val="006135FD"/>
    <w:rsid w:val="00614465"/>
    <w:rsid w:val="00614AE8"/>
    <w:rsid w:val="00614C56"/>
    <w:rsid w:val="00614D1F"/>
    <w:rsid w:val="00614E35"/>
    <w:rsid w:val="006155BF"/>
    <w:rsid w:val="006156BD"/>
    <w:rsid w:val="00615B61"/>
    <w:rsid w:val="00616809"/>
    <w:rsid w:val="006168C3"/>
    <w:rsid w:val="006169A9"/>
    <w:rsid w:val="00616CA4"/>
    <w:rsid w:val="006178BC"/>
    <w:rsid w:val="0062021A"/>
    <w:rsid w:val="0062023F"/>
    <w:rsid w:val="00620309"/>
    <w:rsid w:val="0062058A"/>
    <w:rsid w:val="006207B3"/>
    <w:rsid w:val="006208FB"/>
    <w:rsid w:val="00620952"/>
    <w:rsid w:val="00620F27"/>
    <w:rsid w:val="00621182"/>
    <w:rsid w:val="006211C5"/>
    <w:rsid w:val="006231F1"/>
    <w:rsid w:val="0062327B"/>
    <w:rsid w:val="006247B8"/>
    <w:rsid w:val="00624A15"/>
    <w:rsid w:val="00624DA8"/>
    <w:rsid w:val="006251C9"/>
    <w:rsid w:val="00625BC7"/>
    <w:rsid w:val="0062603C"/>
    <w:rsid w:val="00626224"/>
    <w:rsid w:val="006268EB"/>
    <w:rsid w:val="0062697C"/>
    <w:rsid w:val="006269FA"/>
    <w:rsid w:val="00626A67"/>
    <w:rsid w:val="00626F4D"/>
    <w:rsid w:val="006272B2"/>
    <w:rsid w:val="006273E7"/>
    <w:rsid w:val="00627A3A"/>
    <w:rsid w:val="00627A90"/>
    <w:rsid w:val="006302B6"/>
    <w:rsid w:val="0063044E"/>
    <w:rsid w:val="00630854"/>
    <w:rsid w:val="00630A89"/>
    <w:rsid w:val="0063115F"/>
    <w:rsid w:val="0063123C"/>
    <w:rsid w:val="00631411"/>
    <w:rsid w:val="00631A44"/>
    <w:rsid w:val="00631FC6"/>
    <w:rsid w:val="006325AD"/>
    <w:rsid w:val="00632FA9"/>
    <w:rsid w:val="00633695"/>
    <w:rsid w:val="00634176"/>
    <w:rsid w:val="006341E2"/>
    <w:rsid w:val="006343A8"/>
    <w:rsid w:val="0063454B"/>
    <w:rsid w:val="00634D63"/>
    <w:rsid w:val="00634E87"/>
    <w:rsid w:val="006358AA"/>
    <w:rsid w:val="00635AC3"/>
    <w:rsid w:val="006368C3"/>
    <w:rsid w:val="006369C4"/>
    <w:rsid w:val="00636A06"/>
    <w:rsid w:val="00636B29"/>
    <w:rsid w:val="006372F8"/>
    <w:rsid w:val="006373AD"/>
    <w:rsid w:val="00637B41"/>
    <w:rsid w:val="00640458"/>
    <w:rsid w:val="0064048B"/>
    <w:rsid w:val="00640818"/>
    <w:rsid w:val="00640D02"/>
    <w:rsid w:val="00640D6A"/>
    <w:rsid w:val="00641277"/>
    <w:rsid w:val="00641503"/>
    <w:rsid w:val="00641AE0"/>
    <w:rsid w:val="00641D88"/>
    <w:rsid w:val="0064237A"/>
    <w:rsid w:val="006424CE"/>
    <w:rsid w:val="00642627"/>
    <w:rsid w:val="00642AD4"/>
    <w:rsid w:val="00643917"/>
    <w:rsid w:val="00644383"/>
    <w:rsid w:val="006453FD"/>
    <w:rsid w:val="00645828"/>
    <w:rsid w:val="00645B3D"/>
    <w:rsid w:val="00646026"/>
    <w:rsid w:val="006460D0"/>
    <w:rsid w:val="006462B4"/>
    <w:rsid w:val="0064639C"/>
    <w:rsid w:val="00646867"/>
    <w:rsid w:val="00646DDA"/>
    <w:rsid w:val="00646E9A"/>
    <w:rsid w:val="006472CE"/>
    <w:rsid w:val="00647461"/>
    <w:rsid w:val="00647C51"/>
    <w:rsid w:val="00647CEA"/>
    <w:rsid w:val="006500D9"/>
    <w:rsid w:val="00650428"/>
    <w:rsid w:val="0065069D"/>
    <w:rsid w:val="006509CB"/>
    <w:rsid w:val="006513ED"/>
    <w:rsid w:val="00651558"/>
    <w:rsid w:val="00651A6C"/>
    <w:rsid w:val="0065205B"/>
    <w:rsid w:val="00652207"/>
    <w:rsid w:val="00652919"/>
    <w:rsid w:val="00652960"/>
    <w:rsid w:val="00653445"/>
    <w:rsid w:val="006535AB"/>
    <w:rsid w:val="00653919"/>
    <w:rsid w:val="00653990"/>
    <w:rsid w:val="0065414F"/>
    <w:rsid w:val="006541E8"/>
    <w:rsid w:val="0065436D"/>
    <w:rsid w:val="00654559"/>
    <w:rsid w:val="006546DA"/>
    <w:rsid w:val="006547D8"/>
    <w:rsid w:val="00654A45"/>
    <w:rsid w:val="00654C43"/>
    <w:rsid w:val="00654F0A"/>
    <w:rsid w:val="00655F4C"/>
    <w:rsid w:val="006563DF"/>
    <w:rsid w:val="00656602"/>
    <w:rsid w:val="00656909"/>
    <w:rsid w:val="00656C38"/>
    <w:rsid w:val="00656E05"/>
    <w:rsid w:val="0065712D"/>
    <w:rsid w:val="006572D2"/>
    <w:rsid w:val="00657548"/>
    <w:rsid w:val="00657BAD"/>
    <w:rsid w:val="00657F7D"/>
    <w:rsid w:val="006600BF"/>
    <w:rsid w:val="00660DB5"/>
    <w:rsid w:val="006614EA"/>
    <w:rsid w:val="00661EB0"/>
    <w:rsid w:val="00662597"/>
    <w:rsid w:val="006633C5"/>
    <w:rsid w:val="00663589"/>
    <w:rsid w:val="00663B09"/>
    <w:rsid w:val="006644F4"/>
    <w:rsid w:val="0066513D"/>
    <w:rsid w:val="0066532F"/>
    <w:rsid w:val="00665BE4"/>
    <w:rsid w:val="00665C74"/>
    <w:rsid w:val="00665EDA"/>
    <w:rsid w:val="0066613E"/>
    <w:rsid w:val="00666146"/>
    <w:rsid w:val="00666301"/>
    <w:rsid w:val="006666AB"/>
    <w:rsid w:val="00666E74"/>
    <w:rsid w:val="00667C58"/>
    <w:rsid w:val="00670321"/>
    <w:rsid w:val="00670507"/>
    <w:rsid w:val="0067080E"/>
    <w:rsid w:val="00670DEB"/>
    <w:rsid w:val="00671334"/>
    <w:rsid w:val="0067192B"/>
    <w:rsid w:val="0067243D"/>
    <w:rsid w:val="00672869"/>
    <w:rsid w:val="00672AA7"/>
    <w:rsid w:val="00673081"/>
    <w:rsid w:val="00673A48"/>
    <w:rsid w:val="00673FD4"/>
    <w:rsid w:val="00674736"/>
    <w:rsid w:val="00674FCD"/>
    <w:rsid w:val="00675C49"/>
    <w:rsid w:val="00675CF8"/>
    <w:rsid w:val="00675E23"/>
    <w:rsid w:val="00675FCA"/>
    <w:rsid w:val="006761D2"/>
    <w:rsid w:val="006765C2"/>
    <w:rsid w:val="00676760"/>
    <w:rsid w:val="00676855"/>
    <w:rsid w:val="0067696A"/>
    <w:rsid w:val="00676F02"/>
    <w:rsid w:val="00677252"/>
    <w:rsid w:val="006778BC"/>
    <w:rsid w:val="00677D7F"/>
    <w:rsid w:val="006801BE"/>
    <w:rsid w:val="0068073E"/>
    <w:rsid w:val="00680A0B"/>
    <w:rsid w:val="006814E6"/>
    <w:rsid w:val="006815EA"/>
    <w:rsid w:val="00681A26"/>
    <w:rsid w:val="00681D0D"/>
    <w:rsid w:val="00681F39"/>
    <w:rsid w:val="006826C1"/>
    <w:rsid w:val="006827C9"/>
    <w:rsid w:val="006828E0"/>
    <w:rsid w:val="00683009"/>
    <w:rsid w:val="00683E96"/>
    <w:rsid w:val="006843F6"/>
    <w:rsid w:val="0068506D"/>
    <w:rsid w:val="006851D6"/>
    <w:rsid w:val="006859BF"/>
    <w:rsid w:val="00687307"/>
    <w:rsid w:val="006873FE"/>
    <w:rsid w:val="00687924"/>
    <w:rsid w:val="0069016A"/>
    <w:rsid w:val="00690684"/>
    <w:rsid w:val="00690B65"/>
    <w:rsid w:val="0069110E"/>
    <w:rsid w:val="00691E8A"/>
    <w:rsid w:val="00691F89"/>
    <w:rsid w:val="00691FE1"/>
    <w:rsid w:val="0069210F"/>
    <w:rsid w:val="006924D8"/>
    <w:rsid w:val="00692536"/>
    <w:rsid w:val="00692DCF"/>
    <w:rsid w:val="00693026"/>
    <w:rsid w:val="006930A1"/>
    <w:rsid w:val="0069315F"/>
    <w:rsid w:val="006934CF"/>
    <w:rsid w:val="00693875"/>
    <w:rsid w:val="00694068"/>
    <w:rsid w:val="006944C7"/>
    <w:rsid w:val="00694C2E"/>
    <w:rsid w:val="00695A04"/>
    <w:rsid w:val="00695BF2"/>
    <w:rsid w:val="0069628C"/>
    <w:rsid w:val="006966B4"/>
    <w:rsid w:val="00697191"/>
    <w:rsid w:val="0069724C"/>
    <w:rsid w:val="00697BA4"/>
    <w:rsid w:val="006A0342"/>
    <w:rsid w:val="006A059A"/>
    <w:rsid w:val="006A0B42"/>
    <w:rsid w:val="006A0CA6"/>
    <w:rsid w:val="006A124B"/>
    <w:rsid w:val="006A14A9"/>
    <w:rsid w:val="006A18CE"/>
    <w:rsid w:val="006A1C20"/>
    <w:rsid w:val="006A274C"/>
    <w:rsid w:val="006A2AF4"/>
    <w:rsid w:val="006A2BE1"/>
    <w:rsid w:val="006A2CB9"/>
    <w:rsid w:val="006A2F58"/>
    <w:rsid w:val="006A3FFC"/>
    <w:rsid w:val="006A444C"/>
    <w:rsid w:val="006A4703"/>
    <w:rsid w:val="006A4847"/>
    <w:rsid w:val="006A5381"/>
    <w:rsid w:val="006A579B"/>
    <w:rsid w:val="006A6687"/>
    <w:rsid w:val="006A67F9"/>
    <w:rsid w:val="006A7250"/>
    <w:rsid w:val="006A763C"/>
    <w:rsid w:val="006A786C"/>
    <w:rsid w:val="006B0035"/>
    <w:rsid w:val="006B032E"/>
    <w:rsid w:val="006B0BC7"/>
    <w:rsid w:val="006B0C97"/>
    <w:rsid w:val="006B0E6D"/>
    <w:rsid w:val="006B0F5A"/>
    <w:rsid w:val="006B1292"/>
    <w:rsid w:val="006B15E8"/>
    <w:rsid w:val="006B1A17"/>
    <w:rsid w:val="006B2698"/>
    <w:rsid w:val="006B2741"/>
    <w:rsid w:val="006B2802"/>
    <w:rsid w:val="006B2D00"/>
    <w:rsid w:val="006B3110"/>
    <w:rsid w:val="006B3226"/>
    <w:rsid w:val="006B333B"/>
    <w:rsid w:val="006B3528"/>
    <w:rsid w:val="006B35FB"/>
    <w:rsid w:val="006B37B5"/>
    <w:rsid w:val="006B3DED"/>
    <w:rsid w:val="006B43BF"/>
    <w:rsid w:val="006B4C30"/>
    <w:rsid w:val="006B50E4"/>
    <w:rsid w:val="006B53B2"/>
    <w:rsid w:val="006B55F2"/>
    <w:rsid w:val="006B5607"/>
    <w:rsid w:val="006B5716"/>
    <w:rsid w:val="006B5D96"/>
    <w:rsid w:val="006B65C5"/>
    <w:rsid w:val="006B66F6"/>
    <w:rsid w:val="006B6708"/>
    <w:rsid w:val="006B6BE4"/>
    <w:rsid w:val="006B7305"/>
    <w:rsid w:val="006B74E4"/>
    <w:rsid w:val="006B7C09"/>
    <w:rsid w:val="006B7EEE"/>
    <w:rsid w:val="006B7F16"/>
    <w:rsid w:val="006C00F4"/>
    <w:rsid w:val="006C0196"/>
    <w:rsid w:val="006C0C23"/>
    <w:rsid w:val="006C105E"/>
    <w:rsid w:val="006C11C6"/>
    <w:rsid w:val="006C1237"/>
    <w:rsid w:val="006C1296"/>
    <w:rsid w:val="006C14C7"/>
    <w:rsid w:val="006C1CF7"/>
    <w:rsid w:val="006C1E2C"/>
    <w:rsid w:val="006C2D58"/>
    <w:rsid w:val="006C4359"/>
    <w:rsid w:val="006C53A9"/>
    <w:rsid w:val="006C566F"/>
    <w:rsid w:val="006C5960"/>
    <w:rsid w:val="006C5EB6"/>
    <w:rsid w:val="006C6BA2"/>
    <w:rsid w:val="006D0334"/>
    <w:rsid w:val="006D1CBC"/>
    <w:rsid w:val="006D2929"/>
    <w:rsid w:val="006D38CE"/>
    <w:rsid w:val="006D3958"/>
    <w:rsid w:val="006D3FA3"/>
    <w:rsid w:val="006D41A1"/>
    <w:rsid w:val="006D4839"/>
    <w:rsid w:val="006D52E8"/>
    <w:rsid w:val="006D54FE"/>
    <w:rsid w:val="006D63A8"/>
    <w:rsid w:val="006D6603"/>
    <w:rsid w:val="006D66B1"/>
    <w:rsid w:val="006D6C80"/>
    <w:rsid w:val="006D7247"/>
    <w:rsid w:val="006D76E6"/>
    <w:rsid w:val="006D7CD4"/>
    <w:rsid w:val="006E06D8"/>
    <w:rsid w:val="006E085B"/>
    <w:rsid w:val="006E1217"/>
    <w:rsid w:val="006E1614"/>
    <w:rsid w:val="006E18EB"/>
    <w:rsid w:val="006E1974"/>
    <w:rsid w:val="006E1C9E"/>
    <w:rsid w:val="006E24BF"/>
    <w:rsid w:val="006E2643"/>
    <w:rsid w:val="006E2E0D"/>
    <w:rsid w:val="006E303E"/>
    <w:rsid w:val="006E3879"/>
    <w:rsid w:val="006E3920"/>
    <w:rsid w:val="006E3C33"/>
    <w:rsid w:val="006E41FF"/>
    <w:rsid w:val="006E4468"/>
    <w:rsid w:val="006E49C1"/>
    <w:rsid w:val="006E4C77"/>
    <w:rsid w:val="006E501E"/>
    <w:rsid w:val="006E50D6"/>
    <w:rsid w:val="006E54D4"/>
    <w:rsid w:val="006E5976"/>
    <w:rsid w:val="006E6309"/>
    <w:rsid w:val="006E657E"/>
    <w:rsid w:val="006E6626"/>
    <w:rsid w:val="006E6658"/>
    <w:rsid w:val="006E693F"/>
    <w:rsid w:val="006E6956"/>
    <w:rsid w:val="006E7183"/>
    <w:rsid w:val="006E733D"/>
    <w:rsid w:val="006E7DE9"/>
    <w:rsid w:val="006F0324"/>
    <w:rsid w:val="006F0365"/>
    <w:rsid w:val="006F06B8"/>
    <w:rsid w:val="006F090D"/>
    <w:rsid w:val="006F1A01"/>
    <w:rsid w:val="006F1AC5"/>
    <w:rsid w:val="006F26B1"/>
    <w:rsid w:val="006F26D9"/>
    <w:rsid w:val="006F26F7"/>
    <w:rsid w:val="006F2B1F"/>
    <w:rsid w:val="006F2E24"/>
    <w:rsid w:val="006F302F"/>
    <w:rsid w:val="006F365D"/>
    <w:rsid w:val="006F3A8E"/>
    <w:rsid w:val="006F3DE0"/>
    <w:rsid w:val="006F4751"/>
    <w:rsid w:val="006F48C4"/>
    <w:rsid w:val="006F4E91"/>
    <w:rsid w:val="006F4FB8"/>
    <w:rsid w:val="006F523A"/>
    <w:rsid w:val="006F5BCC"/>
    <w:rsid w:val="006F5E7F"/>
    <w:rsid w:val="006F6114"/>
    <w:rsid w:val="006F62D1"/>
    <w:rsid w:val="006F669F"/>
    <w:rsid w:val="006F6733"/>
    <w:rsid w:val="006F67AE"/>
    <w:rsid w:val="006F6B26"/>
    <w:rsid w:val="006F6B9C"/>
    <w:rsid w:val="006F6C3C"/>
    <w:rsid w:val="006F767B"/>
    <w:rsid w:val="006F794E"/>
    <w:rsid w:val="006F7C28"/>
    <w:rsid w:val="006F7F80"/>
    <w:rsid w:val="0070003C"/>
    <w:rsid w:val="007000B7"/>
    <w:rsid w:val="0070034F"/>
    <w:rsid w:val="00700B7A"/>
    <w:rsid w:val="00700C06"/>
    <w:rsid w:val="007012CF"/>
    <w:rsid w:val="00701553"/>
    <w:rsid w:val="0070201F"/>
    <w:rsid w:val="00702378"/>
    <w:rsid w:val="007024C1"/>
    <w:rsid w:val="00702F31"/>
    <w:rsid w:val="00703136"/>
    <w:rsid w:val="0070331E"/>
    <w:rsid w:val="00703394"/>
    <w:rsid w:val="007033A6"/>
    <w:rsid w:val="007035F5"/>
    <w:rsid w:val="00703F5C"/>
    <w:rsid w:val="00704339"/>
    <w:rsid w:val="007045C9"/>
    <w:rsid w:val="007051D0"/>
    <w:rsid w:val="0070649D"/>
    <w:rsid w:val="007068C2"/>
    <w:rsid w:val="00706AE4"/>
    <w:rsid w:val="00706F3D"/>
    <w:rsid w:val="00707102"/>
    <w:rsid w:val="0070720C"/>
    <w:rsid w:val="00707EB3"/>
    <w:rsid w:val="00710ABC"/>
    <w:rsid w:val="00710ADE"/>
    <w:rsid w:val="00710CFA"/>
    <w:rsid w:val="00711550"/>
    <w:rsid w:val="00711673"/>
    <w:rsid w:val="00711917"/>
    <w:rsid w:val="00711B92"/>
    <w:rsid w:val="00711EB2"/>
    <w:rsid w:val="007120F6"/>
    <w:rsid w:val="00712EAB"/>
    <w:rsid w:val="007130B9"/>
    <w:rsid w:val="007131A0"/>
    <w:rsid w:val="00713342"/>
    <w:rsid w:val="007137B6"/>
    <w:rsid w:val="00713862"/>
    <w:rsid w:val="00713DC0"/>
    <w:rsid w:val="0071571B"/>
    <w:rsid w:val="00715C99"/>
    <w:rsid w:val="007162CE"/>
    <w:rsid w:val="007167A4"/>
    <w:rsid w:val="0071688D"/>
    <w:rsid w:val="00716B73"/>
    <w:rsid w:val="00716BA3"/>
    <w:rsid w:val="007171A0"/>
    <w:rsid w:val="00717445"/>
    <w:rsid w:val="00721245"/>
    <w:rsid w:val="00721C77"/>
    <w:rsid w:val="00721F89"/>
    <w:rsid w:val="00721FB2"/>
    <w:rsid w:val="007220CF"/>
    <w:rsid w:val="007222A7"/>
    <w:rsid w:val="0072274B"/>
    <w:rsid w:val="007227E1"/>
    <w:rsid w:val="00722B26"/>
    <w:rsid w:val="007230D2"/>
    <w:rsid w:val="007237E2"/>
    <w:rsid w:val="00723816"/>
    <w:rsid w:val="007239FB"/>
    <w:rsid w:val="007244D3"/>
    <w:rsid w:val="00724739"/>
    <w:rsid w:val="00724A2E"/>
    <w:rsid w:val="00724B28"/>
    <w:rsid w:val="007251CE"/>
    <w:rsid w:val="00725FB7"/>
    <w:rsid w:val="00726221"/>
    <w:rsid w:val="00726959"/>
    <w:rsid w:val="00726A83"/>
    <w:rsid w:val="00726B1B"/>
    <w:rsid w:val="00726B38"/>
    <w:rsid w:val="00726DD9"/>
    <w:rsid w:val="00726F14"/>
    <w:rsid w:val="00726F6E"/>
    <w:rsid w:val="0072755A"/>
    <w:rsid w:val="00727754"/>
    <w:rsid w:val="00727EF9"/>
    <w:rsid w:val="0073068A"/>
    <w:rsid w:val="007306F3"/>
    <w:rsid w:val="00730742"/>
    <w:rsid w:val="007321F8"/>
    <w:rsid w:val="00732D42"/>
    <w:rsid w:val="00732D5B"/>
    <w:rsid w:val="00733729"/>
    <w:rsid w:val="00733EA3"/>
    <w:rsid w:val="00734717"/>
    <w:rsid w:val="00734745"/>
    <w:rsid w:val="0073480C"/>
    <w:rsid w:val="00734D47"/>
    <w:rsid w:val="0073593D"/>
    <w:rsid w:val="007363A1"/>
    <w:rsid w:val="0073664A"/>
    <w:rsid w:val="007368D1"/>
    <w:rsid w:val="00737269"/>
    <w:rsid w:val="00740222"/>
    <w:rsid w:val="00740540"/>
    <w:rsid w:val="00740BD4"/>
    <w:rsid w:val="00740CA5"/>
    <w:rsid w:val="00740CA6"/>
    <w:rsid w:val="00740D86"/>
    <w:rsid w:val="0074108C"/>
    <w:rsid w:val="00742217"/>
    <w:rsid w:val="00742CEC"/>
    <w:rsid w:val="00742E58"/>
    <w:rsid w:val="00742EC5"/>
    <w:rsid w:val="00743E70"/>
    <w:rsid w:val="00743F2D"/>
    <w:rsid w:val="00744746"/>
    <w:rsid w:val="0074496F"/>
    <w:rsid w:val="007453B8"/>
    <w:rsid w:val="00745408"/>
    <w:rsid w:val="00745CA8"/>
    <w:rsid w:val="00745ED3"/>
    <w:rsid w:val="00746A13"/>
    <w:rsid w:val="007473C9"/>
    <w:rsid w:val="00747DB4"/>
    <w:rsid w:val="007500A9"/>
    <w:rsid w:val="00750574"/>
    <w:rsid w:val="007506BE"/>
    <w:rsid w:val="00750C32"/>
    <w:rsid w:val="00750EA8"/>
    <w:rsid w:val="00750EB6"/>
    <w:rsid w:val="00751546"/>
    <w:rsid w:val="00751721"/>
    <w:rsid w:val="00751863"/>
    <w:rsid w:val="0075194B"/>
    <w:rsid w:val="00752BAD"/>
    <w:rsid w:val="00752E2E"/>
    <w:rsid w:val="007530E4"/>
    <w:rsid w:val="00753427"/>
    <w:rsid w:val="00753B85"/>
    <w:rsid w:val="00753C18"/>
    <w:rsid w:val="007542EF"/>
    <w:rsid w:val="007543DC"/>
    <w:rsid w:val="00754B99"/>
    <w:rsid w:val="00755275"/>
    <w:rsid w:val="007552B4"/>
    <w:rsid w:val="00755788"/>
    <w:rsid w:val="007559F6"/>
    <w:rsid w:val="0075628D"/>
    <w:rsid w:val="007563FA"/>
    <w:rsid w:val="00756929"/>
    <w:rsid w:val="007577A9"/>
    <w:rsid w:val="00757C18"/>
    <w:rsid w:val="007607A3"/>
    <w:rsid w:val="00761320"/>
    <w:rsid w:val="00761666"/>
    <w:rsid w:val="007619C7"/>
    <w:rsid w:val="00761BEC"/>
    <w:rsid w:val="00762CA0"/>
    <w:rsid w:val="00763107"/>
    <w:rsid w:val="007635C3"/>
    <w:rsid w:val="00763883"/>
    <w:rsid w:val="00763B40"/>
    <w:rsid w:val="00763E42"/>
    <w:rsid w:val="00763FA7"/>
    <w:rsid w:val="007640F2"/>
    <w:rsid w:val="0076430A"/>
    <w:rsid w:val="007644B8"/>
    <w:rsid w:val="007648FA"/>
    <w:rsid w:val="00764B9D"/>
    <w:rsid w:val="0076589C"/>
    <w:rsid w:val="00765C33"/>
    <w:rsid w:val="00765D9F"/>
    <w:rsid w:val="00766067"/>
    <w:rsid w:val="00766929"/>
    <w:rsid w:val="00766968"/>
    <w:rsid w:val="00767375"/>
    <w:rsid w:val="007673EF"/>
    <w:rsid w:val="00767F11"/>
    <w:rsid w:val="00770026"/>
    <w:rsid w:val="00770D5F"/>
    <w:rsid w:val="00771288"/>
    <w:rsid w:val="00771489"/>
    <w:rsid w:val="007716E2"/>
    <w:rsid w:val="00772102"/>
    <w:rsid w:val="007721A1"/>
    <w:rsid w:val="0077230E"/>
    <w:rsid w:val="00772719"/>
    <w:rsid w:val="00772A2E"/>
    <w:rsid w:val="00773FA9"/>
    <w:rsid w:val="00774181"/>
    <w:rsid w:val="0077420C"/>
    <w:rsid w:val="007745E8"/>
    <w:rsid w:val="00774C67"/>
    <w:rsid w:val="00774EE5"/>
    <w:rsid w:val="00775009"/>
    <w:rsid w:val="00775A03"/>
    <w:rsid w:val="00775AAB"/>
    <w:rsid w:val="007762A7"/>
    <w:rsid w:val="0077668F"/>
    <w:rsid w:val="007766D2"/>
    <w:rsid w:val="00776DD7"/>
    <w:rsid w:val="0077766C"/>
    <w:rsid w:val="0077769D"/>
    <w:rsid w:val="007776CC"/>
    <w:rsid w:val="00777D87"/>
    <w:rsid w:val="00777DE0"/>
    <w:rsid w:val="00777FB9"/>
    <w:rsid w:val="00780185"/>
    <w:rsid w:val="00780571"/>
    <w:rsid w:val="00780609"/>
    <w:rsid w:val="007808D2"/>
    <w:rsid w:val="00780C8E"/>
    <w:rsid w:val="00780CFE"/>
    <w:rsid w:val="00781901"/>
    <w:rsid w:val="007822D0"/>
    <w:rsid w:val="0078321B"/>
    <w:rsid w:val="00783812"/>
    <w:rsid w:val="0078486E"/>
    <w:rsid w:val="00784E98"/>
    <w:rsid w:val="00784FED"/>
    <w:rsid w:val="00785B0C"/>
    <w:rsid w:val="00785C66"/>
    <w:rsid w:val="00785E39"/>
    <w:rsid w:val="00786145"/>
    <w:rsid w:val="0078656C"/>
    <w:rsid w:val="0078688F"/>
    <w:rsid w:val="007869FF"/>
    <w:rsid w:val="00787703"/>
    <w:rsid w:val="00787C8E"/>
    <w:rsid w:val="00790175"/>
    <w:rsid w:val="007903A1"/>
    <w:rsid w:val="00790436"/>
    <w:rsid w:val="00790663"/>
    <w:rsid w:val="00791955"/>
    <w:rsid w:val="00791C6C"/>
    <w:rsid w:val="00791EF3"/>
    <w:rsid w:val="007934AE"/>
    <w:rsid w:val="0079366F"/>
    <w:rsid w:val="00793B9A"/>
    <w:rsid w:val="00794728"/>
    <w:rsid w:val="00794CF0"/>
    <w:rsid w:val="0079501F"/>
    <w:rsid w:val="007955C6"/>
    <w:rsid w:val="00795870"/>
    <w:rsid w:val="00795BAA"/>
    <w:rsid w:val="00795BD9"/>
    <w:rsid w:val="00795D7F"/>
    <w:rsid w:val="00795E97"/>
    <w:rsid w:val="007963DE"/>
    <w:rsid w:val="0079674A"/>
    <w:rsid w:val="00796DBD"/>
    <w:rsid w:val="0079735E"/>
    <w:rsid w:val="007974A0"/>
    <w:rsid w:val="007976FF"/>
    <w:rsid w:val="007977E9"/>
    <w:rsid w:val="00797D03"/>
    <w:rsid w:val="00797E8C"/>
    <w:rsid w:val="00797EB4"/>
    <w:rsid w:val="007A05F2"/>
    <w:rsid w:val="007A076D"/>
    <w:rsid w:val="007A1715"/>
    <w:rsid w:val="007A1CBF"/>
    <w:rsid w:val="007A1CCD"/>
    <w:rsid w:val="007A200E"/>
    <w:rsid w:val="007A3201"/>
    <w:rsid w:val="007A3461"/>
    <w:rsid w:val="007A4018"/>
    <w:rsid w:val="007A43EC"/>
    <w:rsid w:val="007A465F"/>
    <w:rsid w:val="007A467F"/>
    <w:rsid w:val="007A47A5"/>
    <w:rsid w:val="007A5201"/>
    <w:rsid w:val="007A572E"/>
    <w:rsid w:val="007A59C0"/>
    <w:rsid w:val="007A5FF6"/>
    <w:rsid w:val="007A6859"/>
    <w:rsid w:val="007A6CC2"/>
    <w:rsid w:val="007A6FCE"/>
    <w:rsid w:val="007A7393"/>
    <w:rsid w:val="007A7C68"/>
    <w:rsid w:val="007B0129"/>
    <w:rsid w:val="007B0522"/>
    <w:rsid w:val="007B0B2B"/>
    <w:rsid w:val="007B0C73"/>
    <w:rsid w:val="007B0FAD"/>
    <w:rsid w:val="007B1224"/>
    <w:rsid w:val="007B12EB"/>
    <w:rsid w:val="007B174F"/>
    <w:rsid w:val="007B219B"/>
    <w:rsid w:val="007B21EA"/>
    <w:rsid w:val="007B277B"/>
    <w:rsid w:val="007B396C"/>
    <w:rsid w:val="007B3D3D"/>
    <w:rsid w:val="007B3FF9"/>
    <w:rsid w:val="007B4345"/>
    <w:rsid w:val="007B4DB9"/>
    <w:rsid w:val="007B654F"/>
    <w:rsid w:val="007B6A91"/>
    <w:rsid w:val="007B7790"/>
    <w:rsid w:val="007B7DE8"/>
    <w:rsid w:val="007C0194"/>
    <w:rsid w:val="007C10A9"/>
    <w:rsid w:val="007C1256"/>
    <w:rsid w:val="007C145B"/>
    <w:rsid w:val="007C16C7"/>
    <w:rsid w:val="007C1922"/>
    <w:rsid w:val="007C1EBC"/>
    <w:rsid w:val="007C24BC"/>
    <w:rsid w:val="007C2D2C"/>
    <w:rsid w:val="007C32E4"/>
    <w:rsid w:val="007C335B"/>
    <w:rsid w:val="007C362C"/>
    <w:rsid w:val="007C39E6"/>
    <w:rsid w:val="007C3D6F"/>
    <w:rsid w:val="007C43BC"/>
    <w:rsid w:val="007C4556"/>
    <w:rsid w:val="007C4A03"/>
    <w:rsid w:val="007C4A9B"/>
    <w:rsid w:val="007C52C4"/>
    <w:rsid w:val="007C64E1"/>
    <w:rsid w:val="007C76DC"/>
    <w:rsid w:val="007D08AE"/>
    <w:rsid w:val="007D0E71"/>
    <w:rsid w:val="007D164D"/>
    <w:rsid w:val="007D1FBD"/>
    <w:rsid w:val="007D25F7"/>
    <w:rsid w:val="007D2F58"/>
    <w:rsid w:val="007D32D9"/>
    <w:rsid w:val="007D3694"/>
    <w:rsid w:val="007D3AE1"/>
    <w:rsid w:val="007D3E98"/>
    <w:rsid w:val="007D4512"/>
    <w:rsid w:val="007D459F"/>
    <w:rsid w:val="007D46D8"/>
    <w:rsid w:val="007D46DA"/>
    <w:rsid w:val="007D4B60"/>
    <w:rsid w:val="007D4BAD"/>
    <w:rsid w:val="007D4F5D"/>
    <w:rsid w:val="007D4F94"/>
    <w:rsid w:val="007D5144"/>
    <w:rsid w:val="007D537B"/>
    <w:rsid w:val="007D55E7"/>
    <w:rsid w:val="007D5C44"/>
    <w:rsid w:val="007D600A"/>
    <w:rsid w:val="007D6DB6"/>
    <w:rsid w:val="007D6DC2"/>
    <w:rsid w:val="007D6E0C"/>
    <w:rsid w:val="007D74C0"/>
    <w:rsid w:val="007D77EE"/>
    <w:rsid w:val="007D7CF2"/>
    <w:rsid w:val="007D7F44"/>
    <w:rsid w:val="007E0585"/>
    <w:rsid w:val="007E05F2"/>
    <w:rsid w:val="007E06A5"/>
    <w:rsid w:val="007E0942"/>
    <w:rsid w:val="007E14F0"/>
    <w:rsid w:val="007E29B2"/>
    <w:rsid w:val="007E2B30"/>
    <w:rsid w:val="007E2F92"/>
    <w:rsid w:val="007E39DC"/>
    <w:rsid w:val="007E3A1B"/>
    <w:rsid w:val="007E42C7"/>
    <w:rsid w:val="007E45C4"/>
    <w:rsid w:val="007E4D6D"/>
    <w:rsid w:val="007E4FA8"/>
    <w:rsid w:val="007E515C"/>
    <w:rsid w:val="007E5E1A"/>
    <w:rsid w:val="007E604C"/>
    <w:rsid w:val="007E6428"/>
    <w:rsid w:val="007F0AB5"/>
    <w:rsid w:val="007F1253"/>
    <w:rsid w:val="007F2134"/>
    <w:rsid w:val="007F2415"/>
    <w:rsid w:val="007F2439"/>
    <w:rsid w:val="007F29BA"/>
    <w:rsid w:val="007F29D4"/>
    <w:rsid w:val="007F2E76"/>
    <w:rsid w:val="007F309E"/>
    <w:rsid w:val="007F315E"/>
    <w:rsid w:val="007F36E9"/>
    <w:rsid w:val="007F4732"/>
    <w:rsid w:val="007F4AC5"/>
    <w:rsid w:val="007F4D78"/>
    <w:rsid w:val="007F4EF8"/>
    <w:rsid w:val="007F5073"/>
    <w:rsid w:val="007F588A"/>
    <w:rsid w:val="007F5C21"/>
    <w:rsid w:val="007F5D41"/>
    <w:rsid w:val="007F68BA"/>
    <w:rsid w:val="007F6F4F"/>
    <w:rsid w:val="007F702C"/>
    <w:rsid w:val="007F7776"/>
    <w:rsid w:val="007F7BF5"/>
    <w:rsid w:val="008004A4"/>
    <w:rsid w:val="008006F4"/>
    <w:rsid w:val="008009FB"/>
    <w:rsid w:val="00801123"/>
    <w:rsid w:val="008012C3"/>
    <w:rsid w:val="008012E2"/>
    <w:rsid w:val="00801305"/>
    <w:rsid w:val="008017C4"/>
    <w:rsid w:val="00801954"/>
    <w:rsid w:val="0080270E"/>
    <w:rsid w:val="008030A3"/>
    <w:rsid w:val="008034BD"/>
    <w:rsid w:val="00803541"/>
    <w:rsid w:val="00803F09"/>
    <w:rsid w:val="00804268"/>
    <w:rsid w:val="008042B1"/>
    <w:rsid w:val="0080465A"/>
    <w:rsid w:val="00804CE6"/>
    <w:rsid w:val="00804EB2"/>
    <w:rsid w:val="00805683"/>
    <w:rsid w:val="00805A9D"/>
    <w:rsid w:val="00805D3A"/>
    <w:rsid w:val="00805D99"/>
    <w:rsid w:val="00806111"/>
    <w:rsid w:val="0080658B"/>
    <w:rsid w:val="00806ED5"/>
    <w:rsid w:val="00806F0B"/>
    <w:rsid w:val="00807087"/>
    <w:rsid w:val="00807D51"/>
    <w:rsid w:val="0081015B"/>
    <w:rsid w:val="00810868"/>
    <w:rsid w:val="00810921"/>
    <w:rsid w:val="00810F6E"/>
    <w:rsid w:val="00811094"/>
    <w:rsid w:val="008115CB"/>
    <w:rsid w:val="008117C9"/>
    <w:rsid w:val="00811D67"/>
    <w:rsid w:val="008127F6"/>
    <w:rsid w:val="00812B44"/>
    <w:rsid w:val="00812F9E"/>
    <w:rsid w:val="008132CF"/>
    <w:rsid w:val="008139BB"/>
    <w:rsid w:val="0081426D"/>
    <w:rsid w:val="0081463A"/>
    <w:rsid w:val="0081476B"/>
    <w:rsid w:val="008148A5"/>
    <w:rsid w:val="00814BD2"/>
    <w:rsid w:val="00814C78"/>
    <w:rsid w:val="0081568B"/>
    <w:rsid w:val="0081588D"/>
    <w:rsid w:val="00815A27"/>
    <w:rsid w:val="00815AD4"/>
    <w:rsid w:val="00815C5B"/>
    <w:rsid w:val="00815F97"/>
    <w:rsid w:val="00817119"/>
    <w:rsid w:val="00817E19"/>
    <w:rsid w:val="00817F53"/>
    <w:rsid w:val="00820349"/>
    <w:rsid w:val="00820462"/>
    <w:rsid w:val="008205D0"/>
    <w:rsid w:val="00820626"/>
    <w:rsid w:val="00820D2E"/>
    <w:rsid w:val="00820DEC"/>
    <w:rsid w:val="008211B1"/>
    <w:rsid w:val="008214E3"/>
    <w:rsid w:val="008217D8"/>
    <w:rsid w:val="0082220F"/>
    <w:rsid w:val="0082243B"/>
    <w:rsid w:val="0082280C"/>
    <w:rsid w:val="00822BA7"/>
    <w:rsid w:val="00822FA6"/>
    <w:rsid w:val="00823010"/>
    <w:rsid w:val="00823235"/>
    <w:rsid w:val="0082476C"/>
    <w:rsid w:val="008248B7"/>
    <w:rsid w:val="008251BE"/>
    <w:rsid w:val="008256B9"/>
    <w:rsid w:val="0082587B"/>
    <w:rsid w:val="008259A7"/>
    <w:rsid w:val="00826302"/>
    <w:rsid w:val="00826919"/>
    <w:rsid w:val="0082691F"/>
    <w:rsid w:val="00826F22"/>
    <w:rsid w:val="00827818"/>
    <w:rsid w:val="00827977"/>
    <w:rsid w:val="008302B5"/>
    <w:rsid w:val="00830452"/>
    <w:rsid w:val="008306F9"/>
    <w:rsid w:val="00831131"/>
    <w:rsid w:val="00831A55"/>
    <w:rsid w:val="0083285A"/>
    <w:rsid w:val="00832CA1"/>
    <w:rsid w:val="00833121"/>
    <w:rsid w:val="00833567"/>
    <w:rsid w:val="008337D5"/>
    <w:rsid w:val="00834644"/>
    <w:rsid w:val="00834BF4"/>
    <w:rsid w:val="00835B89"/>
    <w:rsid w:val="00836090"/>
    <w:rsid w:val="00836BA9"/>
    <w:rsid w:val="00836DA1"/>
    <w:rsid w:val="0083709A"/>
    <w:rsid w:val="008373FD"/>
    <w:rsid w:val="0083744E"/>
    <w:rsid w:val="008403E0"/>
    <w:rsid w:val="00840B39"/>
    <w:rsid w:val="00841201"/>
    <w:rsid w:val="008412DB"/>
    <w:rsid w:val="00841352"/>
    <w:rsid w:val="008413E0"/>
    <w:rsid w:val="00841B37"/>
    <w:rsid w:val="0084324B"/>
    <w:rsid w:val="008434FF"/>
    <w:rsid w:val="00843DF6"/>
    <w:rsid w:val="00843FA5"/>
    <w:rsid w:val="00844000"/>
    <w:rsid w:val="008442C3"/>
    <w:rsid w:val="00844316"/>
    <w:rsid w:val="0084458D"/>
    <w:rsid w:val="00844679"/>
    <w:rsid w:val="0084471A"/>
    <w:rsid w:val="00845053"/>
    <w:rsid w:val="0084523B"/>
    <w:rsid w:val="00845760"/>
    <w:rsid w:val="00845E64"/>
    <w:rsid w:val="00846162"/>
    <w:rsid w:val="008463D8"/>
    <w:rsid w:val="00846D84"/>
    <w:rsid w:val="00846F1B"/>
    <w:rsid w:val="00847367"/>
    <w:rsid w:val="00847AAD"/>
    <w:rsid w:val="00847EDA"/>
    <w:rsid w:val="00850239"/>
    <w:rsid w:val="00850E3F"/>
    <w:rsid w:val="00852088"/>
    <w:rsid w:val="00852473"/>
    <w:rsid w:val="00852F68"/>
    <w:rsid w:val="00852F8C"/>
    <w:rsid w:val="00853A54"/>
    <w:rsid w:val="00853D18"/>
    <w:rsid w:val="0085492E"/>
    <w:rsid w:val="00855111"/>
    <w:rsid w:val="008559E8"/>
    <w:rsid w:val="00855BCE"/>
    <w:rsid w:val="008561AB"/>
    <w:rsid w:val="00856C4D"/>
    <w:rsid w:val="00856F90"/>
    <w:rsid w:val="00857579"/>
    <w:rsid w:val="0085770F"/>
    <w:rsid w:val="00857F8A"/>
    <w:rsid w:val="00860092"/>
    <w:rsid w:val="008604AF"/>
    <w:rsid w:val="00860553"/>
    <w:rsid w:val="008609B1"/>
    <w:rsid w:val="00860A8E"/>
    <w:rsid w:val="00860B31"/>
    <w:rsid w:val="00860D2E"/>
    <w:rsid w:val="00860EDA"/>
    <w:rsid w:val="00861085"/>
    <w:rsid w:val="00861527"/>
    <w:rsid w:val="00861912"/>
    <w:rsid w:val="0086220D"/>
    <w:rsid w:val="00862380"/>
    <w:rsid w:val="008627EB"/>
    <w:rsid w:val="00862C87"/>
    <w:rsid w:val="00862DD3"/>
    <w:rsid w:val="00863145"/>
    <w:rsid w:val="00863820"/>
    <w:rsid w:val="00863898"/>
    <w:rsid w:val="00864485"/>
    <w:rsid w:val="0086460D"/>
    <w:rsid w:val="00864A35"/>
    <w:rsid w:val="008652BC"/>
    <w:rsid w:val="00865379"/>
    <w:rsid w:val="0086543C"/>
    <w:rsid w:val="00865610"/>
    <w:rsid w:val="008656AF"/>
    <w:rsid w:val="00865F00"/>
    <w:rsid w:val="00866159"/>
    <w:rsid w:val="00867975"/>
    <w:rsid w:val="00867A78"/>
    <w:rsid w:val="00867B74"/>
    <w:rsid w:val="00867F3F"/>
    <w:rsid w:val="008701FA"/>
    <w:rsid w:val="00870391"/>
    <w:rsid w:val="008707D8"/>
    <w:rsid w:val="0087081F"/>
    <w:rsid w:val="00870C44"/>
    <w:rsid w:val="008725EC"/>
    <w:rsid w:val="00872959"/>
    <w:rsid w:val="00872A25"/>
    <w:rsid w:val="00872BB0"/>
    <w:rsid w:val="00872D10"/>
    <w:rsid w:val="0087317A"/>
    <w:rsid w:val="00873B2F"/>
    <w:rsid w:val="00873C25"/>
    <w:rsid w:val="00873C8C"/>
    <w:rsid w:val="00874345"/>
    <w:rsid w:val="008744E5"/>
    <w:rsid w:val="00874925"/>
    <w:rsid w:val="008749EE"/>
    <w:rsid w:val="008753CF"/>
    <w:rsid w:val="008755B0"/>
    <w:rsid w:val="00875791"/>
    <w:rsid w:val="00875D20"/>
    <w:rsid w:val="00875EBA"/>
    <w:rsid w:val="00876B00"/>
    <w:rsid w:val="00876C1F"/>
    <w:rsid w:val="00876D14"/>
    <w:rsid w:val="00876D39"/>
    <w:rsid w:val="00876D66"/>
    <w:rsid w:val="00876D82"/>
    <w:rsid w:val="008774C2"/>
    <w:rsid w:val="008800B4"/>
    <w:rsid w:val="0088068E"/>
    <w:rsid w:val="00880E8D"/>
    <w:rsid w:val="0088130A"/>
    <w:rsid w:val="00881480"/>
    <w:rsid w:val="00881622"/>
    <w:rsid w:val="00881CC0"/>
    <w:rsid w:val="00882393"/>
    <w:rsid w:val="00882AC1"/>
    <w:rsid w:val="00883999"/>
    <w:rsid w:val="00883FF8"/>
    <w:rsid w:val="0088435D"/>
    <w:rsid w:val="00884655"/>
    <w:rsid w:val="008847C6"/>
    <w:rsid w:val="00884AC3"/>
    <w:rsid w:val="00884EF1"/>
    <w:rsid w:val="00885112"/>
    <w:rsid w:val="008852A4"/>
    <w:rsid w:val="00885970"/>
    <w:rsid w:val="00885C11"/>
    <w:rsid w:val="00886BA1"/>
    <w:rsid w:val="00886BE4"/>
    <w:rsid w:val="00887516"/>
    <w:rsid w:val="00887911"/>
    <w:rsid w:val="008905B7"/>
    <w:rsid w:val="0089062B"/>
    <w:rsid w:val="00890F4C"/>
    <w:rsid w:val="00891523"/>
    <w:rsid w:val="00891B9B"/>
    <w:rsid w:val="00892175"/>
    <w:rsid w:val="008921CC"/>
    <w:rsid w:val="008923BF"/>
    <w:rsid w:val="00892814"/>
    <w:rsid w:val="00892E09"/>
    <w:rsid w:val="00893099"/>
    <w:rsid w:val="00893541"/>
    <w:rsid w:val="00893603"/>
    <w:rsid w:val="00893697"/>
    <w:rsid w:val="00893746"/>
    <w:rsid w:val="00893B85"/>
    <w:rsid w:val="0089417C"/>
    <w:rsid w:val="00894A6E"/>
    <w:rsid w:val="00894E32"/>
    <w:rsid w:val="00894F52"/>
    <w:rsid w:val="008952ED"/>
    <w:rsid w:val="0089578D"/>
    <w:rsid w:val="00895844"/>
    <w:rsid w:val="008960FE"/>
    <w:rsid w:val="008963C4"/>
    <w:rsid w:val="00896909"/>
    <w:rsid w:val="00896FF5"/>
    <w:rsid w:val="008975B2"/>
    <w:rsid w:val="00897BA4"/>
    <w:rsid w:val="008A0686"/>
    <w:rsid w:val="008A0ACB"/>
    <w:rsid w:val="008A1B4C"/>
    <w:rsid w:val="008A1BC0"/>
    <w:rsid w:val="008A1E8E"/>
    <w:rsid w:val="008A231E"/>
    <w:rsid w:val="008A2B62"/>
    <w:rsid w:val="008A2EE7"/>
    <w:rsid w:val="008A3B9D"/>
    <w:rsid w:val="008A3D85"/>
    <w:rsid w:val="008A4028"/>
    <w:rsid w:val="008A40EB"/>
    <w:rsid w:val="008A462C"/>
    <w:rsid w:val="008A47AD"/>
    <w:rsid w:val="008A4822"/>
    <w:rsid w:val="008A48CA"/>
    <w:rsid w:val="008A4D63"/>
    <w:rsid w:val="008A5C5D"/>
    <w:rsid w:val="008A5E84"/>
    <w:rsid w:val="008A6190"/>
    <w:rsid w:val="008A6280"/>
    <w:rsid w:val="008A647B"/>
    <w:rsid w:val="008A64C4"/>
    <w:rsid w:val="008A655B"/>
    <w:rsid w:val="008A687E"/>
    <w:rsid w:val="008A6C81"/>
    <w:rsid w:val="008A70B9"/>
    <w:rsid w:val="008A7CC8"/>
    <w:rsid w:val="008A7FBE"/>
    <w:rsid w:val="008B00A8"/>
    <w:rsid w:val="008B04E8"/>
    <w:rsid w:val="008B0575"/>
    <w:rsid w:val="008B0DB4"/>
    <w:rsid w:val="008B0E2E"/>
    <w:rsid w:val="008B0FC1"/>
    <w:rsid w:val="008B1268"/>
    <w:rsid w:val="008B2525"/>
    <w:rsid w:val="008B31AF"/>
    <w:rsid w:val="008B32A5"/>
    <w:rsid w:val="008B38A6"/>
    <w:rsid w:val="008B3A54"/>
    <w:rsid w:val="008B3E1C"/>
    <w:rsid w:val="008B4EB8"/>
    <w:rsid w:val="008B508D"/>
    <w:rsid w:val="008B5742"/>
    <w:rsid w:val="008B5993"/>
    <w:rsid w:val="008B5A30"/>
    <w:rsid w:val="008B5E00"/>
    <w:rsid w:val="008B5F41"/>
    <w:rsid w:val="008B5F8F"/>
    <w:rsid w:val="008B668A"/>
    <w:rsid w:val="008B6759"/>
    <w:rsid w:val="008B6F14"/>
    <w:rsid w:val="008B6F3E"/>
    <w:rsid w:val="008B6FBF"/>
    <w:rsid w:val="008B7356"/>
    <w:rsid w:val="008B7A09"/>
    <w:rsid w:val="008C03F7"/>
    <w:rsid w:val="008C0B50"/>
    <w:rsid w:val="008C1039"/>
    <w:rsid w:val="008C1363"/>
    <w:rsid w:val="008C139E"/>
    <w:rsid w:val="008C1625"/>
    <w:rsid w:val="008C1BC2"/>
    <w:rsid w:val="008C2F34"/>
    <w:rsid w:val="008C31AE"/>
    <w:rsid w:val="008C3B36"/>
    <w:rsid w:val="008C3D1A"/>
    <w:rsid w:val="008C3DE1"/>
    <w:rsid w:val="008C3E6B"/>
    <w:rsid w:val="008C401D"/>
    <w:rsid w:val="008C40DF"/>
    <w:rsid w:val="008C47B5"/>
    <w:rsid w:val="008C47C2"/>
    <w:rsid w:val="008C47D6"/>
    <w:rsid w:val="008C4FC4"/>
    <w:rsid w:val="008C55A0"/>
    <w:rsid w:val="008C58EF"/>
    <w:rsid w:val="008C5BDF"/>
    <w:rsid w:val="008C6CA3"/>
    <w:rsid w:val="008C6CDD"/>
    <w:rsid w:val="008C6D5D"/>
    <w:rsid w:val="008C70EA"/>
    <w:rsid w:val="008C7A97"/>
    <w:rsid w:val="008D0F7C"/>
    <w:rsid w:val="008D1536"/>
    <w:rsid w:val="008D2557"/>
    <w:rsid w:val="008D268D"/>
    <w:rsid w:val="008D2850"/>
    <w:rsid w:val="008D2F4C"/>
    <w:rsid w:val="008D3A7A"/>
    <w:rsid w:val="008D3BD5"/>
    <w:rsid w:val="008D3C1A"/>
    <w:rsid w:val="008D4990"/>
    <w:rsid w:val="008D5327"/>
    <w:rsid w:val="008D55F1"/>
    <w:rsid w:val="008D58DF"/>
    <w:rsid w:val="008D5AF4"/>
    <w:rsid w:val="008D5FC1"/>
    <w:rsid w:val="008D6188"/>
    <w:rsid w:val="008D6FFA"/>
    <w:rsid w:val="008D74A9"/>
    <w:rsid w:val="008D7A73"/>
    <w:rsid w:val="008D7CCB"/>
    <w:rsid w:val="008E0EB3"/>
    <w:rsid w:val="008E13BE"/>
    <w:rsid w:val="008E1535"/>
    <w:rsid w:val="008E15D3"/>
    <w:rsid w:val="008E2055"/>
    <w:rsid w:val="008E2219"/>
    <w:rsid w:val="008E2894"/>
    <w:rsid w:val="008E2DCE"/>
    <w:rsid w:val="008E30F4"/>
    <w:rsid w:val="008E3525"/>
    <w:rsid w:val="008E3B9B"/>
    <w:rsid w:val="008E3E96"/>
    <w:rsid w:val="008E4822"/>
    <w:rsid w:val="008E4BC3"/>
    <w:rsid w:val="008E4E68"/>
    <w:rsid w:val="008E4F8A"/>
    <w:rsid w:val="008E58D2"/>
    <w:rsid w:val="008E59EB"/>
    <w:rsid w:val="008E68C4"/>
    <w:rsid w:val="008E6986"/>
    <w:rsid w:val="008E713B"/>
    <w:rsid w:val="008E74D4"/>
    <w:rsid w:val="008E79AE"/>
    <w:rsid w:val="008E7A6A"/>
    <w:rsid w:val="008E7C80"/>
    <w:rsid w:val="008F09F8"/>
    <w:rsid w:val="008F0CA4"/>
    <w:rsid w:val="008F0DDE"/>
    <w:rsid w:val="008F1B47"/>
    <w:rsid w:val="008F1BF3"/>
    <w:rsid w:val="008F1F38"/>
    <w:rsid w:val="008F1FD8"/>
    <w:rsid w:val="008F242E"/>
    <w:rsid w:val="008F24FD"/>
    <w:rsid w:val="008F263F"/>
    <w:rsid w:val="008F2E4D"/>
    <w:rsid w:val="008F32A1"/>
    <w:rsid w:val="008F36FD"/>
    <w:rsid w:val="008F3CF2"/>
    <w:rsid w:val="008F3F82"/>
    <w:rsid w:val="008F5B47"/>
    <w:rsid w:val="008F5B56"/>
    <w:rsid w:val="008F5D67"/>
    <w:rsid w:val="008F6084"/>
    <w:rsid w:val="008F6099"/>
    <w:rsid w:val="008F63D1"/>
    <w:rsid w:val="008F6B66"/>
    <w:rsid w:val="008F7079"/>
    <w:rsid w:val="008F7D6A"/>
    <w:rsid w:val="0090079F"/>
    <w:rsid w:val="009010B7"/>
    <w:rsid w:val="009013AD"/>
    <w:rsid w:val="009013DE"/>
    <w:rsid w:val="00901441"/>
    <w:rsid w:val="00901A96"/>
    <w:rsid w:val="009029C9"/>
    <w:rsid w:val="00902AEE"/>
    <w:rsid w:val="00902F9F"/>
    <w:rsid w:val="009031DA"/>
    <w:rsid w:val="009038D7"/>
    <w:rsid w:val="009039D3"/>
    <w:rsid w:val="00903F09"/>
    <w:rsid w:val="00903FBB"/>
    <w:rsid w:val="00904AD7"/>
    <w:rsid w:val="00904B0B"/>
    <w:rsid w:val="00905712"/>
    <w:rsid w:val="00905737"/>
    <w:rsid w:val="00905BB8"/>
    <w:rsid w:val="00905DB4"/>
    <w:rsid w:val="00905E26"/>
    <w:rsid w:val="00906DF5"/>
    <w:rsid w:val="0090725C"/>
    <w:rsid w:val="009077F0"/>
    <w:rsid w:val="00907D49"/>
    <w:rsid w:val="00907F4E"/>
    <w:rsid w:val="00910A3A"/>
    <w:rsid w:val="00910BB7"/>
    <w:rsid w:val="00910F38"/>
    <w:rsid w:val="009115EF"/>
    <w:rsid w:val="00911C36"/>
    <w:rsid w:val="00911D58"/>
    <w:rsid w:val="00911DF8"/>
    <w:rsid w:val="009122F2"/>
    <w:rsid w:val="00912388"/>
    <w:rsid w:val="00912831"/>
    <w:rsid w:val="00912964"/>
    <w:rsid w:val="0091301E"/>
    <w:rsid w:val="009135C6"/>
    <w:rsid w:val="0091385D"/>
    <w:rsid w:val="00913E44"/>
    <w:rsid w:val="00913F9D"/>
    <w:rsid w:val="009142A3"/>
    <w:rsid w:val="0091459A"/>
    <w:rsid w:val="009149E3"/>
    <w:rsid w:val="00915A7D"/>
    <w:rsid w:val="00915C8E"/>
    <w:rsid w:val="00915F0C"/>
    <w:rsid w:val="00915FF7"/>
    <w:rsid w:val="00916289"/>
    <w:rsid w:val="0091723B"/>
    <w:rsid w:val="00917B1B"/>
    <w:rsid w:val="0092017A"/>
    <w:rsid w:val="00920324"/>
    <w:rsid w:val="0092032A"/>
    <w:rsid w:val="00920D4F"/>
    <w:rsid w:val="0092107C"/>
    <w:rsid w:val="00921AB6"/>
    <w:rsid w:val="0092213B"/>
    <w:rsid w:val="00922164"/>
    <w:rsid w:val="00922810"/>
    <w:rsid w:val="00922818"/>
    <w:rsid w:val="0092305B"/>
    <w:rsid w:val="00923154"/>
    <w:rsid w:val="0092322B"/>
    <w:rsid w:val="009232B9"/>
    <w:rsid w:val="009234E8"/>
    <w:rsid w:val="00923510"/>
    <w:rsid w:val="0092398F"/>
    <w:rsid w:val="00924625"/>
    <w:rsid w:val="0092466E"/>
    <w:rsid w:val="00924E22"/>
    <w:rsid w:val="00925650"/>
    <w:rsid w:val="00925AFD"/>
    <w:rsid w:val="00925B16"/>
    <w:rsid w:val="00925BF8"/>
    <w:rsid w:val="00925DE0"/>
    <w:rsid w:val="009263A0"/>
    <w:rsid w:val="0092648F"/>
    <w:rsid w:val="00926718"/>
    <w:rsid w:val="00926852"/>
    <w:rsid w:val="00926BCE"/>
    <w:rsid w:val="00927D86"/>
    <w:rsid w:val="00930644"/>
    <w:rsid w:val="00930961"/>
    <w:rsid w:val="00930E35"/>
    <w:rsid w:val="009323B2"/>
    <w:rsid w:val="00932BED"/>
    <w:rsid w:val="00932E4F"/>
    <w:rsid w:val="00933212"/>
    <w:rsid w:val="009332C5"/>
    <w:rsid w:val="009335C4"/>
    <w:rsid w:val="00933C22"/>
    <w:rsid w:val="00934695"/>
    <w:rsid w:val="00934881"/>
    <w:rsid w:val="009351EA"/>
    <w:rsid w:val="00935673"/>
    <w:rsid w:val="00935D1C"/>
    <w:rsid w:val="00935DA4"/>
    <w:rsid w:val="00936C0D"/>
    <w:rsid w:val="00937743"/>
    <w:rsid w:val="00937E80"/>
    <w:rsid w:val="00940249"/>
    <w:rsid w:val="0094037E"/>
    <w:rsid w:val="00940C27"/>
    <w:rsid w:val="0094176A"/>
    <w:rsid w:val="00941A3D"/>
    <w:rsid w:val="00942C7A"/>
    <w:rsid w:val="009430EB"/>
    <w:rsid w:val="009431C1"/>
    <w:rsid w:val="009434E5"/>
    <w:rsid w:val="00943CF2"/>
    <w:rsid w:val="00944851"/>
    <w:rsid w:val="00944D96"/>
    <w:rsid w:val="009450C2"/>
    <w:rsid w:val="00945294"/>
    <w:rsid w:val="00945B70"/>
    <w:rsid w:val="009461AA"/>
    <w:rsid w:val="00946776"/>
    <w:rsid w:val="009467DB"/>
    <w:rsid w:val="00946D42"/>
    <w:rsid w:val="0094742E"/>
    <w:rsid w:val="00947678"/>
    <w:rsid w:val="00947700"/>
    <w:rsid w:val="00947712"/>
    <w:rsid w:val="00947C34"/>
    <w:rsid w:val="00947DD6"/>
    <w:rsid w:val="009500F9"/>
    <w:rsid w:val="0095091D"/>
    <w:rsid w:val="00951B56"/>
    <w:rsid w:val="00952089"/>
    <w:rsid w:val="009527A1"/>
    <w:rsid w:val="00952D6C"/>
    <w:rsid w:val="00952DC2"/>
    <w:rsid w:val="00952E28"/>
    <w:rsid w:val="00952F94"/>
    <w:rsid w:val="009530D5"/>
    <w:rsid w:val="00953F7E"/>
    <w:rsid w:val="00954053"/>
    <w:rsid w:val="0095455D"/>
    <w:rsid w:val="009545DE"/>
    <w:rsid w:val="00954C96"/>
    <w:rsid w:val="00954E54"/>
    <w:rsid w:val="0095580A"/>
    <w:rsid w:val="00956007"/>
    <w:rsid w:val="009566C1"/>
    <w:rsid w:val="00956772"/>
    <w:rsid w:val="009567A9"/>
    <w:rsid w:val="009568FE"/>
    <w:rsid w:val="00956AC9"/>
    <w:rsid w:val="00956D15"/>
    <w:rsid w:val="00957176"/>
    <w:rsid w:val="00957E3E"/>
    <w:rsid w:val="009604BF"/>
    <w:rsid w:val="0096087B"/>
    <w:rsid w:val="00960C60"/>
    <w:rsid w:val="0096134F"/>
    <w:rsid w:val="009613D0"/>
    <w:rsid w:val="00961D98"/>
    <w:rsid w:val="00962038"/>
    <w:rsid w:val="0096220D"/>
    <w:rsid w:val="0096226B"/>
    <w:rsid w:val="00962321"/>
    <w:rsid w:val="00962BF1"/>
    <w:rsid w:val="00962D22"/>
    <w:rsid w:val="00963929"/>
    <w:rsid w:val="009639EA"/>
    <w:rsid w:val="00963C7C"/>
    <w:rsid w:val="00963D7C"/>
    <w:rsid w:val="009641BE"/>
    <w:rsid w:val="009641E2"/>
    <w:rsid w:val="00964206"/>
    <w:rsid w:val="00964594"/>
    <w:rsid w:val="00964764"/>
    <w:rsid w:val="00964AEC"/>
    <w:rsid w:val="00964B71"/>
    <w:rsid w:val="00964CFA"/>
    <w:rsid w:val="00965493"/>
    <w:rsid w:val="00965BD4"/>
    <w:rsid w:val="00966434"/>
    <w:rsid w:val="00966A9B"/>
    <w:rsid w:val="00966BE0"/>
    <w:rsid w:val="00970586"/>
    <w:rsid w:val="009718C5"/>
    <w:rsid w:val="00971B4A"/>
    <w:rsid w:val="00971CE7"/>
    <w:rsid w:val="00971F84"/>
    <w:rsid w:val="009727FF"/>
    <w:rsid w:val="00972EC2"/>
    <w:rsid w:val="009734FC"/>
    <w:rsid w:val="0097359B"/>
    <w:rsid w:val="00973654"/>
    <w:rsid w:val="0097388C"/>
    <w:rsid w:val="00973AEB"/>
    <w:rsid w:val="009743C0"/>
    <w:rsid w:val="009748D4"/>
    <w:rsid w:val="00974ED3"/>
    <w:rsid w:val="00974FFA"/>
    <w:rsid w:val="0097507B"/>
    <w:rsid w:val="00975396"/>
    <w:rsid w:val="009759C1"/>
    <w:rsid w:val="00975EB6"/>
    <w:rsid w:val="00976492"/>
    <w:rsid w:val="009765E1"/>
    <w:rsid w:val="00976BDC"/>
    <w:rsid w:val="00976ED3"/>
    <w:rsid w:val="009774DA"/>
    <w:rsid w:val="0097759E"/>
    <w:rsid w:val="0097760D"/>
    <w:rsid w:val="00977F04"/>
    <w:rsid w:val="00980294"/>
    <w:rsid w:val="009809BB"/>
    <w:rsid w:val="00980A48"/>
    <w:rsid w:val="00980CCA"/>
    <w:rsid w:val="0098113F"/>
    <w:rsid w:val="009813D3"/>
    <w:rsid w:val="009815EA"/>
    <w:rsid w:val="0098218E"/>
    <w:rsid w:val="0098293E"/>
    <w:rsid w:val="0098322C"/>
    <w:rsid w:val="00983649"/>
    <w:rsid w:val="00983FBD"/>
    <w:rsid w:val="00984D92"/>
    <w:rsid w:val="0098539E"/>
    <w:rsid w:val="0098576F"/>
    <w:rsid w:val="00985BB8"/>
    <w:rsid w:val="00985E93"/>
    <w:rsid w:val="00986266"/>
    <w:rsid w:val="0098627B"/>
    <w:rsid w:val="00987344"/>
    <w:rsid w:val="00987A69"/>
    <w:rsid w:val="00987D38"/>
    <w:rsid w:val="00987F17"/>
    <w:rsid w:val="009903FA"/>
    <w:rsid w:val="00990702"/>
    <w:rsid w:val="0099114D"/>
    <w:rsid w:val="00991381"/>
    <w:rsid w:val="009917F6"/>
    <w:rsid w:val="00991B9F"/>
    <w:rsid w:val="00991CB8"/>
    <w:rsid w:val="00991ED7"/>
    <w:rsid w:val="009921DD"/>
    <w:rsid w:val="00992281"/>
    <w:rsid w:val="0099278C"/>
    <w:rsid w:val="0099291B"/>
    <w:rsid w:val="00993103"/>
    <w:rsid w:val="00993BCC"/>
    <w:rsid w:val="00993C69"/>
    <w:rsid w:val="0099429D"/>
    <w:rsid w:val="0099479F"/>
    <w:rsid w:val="00994AE2"/>
    <w:rsid w:val="00996439"/>
    <w:rsid w:val="009977A1"/>
    <w:rsid w:val="00997804"/>
    <w:rsid w:val="00997905"/>
    <w:rsid w:val="00997ECD"/>
    <w:rsid w:val="009A026A"/>
    <w:rsid w:val="009A05E6"/>
    <w:rsid w:val="009A07FA"/>
    <w:rsid w:val="009A0B7B"/>
    <w:rsid w:val="009A0DE4"/>
    <w:rsid w:val="009A0F9E"/>
    <w:rsid w:val="009A16C7"/>
    <w:rsid w:val="009A2676"/>
    <w:rsid w:val="009A27F2"/>
    <w:rsid w:val="009A289D"/>
    <w:rsid w:val="009A306E"/>
    <w:rsid w:val="009A3241"/>
    <w:rsid w:val="009A3527"/>
    <w:rsid w:val="009A3D57"/>
    <w:rsid w:val="009A3F50"/>
    <w:rsid w:val="009A44C6"/>
    <w:rsid w:val="009A5459"/>
    <w:rsid w:val="009A5600"/>
    <w:rsid w:val="009A5978"/>
    <w:rsid w:val="009A5987"/>
    <w:rsid w:val="009A5DD9"/>
    <w:rsid w:val="009A6655"/>
    <w:rsid w:val="009A66EA"/>
    <w:rsid w:val="009A6A49"/>
    <w:rsid w:val="009A72F5"/>
    <w:rsid w:val="009B0088"/>
    <w:rsid w:val="009B0401"/>
    <w:rsid w:val="009B1130"/>
    <w:rsid w:val="009B1857"/>
    <w:rsid w:val="009B195C"/>
    <w:rsid w:val="009B1E2D"/>
    <w:rsid w:val="009B21FC"/>
    <w:rsid w:val="009B267B"/>
    <w:rsid w:val="009B2705"/>
    <w:rsid w:val="009B292E"/>
    <w:rsid w:val="009B2AED"/>
    <w:rsid w:val="009B2AF9"/>
    <w:rsid w:val="009B2CD9"/>
    <w:rsid w:val="009B3025"/>
    <w:rsid w:val="009B3332"/>
    <w:rsid w:val="009B3CA6"/>
    <w:rsid w:val="009B3E76"/>
    <w:rsid w:val="009B4476"/>
    <w:rsid w:val="009B456F"/>
    <w:rsid w:val="009B4B77"/>
    <w:rsid w:val="009B5453"/>
    <w:rsid w:val="009B5605"/>
    <w:rsid w:val="009B6081"/>
    <w:rsid w:val="009B62F7"/>
    <w:rsid w:val="009B6510"/>
    <w:rsid w:val="009B67AB"/>
    <w:rsid w:val="009B6C55"/>
    <w:rsid w:val="009B6F98"/>
    <w:rsid w:val="009B744B"/>
    <w:rsid w:val="009C078C"/>
    <w:rsid w:val="009C089E"/>
    <w:rsid w:val="009C0A79"/>
    <w:rsid w:val="009C173B"/>
    <w:rsid w:val="009C1867"/>
    <w:rsid w:val="009C25DB"/>
    <w:rsid w:val="009C272E"/>
    <w:rsid w:val="009C32DA"/>
    <w:rsid w:val="009C424A"/>
    <w:rsid w:val="009C4719"/>
    <w:rsid w:val="009C4B12"/>
    <w:rsid w:val="009C4CC9"/>
    <w:rsid w:val="009C53FC"/>
    <w:rsid w:val="009C606C"/>
    <w:rsid w:val="009C613A"/>
    <w:rsid w:val="009C6C13"/>
    <w:rsid w:val="009C72B8"/>
    <w:rsid w:val="009C7B4C"/>
    <w:rsid w:val="009C7D1F"/>
    <w:rsid w:val="009D0FBB"/>
    <w:rsid w:val="009D1851"/>
    <w:rsid w:val="009D2682"/>
    <w:rsid w:val="009D26F8"/>
    <w:rsid w:val="009D2AB2"/>
    <w:rsid w:val="009D338D"/>
    <w:rsid w:val="009D344B"/>
    <w:rsid w:val="009D3554"/>
    <w:rsid w:val="009D3A50"/>
    <w:rsid w:val="009D4118"/>
    <w:rsid w:val="009D469A"/>
    <w:rsid w:val="009D4BB7"/>
    <w:rsid w:val="009D573C"/>
    <w:rsid w:val="009D57DC"/>
    <w:rsid w:val="009D5BD1"/>
    <w:rsid w:val="009D60F6"/>
    <w:rsid w:val="009D63CA"/>
    <w:rsid w:val="009D650D"/>
    <w:rsid w:val="009D71F1"/>
    <w:rsid w:val="009D72C0"/>
    <w:rsid w:val="009D7756"/>
    <w:rsid w:val="009D7829"/>
    <w:rsid w:val="009D7C3A"/>
    <w:rsid w:val="009D7F1A"/>
    <w:rsid w:val="009E0213"/>
    <w:rsid w:val="009E044A"/>
    <w:rsid w:val="009E0D7B"/>
    <w:rsid w:val="009E120D"/>
    <w:rsid w:val="009E1405"/>
    <w:rsid w:val="009E15A7"/>
    <w:rsid w:val="009E1C3C"/>
    <w:rsid w:val="009E1CFD"/>
    <w:rsid w:val="009E1E91"/>
    <w:rsid w:val="009E1EBC"/>
    <w:rsid w:val="009E24D7"/>
    <w:rsid w:val="009E2D33"/>
    <w:rsid w:val="009E355C"/>
    <w:rsid w:val="009E3979"/>
    <w:rsid w:val="009E3A25"/>
    <w:rsid w:val="009E40B9"/>
    <w:rsid w:val="009E42A8"/>
    <w:rsid w:val="009E47A5"/>
    <w:rsid w:val="009E4B81"/>
    <w:rsid w:val="009E5269"/>
    <w:rsid w:val="009E560A"/>
    <w:rsid w:val="009E589B"/>
    <w:rsid w:val="009E5967"/>
    <w:rsid w:val="009E5BB5"/>
    <w:rsid w:val="009E5E8C"/>
    <w:rsid w:val="009E619A"/>
    <w:rsid w:val="009E61AC"/>
    <w:rsid w:val="009E6660"/>
    <w:rsid w:val="009E67DA"/>
    <w:rsid w:val="009E6D97"/>
    <w:rsid w:val="009E6E10"/>
    <w:rsid w:val="009E7618"/>
    <w:rsid w:val="009E7B90"/>
    <w:rsid w:val="009F00C6"/>
    <w:rsid w:val="009F0E08"/>
    <w:rsid w:val="009F10A3"/>
    <w:rsid w:val="009F1702"/>
    <w:rsid w:val="009F1D34"/>
    <w:rsid w:val="009F24DB"/>
    <w:rsid w:val="009F28EE"/>
    <w:rsid w:val="009F33EB"/>
    <w:rsid w:val="009F37F8"/>
    <w:rsid w:val="009F3B05"/>
    <w:rsid w:val="009F413A"/>
    <w:rsid w:val="009F4DEF"/>
    <w:rsid w:val="009F5178"/>
    <w:rsid w:val="009F53A8"/>
    <w:rsid w:val="009F541F"/>
    <w:rsid w:val="009F54AB"/>
    <w:rsid w:val="009F5ACB"/>
    <w:rsid w:val="009F6039"/>
    <w:rsid w:val="009F6C20"/>
    <w:rsid w:val="009F6C95"/>
    <w:rsid w:val="009F7174"/>
    <w:rsid w:val="009F7290"/>
    <w:rsid w:val="009F7361"/>
    <w:rsid w:val="009F7656"/>
    <w:rsid w:val="009F7BDB"/>
    <w:rsid w:val="009F7DF7"/>
    <w:rsid w:val="00A00E66"/>
    <w:rsid w:val="00A01815"/>
    <w:rsid w:val="00A0186B"/>
    <w:rsid w:val="00A01C8E"/>
    <w:rsid w:val="00A01D35"/>
    <w:rsid w:val="00A01EA5"/>
    <w:rsid w:val="00A021AE"/>
    <w:rsid w:val="00A02842"/>
    <w:rsid w:val="00A028C9"/>
    <w:rsid w:val="00A02E20"/>
    <w:rsid w:val="00A03823"/>
    <w:rsid w:val="00A0397F"/>
    <w:rsid w:val="00A03C64"/>
    <w:rsid w:val="00A03E31"/>
    <w:rsid w:val="00A03F0C"/>
    <w:rsid w:val="00A04215"/>
    <w:rsid w:val="00A045C9"/>
    <w:rsid w:val="00A049CD"/>
    <w:rsid w:val="00A04BAA"/>
    <w:rsid w:val="00A051FB"/>
    <w:rsid w:val="00A0627A"/>
    <w:rsid w:val="00A0635C"/>
    <w:rsid w:val="00A0707A"/>
    <w:rsid w:val="00A07180"/>
    <w:rsid w:val="00A074DD"/>
    <w:rsid w:val="00A0782E"/>
    <w:rsid w:val="00A10099"/>
    <w:rsid w:val="00A1014C"/>
    <w:rsid w:val="00A104DC"/>
    <w:rsid w:val="00A10943"/>
    <w:rsid w:val="00A10EF4"/>
    <w:rsid w:val="00A110B8"/>
    <w:rsid w:val="00A118F5"/>
    <w:rsid w:val="00A11B26"/>
    <w:rsid w:val="00A11E91"/>
    <w:rsid w:val="00A11F72"/>
    <w:rsid w:val="00A1207F"/>
    <w:rsid w:val="00A130BE"/>
    <w:rsid w:val="00A13215"/>
    <w:rsid w:val="00A135FF"/>
    <w:rsid w:val="00A14092"/>
    <w:rsid w:val="00A1437F"/>
    <w:rsid w:val="00A143A3"/>
    <w:rsid w:val="00A15998"/>
    <w:rsid w:val="00A15FDE"/>
    <w:rsid w:val="00A166E6"/>
    <w:rsid w:val="00A16779"/>
    <w:rsid w:val="00A16913"/>
    <w:rsid w:val="00A16EEF"/>
    <w:rsid w:val="00A1742D"/>
    <w:rsid w:val="00A17536"/>
    <w:rsid w:val="00A17928"/>
    <w:rsid w:val="00A17996"/>
    <w:rsid w:val="00A17A95"/>
    <w:rsid w:val="00A17F14"/>
    <w:rsid w:val="00A2033F"/>
    <w:rsid w:val="00A20752"/>
    <w:rsid w:val="00A2103A"/>
    <w:rsid w:val="00A21EFA"/>
    <w:rsid w:val="00A22029"/>
    <w:rsid w:val="00A220B2"/>
    <w:rsid w:val="00A22653"/>
    <w:rsid w:val="00A2270E"/>
    <w:rsid w:val="00A23F49"/>
    <w:rsid w:val="00A24678"/>
    <w:rsid w:val="00A24A8D"/>
    <w:rsid w:val="00A2530B"/>
    <w:rsid w:val="00A25C3F"/>
    <w:rsid w:val="00A25FAF"/>
    <w:rsid w:val="00A26497"/>
    <w:rsid w:val="00A2696F"/>
    <w:rsid w:val="00A26D12"/>
    <w:rsid w:val="00A26E4B"/>
    <w:rsid w:val="00A26F5D"/>
    <w:rsid w:val="00A27403"/>
    <w:rsid w:val="00A27558"/>
    <w:rsid w:val="00A27B8B"/>
    <w:rsid w:val="00A27BD0"/>
    <w:rsid w:val="00A27C09"/>
    <w:rsid w:val="00A30401"/>
    <w:rsid w:val="00A30465"/>
    <w:rsid w:val="00A30AC5"/>
    <w:rsid w:val="00A30C76"/>
    <w:rsid w:val="00A30D77"/>
    <w:rsid w:val="00A30E93"/>
    <w:rsid w:val="00A31560"/>
    <w:rsid w:val="00A31670"/>
    <w:rsid w:val="00A31B02"/>
    <w:rsid w:val="00A32593"/>
    <w:rsid w:val="00A325CA"/>
    <w:rsid w:val="00A326B0"/>
    <w:rsid w:val="00A32969"/>
    <w:rsid w:val="00A3413C"/>
    <w:rsid w:val="00A34170"/>
    <w:rsid w:val="00A3454B"/>
    <w:rsid w:val="00A349F1"/>
    <w:rsid w:val="00A34BF6"/>
    <w:rsid w:val="00A34CF9"/>
    <w:rsid w:val="00A34E45"/>
    <w:rsid w:val="00A350D3"/>
    <w:rsid w:val="00A35679"/>
    <w:rsid w:val="00A357EC"/>
    <w:rsid w:val="00A35A56"/>
    <w:rsid w:val="00A35B71"/>
    <w:rsid w:val="00A3613E"/>
    <w:rsid w:val="00A363C1"/>
    <w:rsid w:val="00A3692F"/>
    <w:rsid w:val="00A36BC9"/>
    <w:rsid w:val="00A3714D"/>
    <w:rsid w:val="00A37668"/>
    <w:rsid w:val="00A37753"/>
    <w:rsid w:val="00A37919"/>
    <w:rsid w:val="00A37FE3"/>
    <w:rsid w:val="00A40C13"/>
    <w:rsid w:val="00A4170B"/>
    <w:rsid w:val="00A4210A"/>
    <w:rsid w:val="00A423AC"/>
    <w:rsid w:val="00A42925"/>
    <w:rsid w:val="00A42BB9"/>
    <w:rsid w:val="00A42C31"/>
    <w:rsid w:val="00A43172"/>
    <w:rsid w:val="00A438B1"/>
    <w:rsid w:val="00A448AB"/>
    <w:rsid w:val="00A44AE2"/>
    <w:rsid w:val="00A45244"/>
    <w:rsid w:val="00A452C1"/>
    <w:rsid w:val="00A45627"/>
    <w:rsid w:val="00A45B9F"/>
    <w:rsid w:val="00A45EF7"/>
    <w:rsid w:val="00A466EB"/>
    <w:rsid w:val="00A46A4E"/>
    <w:rsid w:val="00A46D17"/>
    <w:rsid w:val="00A478D9"/>
    <w:rsid w:val="00A50790"/>
    <w:rsid w:val="00A50851"/>
    <w:rsid w:val="00A51143"/>
    <w:rsid w:val="00A51536"/>
    <w:rsid w:val="00A5183B"/>
    <w:rsid w:val="00A52098"/>
    <w:rsid w:val="00A523C6"/>
    <w:rsid w:val="00A5273A"/>
    <w:rsid w:val="00A52E9A"/>
    <w:rsid w:val="00A52FBC"/>
    <w:rsid w:val="00A5361D"/>
    <w:rsid w:val="00A5378B"/>
    <w:rsid w:val="00A53B40"/>
    <w:rsid w:val="00A54475"/>
    <w:rsid w:val="00A55185"/>
    <w:rsid w:val="00A556F7"/>
    <w:rsid w:val="00A55758"/>
    <w:rsid w:val="00A5578F"/>
    <w:rsid w:val="00A5603E"/>
    <w:rsid w:val="00A560CE"/>
    <w:rsid w:val="00A56198"/>
    <w:rsid w:val="00A561FE"/>
    <w:rsid w:val="00A5628F"/>
    <w:rsid w:val="00A567DF"/>
    <w:rsid w:val="00A56888"/>
    <w:rsid w:val="00A57F8D"/>
    <w:rsid w:val="00A60C18"/>
    <w:rsid w:val="00A61474"/>
    <w:rsid w:val="00A617B5"/>
    <w:rsid w:val="00A61FE6"/>
    <w:rsid w:val="00A62224"/>
    <w:rsid w:val="00A62270"/>
    <w:rsid w:val="00A622DC"/>
    <w:rsid w:val="00A6239B"/>
    <w:rsid w:val="00A623C8"/>
    <w:rsid w:val="00A62FE6"/>
    <w:rsid w:val="00A63026"/>
    <w:rsid w:val="00A636A2"/>
    <w:rsid w:val="00A63CD7"/>
    <w:rsid w:val="00A640B0"/>
    <w:rsid w:val="00A644A4"/>
    <w:rsid w:val="00A64D39"/>
    <w:rsid w:val="00A65292"/>
    <w:rsid w:val="00A6533A"/>
    <w:rsid w:val="00A6592F"/>
    <w:rsid w:val="00A65A97"/>
    <w:rsid w:val="00A65DC8"/>
    <w:rsid w:val="00A664DA"/>
    <w:rsid w:val="00A667EE"/>
    <w:rsid w:val="00A66AE3"/>
    <w:rsid w:val="00A66C38"/>
    <w:rsid w:val="00A66C9E"/>
    <w:rsid w:val="00A673B7"/>
    <w:rsid w:val="00A674BF"/>
    <w:rsid w:val="00A674C9"/>
    <w:rsid w:val="00A675F5"/>
    <w:rsid w:val="00A67667"/>
    <w:rsid w:val="00A711EE"/>
    <w:rsid w:val="00A7130B"/>
    <w:rsid w:val="00A7146A"/>
    <w:rsid w:val="00A71620"/>
    <w:rsid w:val="00A71A21"/>
    <w:rsid w:val="00A71E34"/>
    <w:rsid w:val="00A71F10"/>
    <w:rsid w:val="00A71F24"/>
    <w:rsid w:val="00A73684"/>
    <w:rsid w:val="00A7395E"/>
    <w:rsid w:val="00A73FEF"/>
    <w:rsid w:val="00A74088"/>
    <w:rsid w:val="00A7433B"/>
    <w:rsid w:val="00A74F13"/>
    <w:rsid w:val="00A7539E"/>
    <w:rsid w:val="00A76000"/>
    <w:rsid w:val="00A765C1"/>
    <w:rsid w:val="00A765FC"/>
    <w:rsid w:val="00A77588"/>
    <w:rsid w:val="00A77BDC"/>
    <w:rsid w:val="00A77CC5"/>
    <w:rsid w:val="00A77DF0"/>
    <w:rsid w:val="00A8067C"/>
    <w:rsid w:val="00A809C0"/>
    <w:rsid w:val="00A80A07"/>
    <w:rsid w:val="00A81C90"/>
    <w:rsid w:val="00A820F9"/>
    <w:rsid w:val="00A82174"/>
    <w:rsid w:val="00A82A24"/>
    <w:rsid w:val="00A82F3F"/>
    <w:rsid w:val="00A8361F"/>
    <w:rsid w:val="00A836D9"/>
    <w:rsid w:val="00A837A9"/>
    <w:rsid w:val="00A83F62"/>
    <w:rsid w:val="00A84045"/>
    <w:rsid w:val="00A84317"/>
    <w:rsid w:val="00A8458F"/>
    <w:rsid w:val="00A8469B"/>
    <w:rsid w:val="00A84E9A"/>
    <w:rsid w:val="00A85B7A"/>
    <w:rsid w:val="00A864F7"/>
    <w:rsid w:val="00A866CE"/>
    <w:rsid w:val="00A86FA1"/>
    <w:rsid w:val="00A873ED"/>
    <w:rsid w:val="00A87482"/>
    <w:rsid w:val="00A87669"/>
    <w:rsid w:val="00A87CB4"/>
    <w:rsid w:val="00A9012C"/>
    <w:rsid w:val="00A9038C"/>
    <w:rsid w:val="00A9066D"/>
    <w:rsid w:val="00A91CC7"/>
    <w:rsid w:val="00A92113"/>
    <w:rsid w:val="00A92E6E"/>
    <w:rsid w:val="00A93099"/>
    <w:rsid w:val="00A93DB4"/>
    <w:rsid w:val="00A93F2B"/>
    <w:rsid w:val="00A94023"/>
    <w:rsid w:val="00A94198"/>
    <w:rsid w:val="00A94B1B"/>
    <w:rsid w:val="00A9518E"/>
    <w:rsid w:val="00A95833"/>
    <w:rsid w:val="00A95B9A"/>
    <w:rsid w:val="00A95EAB"/>
    <w:rsid w:val="00A95FA9"/>
    <w:rsid w:val="00A962C5"/>
    <w:rsid w:val="00A96685"/>
    <w:rsid w:val="00A96C6B"/>
    <w:rsid w:val="00A96D66"/>
    <w:rsid w:val="00A97608"/>
    <w:rsid w:val="00A97A02"/>
    <w:rsid w:val="00A97AE0"/>
    <w:rsid w:val="00A97B32"/>
    <w:rsid w:val="00AA0191"/>
    <w:rsid w:val="00AA0913"/>
    <w:rsid w:val="00AA1223"/>
    <w:rsid w:val="00AA1A76"/>
    <w:rsid w:val="00AA1AD4"/>
    <w:rsid w:val="00AA1B72"/>
    <w:rsid w:val="00AA22E0"/>
    <w:rsid w:val="00AA25E2"/>
    <w:rsid w:val="00AA2D6D"/>
    <w:rsid w:val="00AA2EE4"/>
    <w:rsid w:val="00AA33BC"/>
    <w:rsid w:val="00AA3BF1"/>
    <w:rsid w:val="00AA4F96"/>
    <w:rsid w:val="00AA526C"/>
    <w:rsid w:val="00AA59DF"/>
    <w:rsid w:val="00AA5DA2"/>
    <w:rsid w:val="00AA616C"/>
    <w:rsid w:val="00AA6386"/>
    <w:rsid w:val="00AA6438"/>
    <w:rsid w:val="00AA7414"/>
    <w:rsid w:val="00AA755C"/>
    <w:rsid w:val="00AA79E1"/>
    <w:rsid w:val="00AA7A73"/>
    <w:rsid w:val="00AA7C33"/>
    <w:rsid w:val="00AA7FFB"/>
    <w:rsid w:val="00AB0228"/>
    <w:rsid w:val="00AB070F"/>
    <w:rsid w:val="00AB0C8E"/>
    <w:rsid w:val="00AB143C"/>
    <w:rsid w:val="00AB15FD"/>
    <w:rsid w:val="00AB2252"/>
    <w:rsid w:val="00AB22E2"/>
    <w:rsid w:val="00AB23F9"/>
    <w:rsid w:val="00AB2691"/>
    <w:rsid w:val="00AB2C9C"/>
    <w:rsid w:val="00AB2CF6"/>
    <w:rsid w:val="00AB330C"/>
    <w:rsid w:val="00AB35BA"/>
    <w:rsid w:val="00AB3CBE"/>
    <w:rsid w:val="00AB3FB0"/>
    <w:rsid w:val="00AB4121"/>
    <w:rsid w:val="00AB42D4"/>
    <w:rsid w:val="00AB46E5"/>
    <w:rsid w:val="00AB487B"/>
    <w:rsid w:val="00AB4F4A"/>
    <w:rsid w:val="00AB5028"/>
    <w:rsid w:val="00AB50E7"/>
    <w:rsid w:val="00AB53D8"/>
    <w:rsid w:val="00AB5E1A"/>
    <w:rsid w:val="00AB60F0"/>
    <w:rsid w:val="00AB7EA7"/>
    <w:rsid w:val="00AC015C"/>
    <w:rsid w:val="00AC03FE"/>
    <w:rsid w:val="00AC0805"/>
    <w:rsid w:val="00AC0FDD"/>
    <w:rsid w:val="00AC1573"/>
    <w:rsid w:val="00AC347B"/>
    <w:rsid w:val="00AC38C3"/>
    <w:rsid w:val="00AC4477"/>
    <w:rsid w:val="00AC5BFB"/>
    <w:rsid w:val="00AC6125"/>
    <w:rsid w:val="00AC649A"/>
    <w:rsid w:val="00AC6501"/>
    <w:rsid w:val="00AC6F3E"/>
    <w:rsid w:val="00AD017B"/>
    <w:rsid w:val="00AD0D08"/>
    <w:rsid w:val="00AD0FAE"/>
    <w:rsid w:val="00AD0FD2"/>
    <w:rsid w:val="00AD15EA"/>
    <w:rsid w:val="00AD17E8"/>
    <w:rsid w:val="00AD1AD5"/>
    <w:rsid w:val="00AD216E"/>
    <w:rsid w:val="00AD218F"/>
    <w:rsid w:val="00AD2888"/>
    <w:rsid w:val="00AD33CE"/>
    <w:rsid w:val="00AD3847"/>
    <w:rsid w:val="00AD3E5E"/>
    <w:rsid w:val="00AD45BC"/>
    <w:rsid w:val="00AD4F1C"/>
    <w:rsid w:val="00AD5A23"/>
    <w:rsid w:val="00AD638D"/>
    <w:rsid w:val="00AD7588"/>
    <w:rsid w:val="00AE02A6"/>
    <w:rsid w:val="00AE0370"/>
    <w:rsid w:val="00AE0983"/>
    <w:rsid w:val="00AE132A"/>
    <w:rsid w:val="00AE14B1"/>
    <w:rsid w:val="00AE1B8F"/>
    <w:rsid w:val="00AE1FC2"/>
    <w:rsid w:val="00AE288B"/>
    <w:rsid w:val="00AE28FF"/>
    <w:rsid w:val="00AE3BDD"/>
    <w:rsid w:val="00AE4317"/>
    <w:rsid w:val="00AE45EE"/>
    <w:rsid w:val="00AE4658"/>
    <w:rsid w:val="00AE5014"/>
    <w:rsid w:val="00AE65B9"/>
    <w:rsid w:val="00AE6837"/>
    <w:rsid w:val="00AE76C2"/>
    <w:rsid w:val="00AE7A1D"/>
    <w:rsid w:val="00AE7AC3"/>
    <w:rsid w:val="00AF0367"/>
    <w:rsid w:val="00AF0604"/>
    <w:rsid w:val="00AF0D14"/>
    <w:rsid w:val="00AF10F6"/>
    <w:rsid w:val="00AF1116"/>
    <w:rsid w:val="00AF1293"/>
    <w:rsid w:val="00AF14E2"/>
    <w:rsid w:val="00AF1784"/>
    <w:rsid w:val="00AF1E25"/>
    <w:rsid w:val="00AF1F97"/>
    <w:rsid w:val="00AF2006"/>
    <w:rsid w:val="00AF2521"/>
    <w:rsid w:val="00AF2CF0"/>
    <w:rsid w:val="00AF329A"/>
    <w:rsid w:val="00AF365E"/>
    <w:rsid w:val="00AF37E4"/>
    <w:rsid w:val="00AF3EC7"/>
    <w:rsid w:val="00AF4DA1"/>
    <w:rsid w:val="00AF51B4"/>
    <w:rsid w:val="00AF51F9"/>
    <w:rsid w:val="00AF536F"/>
    <w:rsid w:val="00AF78B2"/>
    <w:rsid w:val="00AF7CC3"/>
    <w:rsid w:val="00B00AAB"/>
    <w:rsid w:val="00B010A5"/>
    <w:rsid w:val="00B013EE"/>
    <w:rsid w:val="00B01606"/>
    <w:rsid w:val="00B0176C"/>
    <w:rsid w:val="00B01999"/>
    <w:rsid w:val="00B0211D"/>
    <w:rsid w:val="00B02368"/>
    <w:rsid w:val="00B02409"/>
    <w:rsid w:val="00B034D3"/>
    <w:rsid w:val="00B052FB"/>
    <w:rsid w:val="00B056F8"/>
    <w:rsid w:val="00B0580E"/>
    <w:rsid w:val="00B05FBF"/>
    <w:rsid w:val="00B064FC"/>
    <w:rsid w:val="00B06B7C"/>
    <w:rsid w:val="00B06EE7"/>
    <w:rsid w:val="00B070D2"/>
    <w:rsid w:val="00B07222"/>
    <w:rsid w:val="00B07329"/>
    <w:rsid w:val="00B073C1"/>
    <w:rsid w:val="00B073F5"/>
    <w:rsid w:val="00B0774F"/>
    <w:rsid w:val="00B079F0"/>
    <w:rsid w:val="00B10092"/>
    <w:rsid w:val="00B10352"/>
    <w:rsid w:val="00B10F3D"/>
    <w:rsid w:val="00B111D5"/>
    <w:rsid w:val="00B114A8"/>
    <w:rsid w:val="00B115CF"/>
    <w:rsid w:val="00B11C34"/>
    <w:rsid w:val="00B12AD3"/>
    <w:rsid w:val="00B12CC1"/>
    <w:rsid w:val="00B12FCD"/>
    <w:rsid w:val="00B139CC"/>
    <w:rsid w:val="00B13F1B"/>
    <w:rsid w:val="00B143EE"/>
    <w:rsid w:val="00B145A8"/>
    <w:rsid w:val="00B14692"/>
    <w:rsid w:val="00B146B6"/>
    <w:rsid w:val="00B14B79"/>
    <w:rsid w:val="00B14D70"/>
    <w:rsid w:val="00B14FAA"/>
    <w:rsid w:val="00B1505E"/>
    <w:rsid w:val="00B153D5"/>
    <w:rsid w:val="00B1564F"/>
    <w:rsid w:val="00B15B0A"/>
    <w:rsid w:val="00B15BE7"/>
    <w:rsid w:val="00B15C82"/>
    <w:rsid w:val="00B15E58"/>
    <w:rsid w:val="00B16C33"/>
    <w:rsid w:val="00B1797F"/>
    <w:rsid w:val="00B203BD"/>
    <w:rsid w:val="00B20C29"/>
    <w:rsid w:val="00B20F9B"/>
    <w:rsid w:val="00B2117C"/>
    <w:rsid w:val="00B212FC"/>
    <w:rsid w:val="00B2172E"/>
    <w:rsid w:val="00B22361"/>
    <w:rsid w:val="00B224F6"/>
    <w:rsid w:val="00B22B04"/>
    <w:rsid w:val="00B23012"/>
    <w:rsid w:val="00B23C77"/>
    <w:rsid w:val="00B23D19"/>
    <w:rsid w:val="00B24D45"/>
    <w:rsid w:val="00B253A7"/>
    <w:rsid w:val="00B255D9"/>
    <w:rsid w:val="00B257C4"/>
    <w:rsid w:val="00B2582D"/>
    <w:rsid w:val="00B2606A"/>
    <w:rsid w:val="00B26374"/>
    <w:rsid w:val="00B2644C"/>
    <w:rsid w:val="00B26CA2"/>
    <w:rsid w:val="00B26DD0"/>
    <w:rsid w:val="00B27829"/>
    <w:rsid w:val="00B279FC"/>
    <w:rsid w:val="00B27CE3"/>
    <w:rsid w:val="00B27F50"/>
    <w:rsid w:val="00B30365"/>
    <w:rsid w:val="00B307D9"/>
    <w:rsid w:val="00B316A1"/>
    <w:rsid w:val="00B31A24"/>
    <w:rsid w:val="00B32471"/>
    <w:rsid w:val="00B32E86"/>
    <w:rsid w:val="00B32FEC"/>
    <w:rsid w:val="00B33AE6"/>
    <w:rsid w:val="00B3491F"/>
    <w:rsid w:val="00B3513C"/>
    <w:rsid w:val="00B356FC"/>
    <w:rsid w:val="00B3638A"/>
    <w:rsid w:val="00B3690B"/>
    <w:rsid w:val="00B369CB"/>
    <w:rsid w:val="00B40306"/>
    <w:rsid w:val="00B40B96"/>
    <w:rsid w:val="00B411E5"/>
    <w:rsid w:val="00B412BA"/>
    <w:rsid w:val="00B41337"/>
    <w:rsid w:val="00B41344"/>
    <w:rsid w:val="00B41D18"/>
    <w:rsid w:val="00B41E38"/>
    <w:rsid w:val="00B42487"/>
    <w:rsid w:val="00B42A04"/>
    <w:rsid w:val="00B42A79"/>
    <w:rsid w:val="00B42F36"/>
    <w:rsid w:val="00B43448"/>
    <w:rsid w:val="00B43FA4"/>
    <w:rsid w:val="00B440AE"/>
    <w:rsid w:val="00B445AE"/>
    <w:rsid w:val="00B447CF"/>
    <w:rsid w:val="00B44B2A"/>
    <w:rsid w:val="00B44BCE"/>
    <w:rsid w:val="00B44C94"/>
    <w:rsid w:val="00B45037"/>
    <w:rsid w:val="00B461CE"/>
    <w:rsid w:val="00B463B7"/>
    <w:rsid w:val="00B46544"/>
    <w:rsid w:val="00B466D8"/>
    <w:rsid w:val="00B46879"/>
    <w:rsid w:val="00B46CC3"/>
    <w:rsid w:val="00B46F9E"/>
    <w:rsid w:val="00B471C4"/>
    <w:rsid w:val="00B4725A"/>
    <w:rsid w:val="00B47928"/>
    <w:rsid w:val="00B47EBF"/>
    <w:rsid w:val="00B500EB"/>
    <w:rsid w:val="00B5070C"/>
    <w:rsid w:val="00B50C57"/>
    <w:rsid w:val="00B50D89"/>
    <w:rsid w:val="00B50E8E"/>
    <w:rsid w:val="00B5129B"/>
    <w:rsid w:val="00B51449"/>
    <w:rsid w:val="00B51538"/>
    <w:rsid w:val="00B51803"/>
    <w:rsid w:val="00B51E0A"/>
    <w:rsid w:val="00B52117"/>
    <w:rsid w:val="00B5218F"/>
    <w:rsid w:val="00B5261F"/>
    <w:rsid w:val="00B52963"/>
    <w:rsid w:val="00B52B79"/>
    <w:rsid w:val="00B53860"/>
    <w:rsid w:val="00B538F5"/>
    <w:rsid w:val="00B53CC0"/>
    <w:rsid w:val="00B53D9E"/>
    <w:rsid w:val="00B548F8"/>
    <w:rsid w:val="00B555C4"/>
    <w:rsid w:val="00B55714"/>
    <w:rsid w:val="00B55D5A"/>
    <w:rsid w:val="00B562CB"/>
    <w:rsid w:val="00B5670C"/>
    <w:rsid w:val="00B56A3E"/>
    <w:rsid w:val="00B56F80"/>
    <w:rsid w:val="00B578B8"/>
    <w:rsid w:val="00B57D8F"/>
    <w:rsid w:val="00B601B2"/>
    <w:rsid w:val="00B60346"/>
    <w:rsid w:val="00B60683"/>
    <w:rsid w:val="00B61547"/>
    <w:rsid w:val="00B6171D"/>
    <w:rsid w:val="00B61B6F"/>
    <w:rsid w:val="00B621B9"/>
    <w:rsid w:val="00B62392"/>
    <w:rsid w:val="00B62535"/>
    <w:rsid w:val="00B629F3"/>
    <w:rsid w:val="00B63846"/>
    <w:rsid w:val="00B63A65"/>
    <w:rsid w:val="00B63BF9"/>
    <w:rsid w:val="00B64093"/>
    <w:rsid w:val="00B64559"/>
    <w:rsid w:val="00B659DC"/>
    <w:rsid w:val="00B65B01"/>
    <w:rsid w:val="00B65C20"/>
    <w:rsid w:val="00B6631E"/>
    <w:rsid w:val="00B668F7"/>
    <w:rsid w:val="00B6748A"/>
    <w:rsid w:val="00B67C89"/>
    <w:rsid w:val="00B700DF"/>
    <w:rsid w:val="00B704BC"/>
    <w:rsid w:val="00B70EC3"/>
    <w:rsid w:val="00B711A8"/>
    <w:rsid w:val="00B7143A"/>
    <w:rsid w:val="00B71535"/>
    <w:rsid w:val="00B71C5C"/>
    <w:rsid w:val="00B72129"/>
    <w:rsid w:val="00B72616"/>
    <w:rsid w:val="00B72D3A"/>
    <w:rsid w:val="00B72EB5"/>
    <w:rsid w:val="00B7300A"/>
    <w:rsid w:val="00B73168"/>
    <w:rsid w:val="00B73728"/>
    <w:rsid w:val="00B73F92"/>
    <w:rsid w:val="00B74CCE"/>
    <w:rsid w:val="00B75BEC"/>
    <w:rsid w:val="00B763C7"/>
    <w:rsid w:val="00B7650E"/>
    <w:rsid w:val="00B76B0C"/>
    <w:rsid w:val="00B76FF4"/>
    <w:rsid w:val="00B77952"/>
    <w:rsid w:val="00B77EBB"/>
    <w:rsid w:val="00B80397"/>
    <w:rsid w:val="00B810DF"/>
    <w:rsid w:val="00B81427"/>
    <w:rsid w:val="00B81853"/>
    <w:rsid w:val="00B8266E"/>
    <w:rsid w:val="00B83671"/>
    <w:rsid w:val="00B839D0"/>
    <w:rsid w:val="00B83A46"/>
    <w:rsid w:val="00B83E2C"/>
    <w:rsid w:val="00B843F4"/>
    <w:rsid w:val="00B84470"/>
    <w:rsid w:val="00B8455A"/>
    <w:rsid w:val="00B846F5"/>
    <w:rsid w:val="00B8487F"/>
    <w:rsid w:val="00B84A40"/>
    <w:rsid w:val="00B84A54"/>
    <w:rsid w:val="00B85507"/>
    <w:rsid w:val="00B85542"/>
    <w:rsid w:val="00B856B1"/>
    <w:rsid w:val="00B85E62"/>
    <w:rsid w:val="00B86B31"/>
    <w:rsid w:val="00B86E17"/>
    <w:rsid w:val="00B8772E"/>
    <w:rsid w:val="00B907E6"/>
    <w:rsid w:val="00B90AA4"/>
    <w:rsid w:val="00B91423"/>
    <w:rsid w:val="00B91553"/>
    <w:rsid w:val="00B9157A"/>
    <w:rsid w:val="00B9181A"/>
    <w:rsid w:val="00B91AEB"/>
    <w:rsid w:val="00B91CB1"/>
    <w:rsid w:val="00B91E2A"/>
    <w:rsid w:val="00B92016"/>
    <w:rsid w:val="00B92288"/>
    <w:rsid w:val="00B926E3"/>
    <w:rsid w:val="00B928BC"/>
    <w:rsid w:val="00B92C81"/>
    <w:rsid w:val="00B93612"/>
    <w:rsid w:val="00B9367B"/>
    <w:rsid w:val="00B937C0"/>
    <w:rsid w:val="00B93BAB"/>
    <w:rsid w:val="00B93DE7"/>
    <w:rsid w:val="00B93E84"/>
    <w:rsid w:val="00B93FB2"/>
    <w:rsid w:val="00B945E7"/>
    <w:rsid w:val="00B94A35"/>
    <w:rsid w:val="00B94A48"/>
    <w:rsid w:val="00B956A6"/>
    <w:rsid w:val="00B95C7F"/>
    <w:rsid w:val="00B95CF0"/>
    <w:rsid w:val="00B963B9"/>
    <w:rsid w:val="00B9691B"/>
    <w:rsid w:val="00B96B47"/>
    <w:rsid w:val="00B96CC0"/>
    <w:rsid w:val="00B9722C"/>
    <w:rsid w:val="00B97904"/>
    <w:rsid w:val="00B97D49"/>
    <w:rsid w:val="00BA062F"/>
    <w:rsid w:val="00BA0BD6"/>
    <w:rsid w:val="00BA108D"/>
    <w:rsid w:val="00BA13EB"/>
    <w:rsid w:val="00BA27E2"/>
    <w:rsid w:val="00BA40AA"/>
    <w:rsid w:val="00BA4262"/>
    <w:rsid w:val="00BA49E1"/>
    <w:rsid w:val="00BA4F50"/>
    <w:rsid w:val="00BA51C7"/>
    <w:rsid w:val="00BA59A6"/>
    <w:rsid w:val="00BA6017"/>
    <w:rsid w:val="00BA60B7"/>
    <w:rsid w:val="00BA63CF"/>
    <w:rsid w:val="00BA6587"/>
    <w:rsid w:val="00BA6A26"/>
    <w:rsid w:val="00BA727A"/>
    <w:rsid w:val="00BA7425"/>
    <w:rsid w:val="00BA79FB"/>
    <w:rsid w:val="00BB0134"/>
    <w:rsid w:val="00BB0BA1"/>
    <w:rsid w:val="00BB0F75"/>
    <w:rsid w:val="00BB10BB"/>
    <w:rsid w:val="00BB15AE"/>
    <w:rsid w:val="00BB16D5"/>
    <w:rsid w:val="00BB17E8"/>
    <w:rsid w:val="00BB1C02"/>
    <w:rsid w:val="00BB1FFD"/>
    <w:rsid w:val="00BB2319"/>
    <w:rsid w:val="00BB28DC"/>
    <w:rsid w:val="00BB2B2B"/>
    <w:rsid w:val="00BB2B8A"/>
    <w:rsid w:val="00BB34B3"/>
    <w:rsid w:val="00BB3686"/>
    <w:rsid w:val="00BB3D2E"/>
    <w:rsid w:val="00BB3D4B"/>
    <w:rsid w:val="00BB3EA3"/>
    <w:rsid w:val="00BB4946"/>
    <w:rsid w:val="00BB52F5"/>
    <w:rsid w:val="00BB53E3"/>
    <w:rsid w:val="00BB5423"/>
    <w:rsid w:val="00BB58BB"/>
    <w:rsid w:val="00BB5CB2"/>
    <w:rsid w:val="00BB6288"/>
    <w:rsid w:val="00BB692A"/>
    <w:rsid w:val="00BB6AD8"/>
    <w:rsid w:val="00BB6EED"/>
    <w:rsid w:val="00BB74E9"/>
    <w:rsid w:val="00BB7786"/>
    <w:rsid w:val="00BB7EE4"/>
    <w:rsid w:val="00BC0400"/>
    <w:rsid w:val="00BC0816"/>
    <w:rsid w:val="00BC0CB8"/>
    <w:rsid w:val="00BC0E28"/>
    <w:rsid w:val="00BC1A4C"/>
    <w:rsid w:val="00BC1D95"/>
    <w:rsid w:val="00BC1EE4"/>
    <w:rsid w:val="00BC219D"/>
    <w:rsid w:val="00BC252C"/>
    <w:rsid w:val="00BC2749"/>
    <w:rsid w:val="00BC27EE"/>
    <w:rsid w:val="00BC2ACF"/>
    <w:rsid w:val="00BC2DC7"/>
    <w:rsid w:val="00BC3692"/>
    <w:rsid w:val="00BC409B"/>
    <w:rsid w:val="00BC41A7"/>
    <w:rsid w:val="00BC44B0"/>
    <w:rsid w:val="00BC5304"/>
    <w:rsid w:val="00BC550E"/>
    <w:rsid w:val="00BC5978"/>
    <w:rsid w:val="00BC59D8"/>
    <w:rsid w:val="00BC5B3D"/>
    <w:rsid w:val="00BC6347"/>
    <w:rsid w:val="00BC688C"/>
    <w:rsid w:val="00BC7900"/>
    <w:rsid w:val="00BC7D3D"/>
    <w:rsid w:val="00BD04E9"/>
    <w:rsid w:val="00BD04F3"/>
    <w:rsid w:val="00BD0788"/>
    <w:rsid w:val="00BD0869"/>
    <w:rsid w:val="00BD179A"/>
    <w:rsid w:val="00BD223D"/>
    <w:rsid w:val="00BD2692"/>
    <w:rsid w:val="00BD302E"/>
    <w:rsid w:val="00BD31AB"/>
    <w:rsid w:val="00BD3255"/>
    <w:rsid w:val="00BD3963"/>
    <w:rsid w:val="00BD39B5"/>
    <w:rsid w:val="00BD3B86"/>
    <w:rsid w:val="00BD3F8D"/>
    <w:rsid w:val="00BD4ACC"/>
    <w:rsid w:val="00BD4FDA"/>
    <w:rsid w:val="00BD54A4"/>
    <w:rsid w:val="00BD54B6"/>
    <w:rsid w:val="00BD5795"/>
    <w:rsid w:val="00BD5AB8"/>
    <w:rsid w:val="00BD5D4C"/>
    <w:rsid w:val="00BD5D6A"/>
    <w:rsid w:val="00BD62BE"/>
    <w:rsid w:val="00BD6B6F"/>
    <w:rsid w:val="00BD700A"/>
    <w:rsid w:val="00BD799C"/>
    <w:rsid w:val="00BD7AAF"/>
    <w:rsid w:val="00BD7E80"/>
    <w:rsid w:val="00BE005A"/>
    <w:rsid w:val="00BE0816"/>
    <w:rsid w:val="00BE0C92"/>
    <w:rsid w:val="00BE0DD2"/>
    <w:rsid w:val="00BE0E10"/>
    <w:rsid w:val="00BE101B"/>
    <w:rsid w:val="00BE10AA"/>
    <w:rsid w:val="00BE1459"/>
    <w:rsid w:val="00BE1487"/>
    <w:rsid w:val="00BE15B6"/>
    <w:rsid w:val="00BE18C6"/>
    <w:rsid w:val="00BE19D7"/>
    <w:rsid w:val="00BE211C"/>
    <w:rsid w:val="00BE21BF"/>
    <w:rsid w:val="00BE247A"/>
    <w:rsid w:val="00BE2A5B"/>
    <w:rsid w:val="00BE2D93"/>
    <w:rsid w:val="00BE3A18"/>
    <w:rsid w:val="00BE3ABB"/>
    <w:rsid w:val="00BE3CE4"/>
    <w:rsid w:val="00BE3DED"/>
    <w:rsid w:val="00BE4438"/>
    <w:rsid w:val="00BE4615"/>
    <w:rsid w:val="00BE4A65"/>
    <w:rsid w:val="00BE5829"/>
    <w:rsid w:val="00BE5A92"/>
    <w:rsid w:val="00BE66B2"/>
    <w:rsid w:val="00BE6DDD"/>
    <w:rsid w:val="00BE6F9E"/>
    <w:rsid w:val="00BE702A"/>
    <w:rsid w:val="00BE70BA"/>
    <w:rsid w:val="00BE720F"/>
    <w:rsid w:val="00BE7769"/>
    <w:rsid w:val="00BE7AE9"/>
    <w:rsid w:val="00BE7C6F"/>
    <w:rsid w:val="00BE7D76"/>
    <w:rsid w:val="00BF062D"/>
    <w:rsid w:val="00BF0877"/>
    <w:rsid w:val="00BF0CF1"/>
    <w:rsid w:val="00BF1D8F"/>
    <w:rsid w:val="00BF21B2"/>
    <w:rsid w:val="00BF2D10"/>
    <w:rsid w:val="00BF3196"/>
    <w:rsid w:val="00BF3EBD"/>
    <w:rsid w:val="00BF4025"/>
    <w:rsid w:val="00BF40BC"/>
    <w:rsid w:val="00BF4561"/>
    <w:rsid w:val="00BF4947"/>
    <w:rsid w:val="00BF4C65"/>
    <w:rsid w:val="00BF4F9C"/>
    <w:rsid w:val="00BF50E7"/>
    <w:rsid w:val="00BF5930"/>
    <w:rsid w:val="00BF5BD6"/>
    <w:rsid w:val="00BF6383"/>
    <w:rsid w:val="00BF64CE"/>
    <w:rsid w:val="00BF64E9"/>
    <w:rsid w:val="00BF66F7"/>
    <w:rsid w:val="00BF7263"/>
    <w:rsid w:val="00BF77DD"/>
    <w:rsid w:val="00BF79F6"/>
    <w:rsid w:val="00C007AE"/>
    <w:rsid w:val="00C00C79"/>
    <w:rsid w:val="00C00F78"/>
    <w:rsid w:val="00C015C2"/>
    <w:rsid w:val="00C01E29"/>
    <w:rsid w:val="00C01FD9"/>
    <w:rsid w:val="00C02654"/>
    <w:rsid w:val="00C03778"/>
    <w:rsid w:val="00C03C92"/>
    <w:rsid w:val="00C04AC5"/>
    <w:rsid w:val="00C04ADD"/>
    <w:rsid w:val="00C04B53"/>
    <w:rsid w:val="00C04D4E"/>
    <w:rsid w:val="00C05057"/>
    <w:rsid w:val="00C05907"/>
    <w:rsid w:val="00C05B75"/>
    <w:rsid w:val="00C0602C"/>
    <w:rsid w:val="00C061CB"/>
    <w:rsid w:val="00C063CA"/>
    <w:rsid w:val="00C06423"/>
    <w:rsid w:val="00C068A7"/>
    <w:rsid w:val="00C069B5"/>
    <w:rsid w:val="00C074D1"/>
    <w:rsid w:val="00C07657"/>
    <w:rsid w:val="00C076EA"/>
    <w:rsid w:val="00C077DB"/>
    <w:rsid w:val="00C07ABD"/>
    <w:rsid w:val="00C07CF2"/>
    <w:rsid w:val="00C07E6D"/>
    <w:rsid w:val="00C10553"/>
    <w:rsid w:val="00C1073A"/>
    <w:rsid w:val="00C11084"/>
    <w:rsid w:val="00C1118C"/>
    <w:rsid w:val="00C1186D"/>
    <w:rsid w:val="00C11C2C"/>
    <w:rsid w:val="00C1206D"/>
    <w:rsid w:val="00C127BE"/>
    <w:rsid w:val="00C1281C"/>
    <w:rsid w:val="00C1351D"/>
    <w:rsid w:val="00C13E53"/>
    <w:rsid w:val="00C13F99"/>
    <w:rsid w:val="00C1451B"/>
    <w:rsid w:val="00C14C3C"/>
    <w:rsid w:val="00C1555C"/>
    <w:rsid w:val="00C15738"/>
    <w:rsid w:val="00C15F76"/>
    <w:rsid w:val="00C16097"/>
    <w:rsid w:val="00C16F22"/>
    <w:rsid w:val="00C176BA"/>
    <w:rsid w:val="00C21721"/>
    <w:rsid w:val="00C21A51"/>
    <w:rsid w:val="00C222FB"/>
    <w:rsid w:val="00C227C2"/>
    <w:rsid w:val="00C231FB"/>
    <w:rsid w:val="00C238F3"/>
    <w:rsid w:val="00C23927"/>
    <w:rsid w:val="00C23A74"/>
    <w:rsid w:val="00C24561"/>
    <w:rsid w:val="00C24886"/>
    <w:rsid w:val="00C24922"/>
    <w:rsid w:val="00C24B4E"/>
    <w:rsid w:val="00C25602"/>
    <w:rsid w:val="00C25704"/>
    <w:rsid w:val="00C26682"/>
    <w:rsid w:val="00C268C1"/>
    <w:rsid w:val="00C26AA5"/>
    <w:rsid w:val="00C26C43"/>
    <w:rsid w:val="00C26FF7"/>
    <w:rsid w:val="00C270BC"/>
    <w:rsid w:val="00C27A61"/>
    <w:rsid w:val="00C27CD6"/>
    <w:rsid w:val="00C307AF"/>
    <w:rsid w:val="00C308FB"/>
    <w:rsid w:val="00C30FA3"/>
    <w:rsid w:val="00C316A9"/>
    <w:rsid w:val="00C31C37"/>
    <w:rsid w:val="00C31DA1"/>
    <w:rsid w:val="00C322F6"/>
    <w:rsid w:val="00C324F1"/>
    <w:rsid w:val="00C32E86"/>
    <w:rsid w:val="00C32EBF"/>
    <w:rsid w:val="00C33067"/>
    <w:rsid w:val="00C335A3"/>
    <w:rsid w:val="00C346E7"/>
    <w:rsid w:val="00C34851"/>
    <w:rsid w:val="00C34896"/>
    <w:rsid w:val="00C348C5"/>
    <w:rsid w:val="00C35309"/>
    <w:rsid w:val="00C368D6"/>
    <w:rsid w:val="00C36A99"/>
    <w:rsid w:val="00C36D72"/>
    <w:rsid w:val="00C36FD4"/>
    <w:rsid w:val="00C408E0"/>
    <w:rsid w:val="00C40CCB"/>
    <w:rsid w:val="00C4188D"/>
    <w:rsid w:val="00C41C02"/>
    <w:rsid w:val="00C42B86"/>
    <w:rsid w:val="00C42E46"/>
    <w:rsid w:val="00C4359A"/>
    <w:rsid w:val="00C45531"/>
    <w:rsid w:val="00C456B7"/>
    <w:rsid w:val="00C45EB9"/>
    <w:rsid w:val="00C469A6"/>
    <w:rsid w:val="00C4710F"/>
    <w:rsid w:val="00C4727A"/>
    <w:rsid w:val="00C50375"/>
    <w:rsid w:val="00C503E4"/>
    <w:rsid w:val="00C508A9"/>
    <w:rsid w:val="00C509D9"/>
    <w:rsid w:val="00C50E44"/>
    <w:rsid w:val="00C51158"/>
    <w:rsid w:val="00C51527"/>
    <w:rsid w:val="00C51585"/>
    <w:rsid w:val="00C51F61"/>
    <w:rsid w:val="00C52023"/>
    <w:rsid w:val="00C5209F"/>
    <w:rsid w:val="00C52C80"/>
    <w:rsid w:val="00C5306A"/>
    <w:rsid w:val="00C533E2"/>
    <w:rsid w:val="00C535E3"/>
    <w:rsid w:val="00C539EC"/>
    <w:rsid w:val="00C53CBD"/>
    <w:rsid w:val="00C53F05"/>
    <w:rsid w:val="00C54A5E"/>
    <w:rsid w:val="00C54DDE"/>
    <w:rsid w:val="00C5506E"/>
    <w:rsid w:val="00C55572"/>
    <w:rsid w:val="00C56FD0"/>
    <w:rsid w:val="00C57257"/>
    <w:rsid w:val="00C57532"/>
    <w:rsid w:val="00C57567"/>
    <w:rsid w:val="00C57757"/>
    <w:rsid w:val="00C578C2"/>
    <w:rsid w:val="00C57AED"/>
    <w:rsid w:val="00C57DB0"/>
    <w:rsid w:val="00C6005C"/>
    <w:rsid w:val="00C607C5"/>
    <w:rsid w:val="00C60C6B"/>
    <w:rsid w:val="00C610C9"/>
    <w:rsid w:val="00C61B71"/>
    <w:rsid w:val="00C61C47"/>
    <w:rsid w:val="00C622EB"/>
    <w:rsid w:val="00C62A06"/>
    <w:rsid w:val="00C62A1B"/>
    <w:rsid w:val="00C62B72"/>
    <w:rsid w:val="00C631A6"/>
    <w:rsid w:val="00C63A2F"/>
    <w:rsid w:val="00C63D1C"/>
    <w:rsid w:val="00C6499F"/>
    <w:rsid w:val="00C64A80"/>
    <w:rsid w:val="00C64B39"/>
    <w:rsid w:val="00C64BA5"/>
    <w:rsid w:val="00C64C8C"/>
    <w:rsid w:val="00C64E10"/>
    <w:rsid w:val="00C6540F"/>
    <w:rsid w:val="00C660DC"/>
    <w:rsid w:val="00C66186"/>
    <w:rsid w:val="00C666FB"/>
    <w:rsid w:val="00C6676D"/>
    <w:rsid w:val="00C6678B"/>
    <w:rsid w:val="00C668CD"/>
    <w:rsid w:val="00C66D2B"/>
    <w:rsid w:val="00C6738E"/>
    <w:rsid w:val="00C673A9"/>
    <w:rsid w:val="00C67768"/>
    <w:rsid w:val="00C6794E"/>
    <w:rsid w:val="00C67C7B"/>
    <w:rsid w:val="00C67E87"/>
    <w:rsid w:val="00C706B9"/>
    <w:rsid w:val="00C70CD2"/>
    <w:rsid w:val="00C71624"/>
    <w:rsid w:val="00C71C84"/>
    <w:rsid w:val="00C7270A"/>
    <w:rsid w:val="00C72B3D"/>
    <w:rsid w:val="00C72C5E"/>
    <w:rsid w:val="00C73421"/>
    <w:rsid w:val="00C73C46"/>
    <w:rsid w:val="00C73CC5"/>
    <w:rsid w:val="00C73D82"/>
    <w:rsid w:val="00C74A37"/>
    <w:rsid w:val="00C74B0D"/>
    <w:rsid w:val="00C7534F"/>
    <w:rsid w:val="00C754F9"/>
    <w:rsid w:val="00C75AB6"/>
    <w:rsid w:val="00C76248"/>
    <w:rsid w:val="00C7627D"/>
    <w:rsid w:val="00C76458"/>
    <w:rsid w:val="00C765E7"/>
    <w:rsid w:val="00C76FCB"/>
    <w:rsid w:val="00C80036"/>
    <w:rsid w:val="00C802DA"/>
    <w:rsid w:val="00C805C9"/>
    <w:rsid w:val="00C805CE"/>
    <w:rsid w:val="00C81453"/>
    <w:rsid w:val="00C81457"/>
    <w:rsid w:val="00C8156A"/>
    <w:rsid w:val="00C82CB8"/>
    <w:rsid w:val="00C832DB"/>
    <w:rsid w:val="00C83A69"/>
    <w:rsid w:val="00C8402C"/>
    <w:rsid w:val="00C841A8"/>
    <w:rsid w:val="00C84201"/>
    <w:rsid w:val="00C847E8"/>
    <w:rsid w:val="00C851A5"/>
    <w:rsid w:val="00C85969"/>
    <w:rsid w:val="00C85A12"/>
    <w:rsid w:val="00C86E56"/>
    <w:rsid w:val="00C87031"/>
    <w:rsid w:val="00C8795C"/>
    <w:rsid w:val="00C9030E"/>
    <w:rsid w:val="00C9033C"/>
    <w:rsid w:val="00C907A9"/>
    <w:rsid w:val="00C910B8"/>
    <w:rsid w:val="00C91468"/>
    <w:rsid w:val="00C9179C"/>
    <w:rsid w:val="00C91C71"/>
    <w:rsid w:val="00C92043"/>
    <w:rsid w:val="00C9250D"/>
    <w:rsid w:val="00C939D8"/>
    <w:rsid w:val="00C93BB4"/>
    <w:rsid w:val="00C94077"/>
    <w:rsid w:val="00C941F5"/>
    <w:rsid w:val="00C94A29"/>
    <w:rsid w:val="00C94BEA"/>
    <w:rsid w:val="00C94C1B"/>
    <w:rsid w:val="00C952F9"/>
    <w:rsid w:val="00C962F0"/>
    <w:rsid w:val="00C96343"/>
    <w:rsid w:val="00C9648C"/>
    <w:rsid w:val="00C9663B"/>
    <w:rsid w:val="00C973A9"/>
    <w:rsid w:val="00C97424"/>
    <w:rsid w:val="00C97A4F"/>
    <w:rsid w:val="00C97C67"/>
    <w:rsid w:val="00C97FC5"/>
    <w:rsid w:val="00CA0AEB"/>
    <w:rsid w:val="00CA0E6C"/>
    <w:rsid w:val="00CA0FE8"/>
    <w:rsid w:val="00CA156E"/>
    <w:rsid w:val="00CA164B"/>
    <w:rsid w:val="00CA169F"/>
    <w:rsid w:val="00CA1CCA"/>
    <w:rsid w:val="00CA1DDE"/>
    <w:rsid w:val="00CA288B"/>
    <w:rsid w:val="00CA3240"/>
    <w:rsid w:val="00CA3714"/>
    <w:rsid w:val="00CA373B"/>
    <w:rsid w:val="00CA3838"/>
    <w:rsid w:val="00CA3A1A"/>
    <w:rsid w:val="00CA3B38"/>
    <w:rsid w:val="00CA3C10"/>
    <w:rsid w:val="00CA3E9E"/>
    <w:rsid w:val="00CA3F1D"/>
    <w:rsid w:val="00CA4377"/>
    <w:rsid w:val="00CA4B36"/>
    <w:rsid w:val="00CA527D"/>
    <w:rsid w:val="00CA57F8"/>
    <w:rsid w:val="00CA58F4"/>
    <w:rsid w:val="00CA5903"/>
    <w:rsid w:val="00CA5F3D"/>
    <w:rsid w:val="00CA669F"/>
    <w:rsid w:val="00CA66F8"/>
    <w:rsid w:val="00CA6B80"/>
    <w:rsid w:val="00CA6BD2"/>
    <w:rsid w:val="00CA6D30"/>
    <w:rsid w:val="00CA73D4"/>
    <w:rsid w:val="00CA7483"/>
    <w:rsid w:val="00CA7819"/>
    <w:rsid w:val="00CA7F3E"/>
    <w:rsid w:val="00CB0DD5"/>
    <w:rsid w:val="00CB0F74"/>
    <w:rsid w:val="00CB10E0"/>
    <w:rsid w:val="00CB1943"/>
    <w:rsid w:val="00CB1B21"/>
    <w:rsid w:val="00CB1E25"/>
    <w:rsid w:val="00CB221F"/>
    <w:rsid w:val="00CB2357"/>
    <w:rsid w:val="00CB24AF"/>
    <w:rsid w:val="00CB2767"/>
    <w:rsid w:val="00CB27A4"/>
    <w:rsid w:val="00CB2924"/>
    <w:rsid w:val="00CB40DF"/>
    <w:rsid w:val="00CB41BF"/>
    <w:rsid w:val="00CB41CA"/>
    <w:rsid w:val="00CB43F3"/>
    <w:rsid w:val="00CB4551"/>
    <w:rsid w:val="00CB4EA4"/>
    <w:rsid w:val="00CB5544"/>
    <w:rsid w:val="00CB55D4"/>
    <w:rsid w:val="00CB5BE6"/>
    <w:rsid w:val="00CB6524"/>
    <w:rsid w:val="00CB6869"/>
    <w:rsid w:val="00CB6938"/>
    <w:rsid w:val="00CB6BE5"/>
    <w:rsid w:val="00CB6F82"/>
    <w:rsid w:val="00CB7286"/>
    <w:rsid w:val="00CB73AC"/>
    <w:rsid w:val="00CC006B"/>
    <w:rsid w:val="00CC0C96"/>
    <w:rsid w:val="00CC0EA2"/>
    <w:rsid w:val="00CC1002"/>
    <w:rsid w:val="00CC1D70"/>
    <w:rsid w:val="00CC247D"/>
    <w:rsid w:val="00CC2594"/>
    <w:rsid w:val="00CC3286"/>
    <w:rsid w:val="00CC32BE"/>
    <w:rsid w:val="00CC33FD"/>
    <w:rsid w:val="00CC347E"/>
    <w:rsid w:val="00CC3CC3"/>
    <w:rsid w:val="00CC457A"/>
    <w:rsid w:val="00CC504A"/>
    <w:rsid w:val="00CC5657"/>
    <w:rsid w:val="00CC607F"/>
    <w:rsid w:val="00CC61A4"/>
    <w:rsid w:val="00CC651F"/>
    <w:rsid w:val="00CC659B"/>
    <w:rsid w:val="00CC6A8C"/>
    <w:rsid w:val="00CC7250"/>
    <w:rsid w:val="00CC7FA0"/>
    <w:rsid w:val="00CD03E8"/>
    <w:rsid w:val="00CD04F4"/>
    <w:rsid w:val="00CD0616"/>
    <w:rsid w:val="00CD09CD"/>
    <w:rsid w:val="00CD0E3C"/>
    <w:rsid w:val="00CD11CA"/>
    <w:rsid w:val="00CD1442"/>
    <w:rsid w:val="00CD153B"/>
    <w:rsid w:val="00CD1A0B"/>
    <w:rsid w:val="00CD1CB0"/>
    <w:rsid w:val="00CD2772"/>
    <w:rsid w:val="00CD2862"/>
    <w:rsid w:val="00CD2A17"/>
    <w:rsid w:val="00CD2D89"/>
    <w:rsid w:val="00CD331A"/>
    <w:rsid w:val="00CD342F"/>
    <w:rsid w:val="00CD349A"/>
    <w:rsid w:val="00CD35F2"/>
    <w:rsid w:val="00CD397E"/>
    <w:rsid w:val="00CD3B4D"/>
    <w:rsid w:val="00CD3C1B"/>
    <w:rsid w:val="00CD450E"/>
    <w:rsid w:val="00CD4926"/>
    <w:rsid w:val="00CD4DD8"/>
    <w:rsid w:val="00CD57EC"/>
    <w:rsid w:val="00CD622B"/>
    <w:rsid w:val="00CD651A"/>
    <w:rsid w:val="00CD6EFE"/>
    <w:rsid w:val="00CD70A9"/>
    <w:rsid w:val="00CD719E"/>
    <w:rsid w:val="00CD78FA"/>
    <w:rsid w:val="00CD7D3A"/>
    <w:rsid w:val="00CE00A1"/>
    <w:rsid w:val="00CE16A7"/>
    <w:rsid w:val="00CE2323"/>
    <w:rsid w:val="00CE2B27"/>
    <w:rsid w:val="00CE3C7D"/>
    <w:rsid w:val="00CE45AC"/>
    <w:rsid w:val="00CE48D6"/>
    <w:rsid w:val="00CE5466"/>
    <w:rsid w:val="00CE549D"/>
    <w:rsid w:val="00CE5843"/>
    <w:rsid w:val="00CE5855"/>
    <w:rsid w:val="00CE5AEF"/>
    <w:rsid w:val="00CE635B"/>
    <w:rsid w:val="00CE63C0"/>
    <w:rsid w:val="00CE67F2"/>
    <w:rsid w:val="00CE7297"/>
    <w:rsid w:val="00CE778C"/>
    <w:rsid w:val="00CF0270"/>
    <w:rsid w:val="00CF05B6"/>
    <w:rsid w:val="00CF0C40"/>
    <w:rsid w:val="00CF0D64"/>
    <w:rsid w:val="00CF0F2F"/>
    <w:rsid w:val="00CF16CC"/>
    <w:rsid w:val="00CF1808"/>
    <w:rsid w:val="00CF2907"/>
    <w:rsid w:val="00CF2B3E"/>
    <w:rsid w:val="00CF3108"/>
    <w:rsid w:val="00CF3742"/>
    <w:rsid w:val="00CF3E8E"/>
    <w:rsid w:val="00CF41B0"/>
    <w:rsid w:val="00CF426D"/>
    <w:rsid w:val="00CF46CD"/>
    <w:rsid w:val="00CF48C3"/>
    <w:rsid w:val="00CF4A3A"/>
    <w:rsid w:val="00CF5023"/>
    <w:rsid w:val="00CF52D3"/>
    <w:rsid w:val="00CF5656"/>
    <w:rsid w:val="00CF5B3E"/>
    <w:rsid w:val="00CF5EC1"/>
    <w:rsid w:val="00CF60BF"/>
    <w:rsid w:val="00CF6843"/>
    <w:rsid w:val="00CF6C4C"/>
    <w:rsid w:val="00CF7363"/>
    <w:rsid w:val="00CF7563"/>
    <w:rsid w:val="00D005EA"/>
    <w:rsid w:val="00D00DB2"/>
    <w:rsid w:val="00D01194"/>
    <w:rsid w:val="00D0123A"/>
    <w:rsid w:val="00D01848"/>
    <w:rsid w:val="00D0193A"/>
    <w:rsid w:val="00D026F1"/>
    <w:rsid w:val="00D02756"/>
    <w:rsid w:val="00D029B1"/>
    <w:rsid w:val="00D02F53"/>
    <w:rsid w:val="00D030C8"/>
    <w:rsid w:val="00D030FC"/>
    <w:rsid w:val="00D0341E"/>
    <w:rsid w:val="00D03E05"/>
    <w:rsid w:val="00D04000"/>
    <w:rsid w:val="00D043F7"/>
    <w:rsid w:val="00D04BB9"/>
    <w:rsid w:val="00D05045"/>
    <w:rsid w:val="00D05145"/>
    <w:rsid w:val="00D064FD"/>
    <w:rsid w:val="00D06649"/>
    <w:rsid w:val="00D0766D"/>
    <w:rsid w:val="00D10708"/>
    <w:rsid w:val="00D10F04"/>
    <w:rsid w:val="00D10FA5"/>
    <w:rsid w:val="00D110D2"/>
    <w:rsid w:val="00D11411"/>
    <w:rsid w:val="00D1166B"/>
    <w:rsid w:val="00D11BC7"/>
    <w:rsid w:val="00D12273"/>
    <w:rsid w:val="00D1243E"/>
    <w:rsid w:val="00D1292B"/>
    <w:rsid w:val="00D12B7D"/>
    <w:rsid w:val="00D12C75"/>
    <w:rsid w:val="00D13166"/>
    <w:rsid w:val="00D133A1"/>
    <w:rsid w:val="00D135C0"/>
    <w:rsid w:val="00D13694"/>
    <w:rsid w:val="00D138AE"/>
    <w:rsid w:val="00D13A8A"/>
    <w:rsid w:val="00D13C37"/>
    <w:rsid w:val="00D1409D"/>
    <w:rsid w:val="00D1449B"/>
    <w:rsid w:val="00D150A6"/>
    <w:rsid w:val="00D15101"/>
    <w:rsid w:val="00D15255"/>
    <w:rsid w:val="00D15295"/>
    <w:rsid w:val="00D15320"/>
    <w:rsid w:val="00D15452"/>
    <w:rsid w:val="00D154EA"/>
    <w:rsid w:val="00D15571"/>
    <w:rsid w:val="00D15FCD"/>
    <w:rsid w:val="00D15FEF"/>
    <w:rsid w:val="00D16BEB"/>
    <w:rsid w:val="00D16DC1"/>
    <w:rsid w:val="00D16F30"/>
    <w:rsid w:val="00D17803"/>
    <w:rsid w:val="00D20423"/>
    <w:rsid w:val="00D204FF"/>
    <w:rsid w:val="00D207AA"/>
    <w:rsid w:val="00D209AB"/>
    <w:rsid w:val="00D20D48"/>
    <w:rsid w:val="00D2103A"/>
    <w:rsid w:val="00D213FD"/>
    <w:rsid w:val="00D21437"/>
    <w:rsid w:val="00D214B7"/>
    <w:rsid w:val="00D21FA1"/>
    <w:rsid w:val="00D2290D"/>
    <w:rsid w:val="00D22974"/>
    <w:rsid w:val="00D22C6D"/>
    <w:rsid w:val="00D2451C"/>
    <w:rsid w:val="00D24685"/>
    <w:rsid w:val="00D24B3C"/>
    <w:rsid w:val="00D25C95"/>
    <w:rsid w:val="00D26D87"/>
    <w:rsid w:val="00D26F50"/>
    <w:rsid w:val="00D27000"/>
    <w:rsid w:val="00D2702A"/>
    <w:rsid w:val="00D2705C"/>
    <w:rsid w:val="00D272F4"/>
    <w:rsid w:val="00D27432"/>
    <w:rsid w:val="00D27547"/>
    <w:rsid w:val="00D276B1"/>
    <w:rsid w:val="00D27B01"/>
    <w:rsid w:val="00D27C14"/>
    <w:rsid w:val="00D27D94"/>
    <w:rsid w:val="00D27F49"/>
    <w:rsid w:val="00D27F5E"/>
    <w:rsid w:val="00D27FF2"/>
    <w:rsid w:val="00D30247"/>
    <w:rsid w:val="00D30A7D"/>
    <w:rsid w:val="00D31558"/>
    <w:rsid w:val="00D31AE2"/>
    <w:rsid w:val="00D31DC9"/>
    <w:rsid w:val="00D31EC6"/>
    <w:rsid w:val="00D323AF"/>
    <w:rsid w:val="00D32613"/>
    <w:rsid w:val="00D327B8"/>
    <w:rsid w:val="00D327C5"/>
    <w:rsid w:val="00D3309F"/>
    <w:rsid w:val="00D33994"/>
    <w:rsid w:val="00D33E3E"/>
    <w:rsid w:val="00D340BB"/>
    <w:rsid w:val="00D34239"/>
    <w:rsid w:val="00D3444D"/>
    <w:rsid w:val="00D34B88"/>
    <w:rsid w:val="00D35356"/>
    <w:rsid w:val="00D35C17"/>
    <w:rsid w:val="00D361B2"/>
    <w:rsid w:val="00D3668F"/>
    <w:rsid w:val="00D36D51"/>
    <w:rsid w:val="00D36E05"/>
    <w:rsid w:val="00D375B8"/>
    <w:rsid w:val="00D37FB2"/>
    <w:rsid w:val="00D40383"/>
    <w:rsid w:val="00D4231F"/>
    <w:rsid w:val="00D4284D"/>
    <w:rsid w:val="00D436CC"/>
    <w:rsid w:val="00D43EA7"/>
    <w:rsid w:val="00D44531"/>
    <w:rsid w:val="00D44775"/>
    <w:rsid w:val="00D44B0B"/>
    <w:rsid w:val="00D44DA7"/>
    <w:rsid w:val="00D453AE"/>
    <w:rsid w:val="00D454C4"/>
    <w:rsid w:val="00D457D8"/>
    <w:rsid w:val="00D45BE1"/>
    <w:rsid w:val="00D45E7F"/>
    <w:rsid w:val="00D46018"/>
    <w:rsid w:val="00D465EF"/>
    <w:rsid w:val="00D46660"/>
    <w:rsid w:val="00D46850"/>
    <w:rsid w:val="00D468C5"/>
    <w:rsid w:val="00D4726E"/>
    <w:rsid w:val="00D4791F"/>
    <w:rsid w:val="00D4793F"/>
    <w:rsid w:val="00D5003A"/>
    <w:rsid w:val="00D525C8"/>
    <w:rsid w:val="00D5333F"/>
    <w:rsid w:val="00D535EF"/>
    <w:rsid w:val="00D537D3"/>
    <w:rsid w:val="00D53C38"/>
    <w:rsid w:val="00D53CC4"/>
    <w:rsid w:val="00D53CEF"/>
    <w:rsid w:val="00D54ACF"/>
    <w:rsid w:val="00D54AFC"/>
    <w:rsid w:val="00D54BFB"/>
    <w:rsid w:val="00D5502A"/>
    <w:rsid w:val="00D5517E"/>
    <w:rsid w:val="00D556DE"/>
    <w:rsid w:val="00D560EA"/>
    <w:rsid w:val="00D5624E"/>
    <w:rsid w:val="00D566A1"/>
    <w:rsid w:val="00D57205"/>
    <w:rsid w:val="00D57B20"/>
    <w:rsid w:val="00D607D0"/>
    <w:rsid w:val="00D607FA"/>
    <w:rsid w:val="00D60ABC"/>
    <w:rsid w:val="00D6145F"/>
    <w:rsid w:val="00D62D77"/>
    <w:rsid w:val="00D6303D"/>
    <w:rsid w:val="00D636E8"/>
    <w:rsid w:val="00D6415F"/>
    <w:rsid w:val="00D64316"/>
    <w:rsid w:val="00D6446E"/>
    <w:rsid w:val="00D64DA6"/>
    <w:rsid w:val="00D65259"/>
    <w:rsid w:val="00D66CEC"/>
    <w:rsid w:val="00D673D6"/>
    <w:rsid w:val="00D7020A"/>
    <w:rsid w:val="00D70BA2"/>
    <w:rsid w:val="00D711C0"/>
    <w:rsid w:val="00D71583"/>
    <w:rsid w:val="00D71767"/>
    <w:rsid w:val="00D717F1"/>
    <w:rsid w:val="00D71B57"/>
    <w:rsid w:val="00D71DB0"/>
    <w:rsid w:val="00D72091"/>
    <w:rsid w:val="00D72517"/>
    <w:rsid w:val="00D726E5"/>
    <w:rsid w:val="00D72989"/>
    <w:rsid w:val="00D72A52"/>
    <w:rsid w:val="00D72C3F"/>
    <w:rsid w:val="00D72CF5"/>
    <w:rsid w:val="00D730F6"/>
    <w:rsid w:val="00D73256"/>
    <w:rsid w:val="00D732E2"/>
    <w:rsid w:val="00D736AB"/>
    <w:rsid w:val="00D73733"/>
    <w:rsid w:val="00D73E1B"/>
    <w:rsid w:val="00D74266"/>
    <w:rsid w:val="00D745E2"/>
    <w:rsid w:val="00D7485D"/>
    <w:rsid w:val="00D74A92"/>
    <w:rsid w:val="00D74BC5"/>
    <w:rsid w:val="00D75377"/>
    <w:rsid w:val="00D75483"/>
    <w:rsid w:val="00D754B7"/>
    <w:rsid w:val="00D75691"/>
    <w:rsid w:val="00D759ED"/>
    <w:rsid w:val="00D75ADB"/>
    <w:rsid w:val="00D75D8F"/>
    <w:rsid w:val="00D75EB3"/>
    <w:rsid w:val="00D7626B"/>
    <w:rsid w:val="00D76371"/>
    <w:rsid w:val="00D767EE"/>
    <w:rsid w:val="00D76A5B"/>
    <w:rsid w:val="00D77226"/>
    <w:rsid w:val="00D77336"/>
    <w:rsid w:val="00D7741A"/>
    <w:rsid w:val="00D774D6"/>
    <w:rsid w:val="00D77B1D"/>
    <w:rsid w:val="00D77BBA"/>
    <w:rsid w:val="00D8025A"/>
    <w:rsid w:val="00D80533"/>
    <w:rsid w:val="00D808CD"/>
    <w:rsid w:val="00D80D8B"/>
    <w:rsid w:val="00D8145D"/>
    <w:rsid w:val="00D814A0"/>
    <w:rsid w:val="00D81651"/>
    <w:rsid w:val="00D81B6B"/>
    <w:rsid w:val="00D81FA8"/>
    <w:rsid w:val="00D822F3"/>
    <w:rsid w:val="00D82876"/>
    <w:rsid w:val="00D82DB7"/>
    <w:rsid w:val="00D83183"/>
    <w:rsid w:val="00D832B2"/>
    <w:rsid w:val="00D834B1"/>
    <w:rsid w:val="00D83910"/>
    <w:rsid w:val="00D8436A"/>
    <w:rsid w:val="00D844B7"/>
    <w:rsid w:val="00D849C8"/>
    <w:rsid w:val="00D84A5D"/>
    <w:rsid w:val="00D84AFA"/>
    <w:rsid w:val="00D84C6C"/>
    <w:rsid w:val="00D84D64"/>
    <w:rsid w:val="00D84DD4"/>
    <w:rsid w:val="00D84FAA"/>
    <w:rsid w:val="00D850BB"/>
    <w:rsid w:val="00D854F5"/>
    <w:rsid w:val="00D8594B"/>
    <w:rsid w:val="00D85D33"/>
    <w:rsid w:val="00D86022"/>
    <w:rsid w:val="00D86416"/>
    <w:rsid w:val="00D8670A"/>
    <w:rsid w:val="00D869A4"/>
    <w:rsid w:val="00D86FCA"/>
    <w:rsid w:val="00D877B4"/>
    <w:rsid w:val="00D87BC1"/>
    <w:rsid w:val="00D87ED5"/>
    <w:rsid w:val="00D87F28"/>
    <w:rsid w:val="00D90235"/>
    <w:rsid w:val="00D90B1B"/>
    <w:rsid w:val="00D918A0"/>
    <w:rsid w:val="00D91EE4"/>
    <w:rsid w:val="00D92035"/>
    <w:rsid w:val="00D92276"/>
    <w:rsid w:val="00D92440"/>
    <w:rsid w:val="00D92454"/>
    <w:rsid w:val="00D92682"/>
    <w:rsid w:val="00D92DFD"/>
    <w:rsid w:val="00D931D7"/>
    <w:rsid w:val="00D933E4"/>
    <w:rsid w:val="00D93C05"/>
    <w:rsid w:val="00D940FE"/>
    <w:rsid w:val="00D94292"/>
    <w:rsid w:val="00D94FA6"/>
    <w:rsid w:val="00D957DD"/>
    <w:rsid w:val="00D96741"/>
    <w:rsid w:val="00D96B65"/>
    <w:rsid w:val="00D9753A"/>
    <w:rsid w:val="00D97912"/>
    <w:rsid w:val="00DA06A4"/>
    <w:rsid w:val="00DA0925"/>
    <w:rsid w:val="00DA0A73"/>
    <w:rsid w:val="00DA117A"/>
    <w:rsid w:val="00DA1575"/>
    <w:rsid w:val="00DA184B"/>
    <w:rsid w:val="00DA1A14"/>
    <w:rsid w:val="00DA2130"/>
    <w:rsid w:val="00DA236C"/>
    <w:rsid w:val="00DA2395"/>
    <w:rsid w:val="00DA272A"/>
    <w:rsid w:val="00DA2F07"/>
    <w:rsid w:val="00DA3512"/>
    <w:rsid w:val="00DA354F"/>
    <w:rsid w:val="00DA36CF"/>
    <w:rsid w:val="00DA3E21"/>
    <w:rsid w:val="00DA40F4"/>
    <w:rsid w:val="00DA4199"/>
    <w:rsid w:val="00DA441F"/>
    <w:rsid w:val="00DA443A"/>
    <w:rsid w:val="00DA4504"/>
    <w:rsid w:val="00DA4E06"/>
    <w:rsid w:val="00DA5185"/>
    <w:rsid w:val="00DA5233"/>
    <w:rsid w:val="00DA5DA9"/>
    <w:rsid w:val="00DA5E98"/>
    <w:rsid w:val="00DA63FE"/>
    <w:rsid w:val="00DA67E8"/>
    <w:rsid w:val="00DA6C32"/>
    <w:rsid w:val="00DA6DDF"/>
    <w:rsid w:val="00DA6ED8"/>
    <w:rsid w:val="00DA7009"/>
    <w:rsid w:val="00DA7BA5"/>
    <w:rsid w:val="00DB0227"/>
    <w:rsid w:val="00DB04B7"/>
    <w:rsid w:val="00DB0BBE"/>
    <w:rsid w:val="00DB0EFA"/>
    <w:rsid w:val="00DB0FF5"/>
    <w:rsid w:val="00DB14B1"/>
    <w:rsid w:val="00DB1889"/>
    <w:rsid w:val="00DB19D8"/>
    <w:rsid w:val="00DB22EB"/>
    <w:rsid w:val="00DB2C8A"/>
    <w:rsid w:val="00DB328A"/>
    <w:rsid w:val="00DB3694"/>
    <w:rsid w:val="00DB379F"/>
    <w:rsid w:val="00DB3992"/>
    <w:rsid w:val="00DB3AEC"/>
    <w:rsid w:val="00DB4E6C"/>
    <w:rsid w:val="00DB53EC"/>
    <w:rsid w:val="00DB5853"/>
    <w:rsid w:val="00DB5AEC"/>
    <w:rsid w:val="00DB5B14"/>
    <w:rsid w:val="00DB5C45"/>
    <w:rsid w:val="00DB5FE9"/>
    <w:rsid w:val="00DB710D"/>
    <w:rsid w:val="00DB7D23"/>
    <w:rsid w:val="00DC0A9C"/>
    <w:rsid w:val="00DC1288"/>
    <w:rsid w:val="00DC1327"/>
    <w:rsid w:val="00DC1877"/>
    <w:rsid w:val="00DC22EE"/>
    <w:rsid w:val="00DC24DC"/>
    <w:rsid w:val="00DC265D"/>
    <w:rsid w:val="00DC304C"/>
    <w:rsid w:val="00DC3119"/>
    <w:rsid w:val="00DC392A"/>
    <w:rsid w:val="00DC3AC6"/>
    <w:rsid w:val="00DC3D5E"/>
    <w:rsid w:val="00DC3F11"/>
    <w:rsid w:val="00DC4470"/>
    <w:rsid w:val="00DC45C2"/>
    <w:rsid w:val="00DC511E"/>
    <w:rsid w:val="00DC5394"/>
    <w:rsid w:val="00DC5D5C"/>
    <w:rsid w:val="00DC6711"/>
    <w:rsid w:val="00DC67F3"/>
    <w:rsid w:val="00DC6ECE"/>
    <w:rsid w:val="00DC7115"/>
    <w:rsid w:val="00DC71B3"/>
    <w:rsid w:val="00DC75D5"/>
    <w:rsid w:val="00DD0061"/>
    <w:rsid w:val="00DD04BF"/>
    <w:rsid w:val="00DD0577"/>
    <w:rsid w:val="00DD08C5"/>
    <w:rsid w:val="00DD1121"/>
    <w:rsid w:val="00DD18A1"/>
    <w:rsid w:val="00DD1A54"/>
    <w:rsid w:val="00DD306D"/>
    <w:rsid w:val="00DD310F"/>
    <w:rsid w:val="00DD3113"/>
    <w:rsid w:val="00DD357E"/>
    <w:rsid w:val="00DD3683"/>
    <w:rsid w:val="00DD369D"/>
    <w:rsid w:val="00DD37E7"/>
    <w:rsid w:val="00DD3C81"/>
    <w:rsid w:val="00DD3DC1"/>
    <w:rsid w:val="00DD47B5"/>
    <w:rsid w:val="00DD4ACB"/>
    <w:rsid w:val="00DD4B84"/>
    <w:rsid w:val="00DD4CAF"/>
    <w:rsid w:val="00DD4E11"/>
    <w:rsid w:val="00DD5269"/>
    <w:rsid w:val="00DD6197"/>
    <w:rsid w:val="00DD659B"/>
    <w:rsid w:val="00DD6C10"/>
    <w:rsid w:val="00DD6C80"/>
    <w:rsid w:val="00DD6E49"/>
    <w:rsid w:val="00DD7353"/>
    <w:rsid w:val="00DD7B79"/>
    <w:rsid w:val="00DD7E47"/>
    <w:rsid w:val="00DD7FE6"/>
    <w:rsid w:val="00DE062C"/>
    <w:rsid w:val="00DE081B"/>
    <w:rsid w:val="00DE0ABB"/>
    <w:rsid w:val="00DE0B0B"/>
    <w:rsid w:val="00DE1436"/>
    <w:rsid w:val="00DE17B4"/>
    <w:rsid w:val="00DE2064"/>
    <w:rsid w:val="00DE2B31"/>
    <w:rsid w:val="00DE2D6F"/>
    <w:rsid w:val="00DE30FC"/>
    <w:rsid w:val="00DE3340"/>
    <w:rsid w:val="00DE341B"/>
    <w:rsid w:val="00DE43D0"/>
    <w:rsid w:val="00DE4476"/>
    <w:rsid w:val="00DE4531"/>
    <w:rsid w:val="00DE4AB6"/>
    <w:rsid w:val="00DE503A"/>
    <w:rsid w:val="00DE509F"/>
    <w:rsid w:val="00DE542F"/>
    <w:rsid w:val="00DE590E"/>
    <w:rsid w:val="00DE59B7"/>
    <w:rsid w:val="00DE5CBB"/>
    <w:rsid w:val="00DE63EA"/>
    <w:rsid w:val="00DE6866"/>
    <w:rsid w:val="00DE6B40"/>
    <w:rsid w:val="00DE77A2"/>
    <w:rsid w:val="00DE7954"/>
    <w:rsid w:val="00DF0045"/>
    <w:rsid w:val="00DF00E2"/>
    <w:rsid w:val="00DF01AE"/>
    <w:rsid w:val="00DF0454"/>
    <w:rsid w:val="00DF055C"/>
    <w:rsid w:val="00DF083F"/>
    <w:rsid w:val="00DF1810"/>
    <w:rsid w:val="00DF1C54"/>
    <w:rsid w:val="00DF1DE3"/>
    <w:rsid w:val="00DF280B"/>
    <w:rsid w:val="00DF3036"/>
    <w:rsid w:val="00DF3040"/>
    <w:rsid w:val="00DF320C"/>
    <w:rsid w:val="00DF357E"/>
    <w:rsid w:val="00DF41C9"/>
    <w:rsid w:val="00DF434B"/>
    <w:rsid w:val="00DF47BA"/>
    <w:rsid w:val="00DF53C9"/>
    <w:rsid w:val="00DF5EEE"/>
    <w:rsid w:val="00DF6385"/>
    <w:rsid w:val="00DF6433"/>
    <w:rsid w:val="00DF6F07"/>
    <w:rsid w:val="00DF7244"/>
    <w:rsid w:val="00DF7711"/>
    <w:rsid w:val="00DF785E"/>
    <w:rsid w:val="00DF7914"/>
    <w:rsid w:val="00DF79E7"/>
    <w:rsid w:val="00DF7F46"/>
    <w:rsid w:val="00E002FE"/>
    <w:rsid w:val="00E00460"/>
    <w:rsid w:val="00E0121B"/>
    <w:rsid w:val="00E0176E"/>
    <w:rsid w:val="00E023C3"/>
    <w:rsid w:val="00E02A05"/>
    <w:rsid w:val="00E02DAC"/>
    <w:rsid w:val="00E032A5"/>
    <w:rsid w:val="00E04449"/>
    <w:rsid w:val="00E04743"/>
    <w:rsid w:val="00E0486A"/>
    <w:rsid w:val="00E04890"/>
    <w:rsid w:val="00E048DB"/>
    <w:rsid w:val="00E049C9"/>
    <w:rsid w:val="00E04A46"/>
    <w:rsid w:val="00E04B1F"/>
    <w:rsid w:val="00E052E7"/>
    <w:rsid w:val="00E052EA"/>
    <w:rsid w:val="00E0542A"/>
    <w:rsid w:val="00E0587A"/>
    <w:rsid w:val="00E05CB9"/>
    <w:rsid w:val="00E05FE8"/>
    <w:rsid w:val="00E06748"/>
    <w:rsid w:val="00E067B9"/>
    <w:rsid w:val="00E06B25"/>
    <w:rsid w:val="00E06D06"/>
    <w:rsid w:val="00E0736F"/>
    <w:rsid w:val="00E07705"/>
    <w:rsid w:val="00E079CE"/>
    <w:rsid w:val="00E07B00"/>
    <w:rsid w:val="00E07D23"/>
    <w:rsid w:val="00E07EC8"/>
    <w:rsid w:val="00E10E6B"/>
    <w:rsid w:val="00E11360"/>
    <w:rsid w:val="00E11A13"/>
    <w:rsid w:val="00E1213B"/>
    <w:rsid w:val="00E12BEB"/>
    <w:rsid w:val="00E13293"/>
    <w:rsid w:val="00E135AF"/>
    <w:rsid w:val="00E1387F"/>
    <w:rsid w:val="00E13D1C"/>
    <w:rsid w:val="00E13D23"/>
    <w:rsid w:val="00E14C35"/>
    <w:rsid w:val="00E153F7"/>
    <w:rsid w:val="00E154D5"/>
    <w:rsid w:val="00E15BF7"/>
    <w:rsid w:val="00E16862"/>
    <w:rsid w:val="00E17435"/>
    <w:rsid w:val="00E176CE"/>
    <w:rsid w:val="00E17C7C"/>
    <w:rsid w:val="00E17CC7"/>
    <w:rsid w:val="00E17FD0"/>
    <w:rsid w:val="00E2021F"/>
    <w:rsid w:val="00E21177"/>
    <w:rsid w:val="00E211DB"/>
    <w:rsid w:val="00E21D75"/>
    <w:rsid w:val="00E2337D"/>
    <w:rsid w:val="00E23AA0"/>
    <w:rsid w:val="00E23B86"/>
    <w:rsid w:val="00E23CB6"/>
    <w:rsid w:val="00E245AC"/>
    <w:rsid w:val="00E24917"/>
    <w:rsid w:val="00E24D35"/>
    <w:rsid w:val="00E25406"/>
    <w:rsid w:val="00E25B71"/>
    <w:rsid w:val="00E25CD6"/>
    <w:rsid w:val="00E25DA1"/>
    <w:rsid w:val="00E2628E"/>
    <w:rsid w:val="00E274AE"/>
    <w:rsid w:val="00E30169"/>
    <w:rsid w:val="00E3021B"/>
    <w:rsid w:val="00E302F0"/>
    <w:rsid w:val="00E3168E"/>
    <w:rsid w:val="00E317AA"/>
    <w:rsid w:val="00E31EB7"/>
    <w:rsid w:val="00E31FAD"/>
    <w:rsid w:val="00E32358"/>
    <w:rsid w:val="00E32C02"/>
    <w:rsid w:val="00E3316F"/>
    <w:rsid w:val="00E33AE2"/>
    <w:rsid w:val="00E34AE6"/>
    <w:rsid w:val="00E34BD0"/>
    <w:rsid w:val="00E34DB3"/>
    <w:rsid w:val="00E359BD"/>
    <w:rsid w:val="00E35ADA"/>
    <w:rsid w:val="00E35C9B"/>
    <w:rsid w:val="00E35DB8"/>
    <w:rsid w:val="00E35E8A"/>
    <w:rsid w:val="00E36106"/>
    <w:rsid w:val="00E362CC"/>
    <w:rsid w:val="00E36B01"/>
    <w:rsid w:val="00E37017"/>
    <w:rsid w:val="00E3726A"/>
    <w:rsid w:val="00E37DF1"/>
    <w:rsid w:val="00E37EB9"/>
    <w:rsid w:val="00E40570"/>
    <w:rsid w:val="00E405C9"/>
    <w:rsid w:val="00E40AA3"/>
    <w:rsid w:val="00E40CA0"/>
    <w:rsid w:val="00E41554"/>
    <w:rsid w:val="00E41F8E"/>
    <w:rsid w:val="00E4247F"/>
    <w:rsid w:val="00E42481"/>
    <w:rsid w:val="00E42505"/>
    <w:rsid w:val="00E42AD5"/>
    <w:rsid w:val="00E42AE4"/>
    <w:rsid w:val="00E432E0"/>
    <w:rsid w:val="00E433D0"/>
    <w:rsid w:val="00E43610"/>
    <w:rsid w:val="00E439D4"/>
    <w:rsid w:val="00E43B83"/>
    <w:rsid w:val="00E44803"/>
    <w:rsid w:val="00E44CBD"/>
    <w:rsid w:val="00E44D98"/>
    <w:rsid w:val="00E44F52"/>
    <w:rsid w:val="00E458AE"/>
    <w:rsid w:val="00E46009"/>
    <w:rsid w:val="00E46139"/>
    <w:rsid w:val="00E462FB"/>
    <w:rsid w:val="00E465DD"/>
    <w:rsid w:val="00E46B45"/>
    <w:rsid w:val="00E47166"/>
    <w:rsid w:val="00E47482"/>
    <w:rsid w:val="00E479F8"/>
    <w:rsid w:val="00E47CBE"/>
    <w:rsid w:val="00E5043D"/>
    <w:rsid w:val="00E50623"/>
    <w:rsid w:val="00E506DB"/>
    <w:rsid w:val="00E50821"/>
    <w:rsid w:val="00E5084A"/>
    <w:rsid w:val="00E50A87"/>
    <w:rsid w:val="00E50BA6"/>
    <w:rsid w:val="00E515DD"/>
    <w:rsid w:val="00E51D76"/>
    <w:rsid w:val="00E52509"/>
    <w:rsid w:val="00E52C97"/>
    <w:rsid w:val="00E52D06"/>
    <w:rsid w:val="00E5318A"/>
    <w:rsid w:val="00E53D9B"/>
    <w:rsid w:val="00E53DE3"/>
    <w:rsid w:val="00E53E69"/>
    <w:rsid w:val="00E543F6"/>
    <w:rsid w:val="00E544E3"/>
    <w:rsid w:val="00E545C9"/>
    <w:rsid w:val="00E54FCA"/>
    <w:rsid w:val="00E557B9"/>
    <w:rsid w:val="00E5589B"/>
    <w:rsid w:val="00E56A4B"/>
    <w:rsid w:val="00E56CDE"/>
    <w:rsid w:val="00E56FD2"/>
    <w:rsid w:val="00E5752A"/>
    <w:rsid w:val="00E57C24"/>
    <w:rsid w:val="00E57ECE"/>
    <w:rsid w:val="00E6043B"/>
    <w:rsid w:val="00E60991"/>
    <w:rsid w:val="00E60C64"/>
    <w:rsid w:val="00E60D13"/>
    <w:rsid w:val="00E611A8"/>
    <w:rsid w:val="00E6143F"/>
    <w:rsid w:val="00E61497"/>
    <w:rsid w:val="00E615FF"/>
    <w:rsid w:val="00E61E1D"/>
    <w:rsid w:val="00E61EA7"/>
    <w:rsid w:val="00E61F14"/>
    <w:rsid w:val="00E625C4"/>
    <w:rsid w:val="00E6347C"/>
    <w:rsid w:val="00E64B45"/>
    <w:rsid w:val="00E64D00"/>
    <w:rsid w:val="00E64F72"/>
    <w:rsid w:val="00E655D7"/>
    <w:rsid w:val="00E65E53"/>
    <w:rsid w:val="00E66333"/>
    <w:rsid w:val="00E66B74"/>
    <w:rsid w:val="00E66E3C"/>
    <w:rsid w:val="00E675C7"/>
    <w:rsid w:val="00E677F7"/>
    <w:rsid w:val="00E67CA0"/>
    <w:rsid w:val="00E7014E"/>
    <w:rsid w:val="00E7050D"/>
    <w:rsid w:val="00E70822"/>
    <w:rsid w:val="00E70EB3"/>
    <w:rsid w:val="00E71450"/>
    <w:rsid w:val="00E7160D"/>
    <w:rsid w:val="00E71F8A"/>
    <w:rsid w:val="00E7227E"/>
    <w:rsid w:val="00E72AA6"/>
    <w:rsid w:val="00E72D6C"/>
    <w:rsid w:val="00E72EEF"/>
    <w:rsid w:val="00E734D8"/>
    <w:rsid w:val="00E73997"/>
    <w:rsid w:val="00E73A0B"/>
    <w:rsid w:val="00E74BDD"/>
    <w:rsid w:val="00E7514E"/>
    <w:rsid w:val="00E7577D"/>
    <w:rsid w:val="00E75CCE"/>
    <w:rsid w:val="00E7610D"/>
    <w:rsid w:val="00E7626D"/>
    <w:rsid w:val="00E7630D"/>
    <w:rsid w:val="00E76E9F"/>
    <w:rsid w:val="00E76EF4"/>
    <w:rsid w:val="00E7709B"/>
    <w:rsid w:val="00E77145"/>
    <w:rsid w:val="00E801E8"/>
    <w:rsid w:val="00E8024C"/>
    <w:rsid w:val="00E81A4D"/>
    <w:rsid w:val="00E8237F"/>
    <w:rsid w:val="00E82EF4"/>
    <w:rsid w:val="00E831D7"/>
    <w:rsid w:val="00E83266"/>
    <w:rsid w:val="00E8346B"/>
    <w:rsid w:val="00E838F9"/>
    <w:rsid w:val="00E83B60"/>
    <w:rsid w:val="00E84AE1"/>
    <w:rsid w:val="00E850E7"/>
    <w:rsid w:val="00E85A04"/>
    <w:rsid w:val="00E85E32"/>
    <w:rsid w:val="00E8622D"/>
    <w:rsid w:val="00E8626D"/>
    <w:rsid w:val="00E86B5D"/>
    <w:rsid w:val="00E86C5E"/>
    <w:rsid w:val="00E877C7"/>
    <w:rsid w:val="00E87A7D"/>
    <w:rsid w:val="00E87EDB"/>
    <w:rsid w:val="00E87EFA"/>
    <w:rsid w:val="00E907FC"/>
    <w:rsid w:val="00E910AB"/>
    <w:rsid w:val="00E9112A"/>
    <w:rsid w:val="00E91833"/>
    <w:rsid w:val="00E91EB2"/>
    <w:rsid w:val="00E92685"/>
    <w:rsid w:val="00E9288C"/>
    <w:rsid w:val="00E92BA2"/>
    <w:rsid w:val="00E92F30"/>
    <w:rsid w:val="00E939A1"/>
    <w:rsid w:val="00E93A95"/>
    <w:rsid w:val="00E93D5D"/>
    <w:rsid w:val="00E94050"/>
    <w:rsid w:val="00E9449C"/>
    <w:rsid w:val="00E94645"/>
    <w:rsid w:val="00E9474A"/>
    <w:rsid w:val="00E94818"/>
    <w:rsid w:val="00E950E3"/>
    <w:rsid w:val="00E95404"/>
    <w:rsid w:val="00E95499"/>
    <w:rsid w:val="00E95897"/>
    <w:rsid w:val="00E95DCF"/>
    <w:rsid w:val="00E96398"/>
    <w:rsid w:val="00E963C2"/>
    <w:rsid w:val="00E963FD"/>
    <w:rsid w:val="00E96E2B"/>
    <w:rsid w:val="00E96E7E"/>
    <w:rsid w:val="00E97781"/>
    <w:rsid w:val="00E97C99"/>
    <w:rsid w:val="00E97CFB"/>
    <w:rsid w:val="00EA017B"/>
    <w:rsid w:val="00EA0526"/>
    <w:rsid w:val="00EA07B6"/>
    <w:rsid w:val="00EA0A06"/>
    <w:rsid w:val="00EA1506"/>
    <w:rsid w:val="00EA1C6D"/>
    <w:rsid w:val="00EA1DE0"/>
    <w:rsid w:val="00EA2228"/>
    <w:rsid w:val="00EA247A"/>
    <w:rsid w:val="00EA2555"/>
    <w:rsid w:val="00EA2699"/>
    <w:rsid w:val="00EA2BEA"/>
    <w:rsid w:val="00EA2DA9"/>
    <w:rsid w:val="00EA2F39"/>
    <w:rsid w:val="00EA30C4"/>
    <w:rsid w:val="00EA315A"/>
    <w:rsid w:val="00EA46ED"/>
    <w:rsid w:val="00EA4D76"/>
    <w:rsid w:val="00EA4E39"/>
    <w:rsid w:val="00EA5154"/>
    <w:rsid w:val="00EA51F3"/>
    <w:rsid w:val="00EA560D"/>
    <w:rsid w:val="00EA5809"/>
    <w:rsid w:val="00EA597D"/>
    <w:rsid w:val="00EA6451"/>
    <w:rsid w:val="00EA65B4"/>
    <w:rsid w:val="00EA69E2"/>
    <w:rsid w:val="00EA6D9B"/>
    <w:rsid w:val="00EA6FCF"/>
    <w:rsid w:val="00EA6FE6"/>
    <w:rsid w:val="00EB0798"/>
    <w:rsid w:val="00EB0DEF"/>
    <w:rsid w:val="00EB10B0"/>
    <w:rsid w:val="00EB1B08"/>
    <w:rsid w:val="00EB21F0"/>
    <w:rsid w:val="00EB25C3"/>
    <w:rsid w:val="00EB25E1"/>
    <w:rsid w:val="00EB2F03"/>
    <w:rsid w:val="00EB3254"/>
    <w:rsid w:val="00EB34A2"/>
    <w:rsid w:val="00EB380C"/>
    <w:rsid w:val="00EB43B2"/>
    <w:rsid w:val="00EB48AE"/>
    <w:rsid w:val="00EB563F"/>
    <w:rsid w:val="00EB5659"/>
    <w:rsid w:val="00EB56FE"/>
    <w:rsid w:val="00EB57E4"/>
    <w:rsid w:val="00EB587D"/>
    <w:rsid w:val="00EB5886"/>
    <w:rsid w:val="00EB62D1"/>
    <w:rsid w:val="00EB684A"/>
    <w:rsid w:val="00EB76DA"/>
    <w:rsid w:val="00EC0BCA"/>
    <w:rsid w:val="00EC1795"/>
    <w:rsid w:val="00EC2327"/>
    <w:rsid w:val="00EC2581"/>
    <w:rsid w:val="00EC25B1"/>
    <w:rsid w:val="00EC2E06"/>
    <w:rsid w:val="00EC4A2E"/>
    <w:rsid w:val="00EC4CD7"/>
    <w:rsid w:val="00EC59AC"/>
    <w:rsid w:val="00EC5AF6"/>
    <w:rsid w:val="00EC5E73"/>
    <w:rsid w:val="00EC6861"/>
    <w:rsid w:val="00EC71AE"/>
    <w:rsid w:val="00EC747B"/>
    <w:rsid w:val="00EC7A7F"/>
    <w:rsid w:val="00EC7F25"/>
    <w:rsid w:val="00ED00A2"/>
    <w:rsid w:val="00ED0390"/>
    <w:rsid w:val="00ED03D6"/>
    <w:rsid w:val="00ED07DC"/>
    <w:rsid w:val="00ED2264"/>
    <w:rsid w:val="00ED22E9"/>
    <w:rsid w:val="00ED232F"/>
    <w:rsid w:val="00ED24B2"/>
    <w:rsid w:val="00ED27C7"/>
    <w:rsid w:val="00ED2BEF"/>
    <w:rsid w:val="00ED3289"/>
    <w:rsid w:val="00ED3374"/>
    <w:rsid w:val="00ED4342"/>
    <w:rsid w:val="00ED47D9"/>
    <w:rsid w:val="00ED587F"/>
    <w:rsid w:val="00ED59AD"/>
    <w:rsid w:val="00ED5AD2"/>
    <w:rsid w:val="00ED62BC"/>
    <w:rsid w:val="00ED660E"/>
    <w:rsid w:val="00ED6AE0"/>
    <w:rsid w:val="00ED6FF2"/>
    <w:rsid w:val="00ED7187"/>
    <w:rsid w:val="00EE09EB"/>
    <w:rsid w:val="00EE0AE0"/>
    <w:rsid w:val="00EE0BC4"/>
    <w:rsid w:val="00EE0E3A"/>
    <w:rsid w:val="00EE1303"/>
    <w:rsid w:val="00EE1814"/>
    <w:rsid w:val="00EE1973"/>
    <w:rsid w:val="00EE1CD5"/>
    <w:rsid w:val="00EE1FA3"/>
    <w:rsid w:val="00EE290E"/>
    <w:rsid w:val="00EE31B7"/>
    <w:rsid w:val="00EE322E"/>
    <w:rsid w:val="00EE3B39"/>
    <w:rsid w:val="00EE3C45"/>
    <w:rsid w:val="00EE3CEE"/>
    <w:rsid w:val="00EE50CA"/>
    <w:rsid w:val="00EE5795"/>
    <w:rsid w:val="00EE5847"/>
    <w:rsid w:val="00EE58FD"/>
    <w:rsid w:val="00EE5A34"/>
    <w:rsid w:val="00EE5A53"/>
    <w:rsid w:val="00EE5CEC"/>
    <w:rsid w:val="00EE5EA2"/>
    <w:rsid w:val="00EE6229"/>
    <w:rsid w:val="00EE6629"/>
    <w:rsid w:val="00EE6CDF"/>
    <w:rsid w:val="00EE7230"/>
    <w:rsid w:val="00EE7A9E"/>
    <w:rsid w:val="00EE7FAC"/>
    <w:rsid w:val="00EF0280"/>
    <w:rsid w:val="00EF04B3"/>
    <w:rsid w:val="00EF057E"/>
    <w:rsid w:val="00EF0A65"/>
    <w:rsid w:val="00EF0B44"/>
    <w:rsid w:val="00EF0B7A"/>
    <w:rsid w:val="00EF0C26"/>
    <w:rsid w:val="00EF110C"/>
    <w:rsid w:val="00EF13CF"/>
    <w:rsid w:val="00EF1A91"/>
    <w:rsid w:val="00EF22B0"/>
    <w:rsid w:val="00EF2635"/>
    <w:rsid w:val="00EF3CB5"/>
    <w:rsid w:val="00EF3EEE"/>
    <w:rsid w:val="00EF44D0"/>
    <w:rsid w:val="00EF45A9"/>
    <w:rsid w:val="00EF469C"/>
    <w:rsid w:val="00EF4DCD"/>
    <w:rsid w:val="00EF4F48"/>
    <w:rsid w:val="00EF5185"/>
    <w:rsid w:val="00EF60AE"/>
    <w:rsid w:val="00EF6526"/>
    <w:rsid w:val="00F006B6"/>
    <w:rsid w:val="00F00D3F"/>
    <w:rsid w:val="00F01094"/>
    <w:rsid w:val="00F02931"/>
    <w:rsid w:val="00F03501"/>
    <w:rsid w:val="00F03E7C"/>
    <w:rsid w:val="00F0543A"/>
    <w:rsid w:val="00F05E89"/>
    <w:rsid w:val="00F068ED"/>
    <w:rsid w:val="00F072D1"/>
    <w:rsid w:val="00F0764B"/>
    <w:rsid w:val="00F07C2B"/>
    <w:rsid w:val="00F10603"/>
    <w:rsid w:val="00F10A3F"/>
    <w:rsid w:val="00F11639"/>
    <w:rsid w:val="00F11936"/>
    <w:rsid w:val="00F1196D"/>
    <w:rsid w:val="00F11DF2"/>
    <w:rsid w:val="00F11FED"/>
    <w:rsid w:val="00F120E3"/>
    <w:rsid w:val="00F12536"/>
    <w:rsid w:val="00F126DE"/>
    <w:rsid w:val="00F12A3C"/>
    <w:rsid w:val="00F13ADF"/>
    <w:rsid w:val="00F13F93"/>
    <w:rsid w:val="00F14576"/>
    <w:rsid w:val="00F147A4"/>
    <w:rsid w:val="00F14941"/>
    <w:rsid w:val="00F14977"/>
    <w:rsid w:val="00F15562"/>
    <w:rsid w:val="00F15583"/>
    <w:rsid w:val="00F15C42"/>
    <w:rsid w:val="00F1622C"/>
    <w:rsid w:val="00F171DA"/>
    <w:rsid w:val="00F17A6C"/>
    <w:rsid w:val="00F17CFB"/>
    <w:rsid w:val="00F17DA3"/>
    <w:rsid w:val="00F2009A"/>
    <w:rsid w:val="00F20810"/>
    <w:rsid w:val="00F2092A"/>
    <w:rsid w:val="00F20D59"/>
    <w:rsid w:val="00F214BF"/>
    <w:rsid w:val="00F22C4D"/>
    <w:rsid w:val="00F23A82"/>
    <w:rsid w:val="00F23AB5"/>
    <w:rsid w:val="00F24290"/>
    <w:rsid w:val="00F24614"/>
    <w:rsid w:val="00F247C3"/>
    <w:rsid w:val="00F249A0"/>
    <w:rsid w:val="00F24BEF"/>
    <w:rsid w:val="00F24C94"/>
    <w:rsid w:val="00F24E23"/>
    <w:rsid w:val="00F24E5A"/>
    <w:rsid w:val="00F24FC7"/>
    <w:rsid w:val="00F254F4"/>
    <w:rsid w:val="00F25BE8"/>
    <w:rsid w:val="00F262F9"/>
    <w:rsid w:val="00F26760"/>
    <w:rsid w:val="00F26F31"/>
    <w:rsid w:val="00F26FDC"/>
    <w:rsid w:val="00F27291"/>
    <w:rsid w:val="00F27916"/>
    <w:rsid w:val="00F279C0"/>
    <w:rsid w:val="00F27C96"/>
    <w:rsid w:val="00F27DBE"/>
    <w:rsid w:val="00F30647"/>
    <w:rsid w:val="00F309C4"/>
    <w:rsid w:val="00F30F88"/>
    <w:rsid w:val="00F31336"/>
    <w:rsid w:val="00F3138E"/>
    <w:rsid w:val="00F313F0"/>
    <w:rsid w:val="00F31414"/>
    <w:rsid w:val="00F314AF"/>
    <w:rsid w:val="00F32513"/>
    <w:rsid w:val="00F32726"/>
    <w:rsid w:val="00F33285"/>
    <w:rsid w:val="00F34EBE"/>
    <w:rsid w:val="00F34EDE"/>
    <w:rsid w:val="00F3546C"/>
    <w:rsid w:val="00F3546D"/>
    <w:rsid w:val="00F35607"/>
    <w:rsid w:val="00F357C7"/>
    <w:rsid w:val="00F374DD"/>
    <w:rsid w:val="00F378CF"/>
    <w:rsid w:val="00F37B3B"/>
    <w:rsid w:val="00F37C08"/>
    <w:rsid w:val="00F37FEB"/>
    <w:rsid w:val="00F4000C"/>
    <w:rsid w:val="00F40F02"/>
    <w:rsid w:val="00F40F39"/>
    <w:rsid w:val="00F4190E"/>
    <w:rsid w:val="00F41EDB"/>
    <w:rsid w:val="00F41FDC"/>
    <w:rsid w:val="00F42176"/>
    <w:rsid w:val="00F42662"/>
    <w:rsid w:val="00F42D2A"/>
    <w:rsid w:val="00F42DAC"/>
    <w:rsid w:val="00F4341B"/>
    <w:rsid w:val="00F4376D"/>
    <w:rsid w:val="00F43891"/>
    <w:rsid w:val="00F43B90"/>
    <w:rsid w:val="00F43E8C"/>
    <w:rsid w:val="00F4412E"/>
    <w:rsid w:val="00F443CF"/>
    <w:rsid w:val="00F44684"/>
    <w:rsid w:val="00F44A9F"/>
    <w:rsid w:val="00F44B04"/>
    <w:rsid w:val="00F44CCE"/>
    <w:rsid w:val="00F44D81"/>
    <w:rsid w:val="00F45321"/>
    <w:rsid w:val="00F457B5"/>
    <w:rsid w:val="00F45938"/>
    <w:rsid w:val="00F45A3D"/>
    <w:rsid w:val="00F45BBA"/>
    <w:rsid w:val="00F45D5A"/>
    <w:rsid w:val="00F46352"/>
    <w:rsid w:val="00F47636"/>
    <w:rsid w:val="00F47F9D"/>
    <w:rsid w:val="00F5027D"/>
    <w:rsid w:val="00F50360"/>
    <w:rsid w:val="00F50672"/>
    <w:rsid w:val="00F506E0"/>
    <w:rsid w:val="00F507C6"/>
    <w:rsid w:val="00F50B92"/>
    <w:rsid w:val="00F51085"/>
    <w:rsid w:val="00F51608"/>
    <w:rsid w:val="00F51A26"/>
    <w:rsid w:val="00F51D02"/>
    <w:rsid w:val="00F52A19"/>
    <w:rsid w:val="00F52B4D"/>
    <w:rsid w:val="00F540F6"/>
    <w:rsid w:val="00F543D9"/>
    <w:rsid w:val="00F5446D"/>
    <w:rsid w:val="00F545BE"/>
    <w:rsid w:val="00F545EF"/>
    <w:rsid w:val="00F54BCB"/>
    <w:rsid w:val="00F54D56"/>
    <w:rsid w:val="00F55181"/>
    <w:rsid w:val="00F551A2"/>
    <w:rsid w:val="00F55501"/>
    <w:rsid w:val="00F5572B"/>
    <w:rsid w:val="00F55F20"/>
    <w:rsid w:val="00F564FE"/>
    <w:rsid w:val="00F5653E"/>
    <w:rsid w:val="00F565FC"/>
    <w:rsid w:val="00F565FD"/>
    <w:rsid w:val="00F567A4"/>
    <w:rsid w:val="00F569A9"/>
    <w:rsid w:val="00F56B45"/>
    <w:rsid w:val="00F5735B"/>
    <w:rsid w:val="00F57C20"/>
    <w:rsid w:val="00F60408"/>
    <w:rsid w:val="00F60479"/>
    <w:rsid w:val="00F61600"/>
    <w:rsid w:val="00F616C4"/>
    <w:rsid w:val="00F6197E"/>
    <w:rsid w:val="00F61B19"/>
    <w:rsid w:val="00F61D56"/>
    <w:rsid w:val="00F6249A"/>
    <w:rsid w:val="00F62725"/>
    <w:rsid w:val="00F6320A"/>
    <w:rsid w:val="00F6336D"/>
    <w:rsid w:val="00F63377"/>
    <w:rsid w:val="00F635DD"/>
    <w:rsid w:val="00F6381D"/>
    <w:rsid w:val="00F63976"/>
    <w:rsid w:val="00F643C2"/>
    <w:rsid w:val="00F6494D"/>
    <w:rsid w:val="00F658D0"/>
    <w:rsid w:val="00F66508"/>
    <w:rsid w:val="00F66A86"/>
    <w:rsid w:val="00F67552"/>
    <w:rsid w:val="00F67562"/>
    <w:rsid w:val="00F678EA"/>
    <w:rsid w:val="00F67B41"/>
    <w:rsid w:val="00F67FCF"/>
    <w:rsid w:val="00F70A4E"/>
    <w:rsid w:val="00F70B4C"/>
    <w:rsid w:val="00F70EF4"/>
    <w:rsid w:val="00F71E8C"/>
    <w:rsid w:val="00F7200C"/>
    <w:rsid w:val="00F738CF"/>
    <w:rsid w:val="00F741FB"/>
    <w:rsid w:val="00F74716"/>
    <w:rsid w:val="00F74790"/>
    <w:rsid w:val="00F74B04"/>
    <w:rsid w:val="00F74D33"/>
    <w:rsid w:val="00F7586B"/>
    <w:rsid w:val="00F76BDA"/>
    <w:rsid w:val="00F77684"/>
    <w:rsid w:val="00F800C6"/>
    <w:rsid w:val="00F802DC"/>
    <w:rsid w:val="00F80625"/>
    <w:rsid w:val="00F80BC2"/>
    <w:rsid w:val="00F80C3C"/>
    <w:rsid w:val="00F80F92"/>
    <w:rsid w:val="00F81038"/>
    <w:rsid w:val="00F81536"/>
    <w:rsid w:val="00F81739"/>
    <w:rsid w:val="00F81916"/>
    <w:rsid w:val="00F8258F"/>
    <w:rsid w:val="00F8280B"/>
    <w:rsid w:val="00F82BCE"/>
    <w:rsid w:val="00F82C8F"/>
    <w:rsid w:val="00F82FC4"/>
    <w:rsid w:val="00F831B7"/>
    <w:rsid w:val="00F83210"/>
    <w:rsid w:val="00F83C56"/>
    <w:rsid w:val="00F83E69"/>
    <w:rsid w:val="00F845A5"/>
    <w:rsid w:val="00F84899"/>
    <w:rsid w:val="00F84A4C"/>
    <w:rsid w:val="00F85D73"/>
    <w:rsid w:val="00F85FDE"/>
    <w:rsid w:val="00F8606E"/>
    <w:rsid w:val="00F8639D"/>
    <w:rsid w:val="00F86CB1"/>
    <w:rsid w:val="00F86F76"/>
    <w:rsid w:val="00F86FA6"/>
    <w:rsid w:val="00F870CD"/>
    <w:rsid w:val="00F8764E"/>
    <w:rsid w:val="00F87767"/>
    <w:rsid w:val="00F87C2F"/>
    <w:rsid w:val="00F87ED8"/>
    <w:rsid w:val="00F905F8"/>
    <w:rsid w:val="00F90765"/>
    <w:rsid w:val="00F90894"/>
    <w:rsid w:val="00F9097F"/>
    <w:rsid w:val="00F90B25"/>
    <w:rsid w:val="00F913FD"/>
    <w:rsid w:val="00F91820"/>
    <w:rsid w:val="00F91912"/>
    <w:rsid w:val="00F91925"/>
    <w:rsid w:val="00F91A34"/>
    <w:rsid w:val="00F91B78"/>
    <w:rsid w:val="00F92C62"/>
    <w:rsid w:val="00F93A25"/>
    <w:rsid w:val="00F94952"/>
    <w:rsid w:val="00F94A25"/>
    <w:rsid w:val="00F94CC4"/>
    <w:rsid w:val="00F94ED4"/>
    <w:rsid w:val="00F94F48"/>
    <w:rsid w:val="00F9522C"/>
    <w:rsid w:val="00F954A3"/>
    <w:rsid w:val="00F957D2"/>
    <w:rsid w:val="00F958F7"/>
    <w:rsid w:val="00F95F80"/>
    <w:rsid w:val="00F95FB9"/>
    <w:rsid w:val="00F960B6"/>
    <w:rsid w:val="00F96703"/>
    <w:rsid w:val="00F9670B"/>
    <w:rsid w:val="00F96D88"/>
    <w:rsid w:val="00F97305"/>
    <w:rsid w:val="00F9737C"/>
    <w:rsid w:val="00F973D7"/>
    <w:rsid w:val="00F975BE"/>
    <w:rsid w:val="00F979FA"/>
    <w:rsid w:val="00F97C28"/>
    <w:rsid w:val="00FA04A8"/>
    <w:rsid w:val="00FA0F08"/>
    <w:rsid w:val="00FA15FB"/>
    <w:rsid w:val="00FA1A3A"/>
    <w:rsid w:val="00FA2049"/>
    <w:rsid w:val="00FA2AB6"/>
    <w:rsid w:val="00FA304D"/>
    <w:rsid w:val="00FA3522"/>
    <w:rsid w:val="00FA3618"/>
    <w:rsid w:val="00FA39C7"/>
    <w:rsid w:val="00FA48BC"/>
    <w:rsid w:val="00FA52E3"/>
    <w:rsid w:val="00FA551A"/>
    <w:rsid w:val="00FA55C8"/>
    <w:rsid w:val="00FA5AB5"/>
    <w:rsid w:val="00FA5FEA"/>
    <w:rsid w:val="00FA606D"/>
    <w:rsid w:val="00FA656E"/>
    <w:rsid w:val="00FA6B2D"/>
    <w:rsid w:val="00FA6EC2"/>
    <w:rsid w:val="00FA6EEB"/>
    <w:rsid w:val="00FA7396"/>
    <w:rsid w:val="00FA7C62"/>
    <w:rsid w:val="00FB02E0"/>
    <w:rsid w:val="00FB04D0"/>
    <w:rsid w:val="00FB1FD8"/>
    <w:rsid w:val="00FB2AA9"/>
    <w:rsid w:val="00FB2F58"/>
    <w:rsid w:val="00FB3D42"/>
    <w:rsid w:val="00FB3F02"/>
    <w:rsid w:val="00FB3FF7"/>
    <w:rsid w:val="00FB4F18"/>
    <w:rsid w:val="00FB5039"/>
    <w:rsid w:val="00FB5220"/>
    <w:rsid w:val="00FB538A"/>
    <w:rsid w:val="00FB5A60"/>
    <w:rsid w:val="00FB5F40"/>
    <w:rsid w:val="00FB6554"/>
    <w:rsid w:val="00FB65EE"/>
    <w:rsid w:val="00FB6806"/>
    <w:rsid w:val="00FB6907"/>
    <w:rsid w:val="00FB6C83"/>
    <w:rsid w:val="00FB6DB3"/>
    <w:rsid w:val="00FB722B"/>
    <w:rsid w:val="00FB7577"/>
    <w:rsid w:val="00FB779B"/>
    <w:rsid w:val="00FC0AA3"/>
    <w:rsid w:val="00FC185C"/>
    <w:rsid w:val="00FC1DD9"/>
    <w:rsid w:val="00FC2932"/>
    <w:rsid w:val="00FC294C"/>
    <w:rsid w:val="00FC2EC0"/>
    <w:rsid w:val="00FC2EDC"/>
    <w:rsid w:val="00FC38EA"/>
    <w:rsid w:val="00FC3B39"/>
    <w:rsid w:val="00FC40A4"/>
    <w:rsid w:val="00FC49E5"/>
    <w:rsid w:val="00FC592A"/>
    <w:rsid w:val="00FC5BA5"/>
    <w:rsid w:val="00FC6071"/>
    <w:rsid w:val="00FC67C0"/>
    <w:rsid w:val="00FC7309"/>
    <w:rsid w:val="00FC74DE"/>
    <w:rsid w:val="00FC77C4"/>
    <w:rsid w:val="00FD00FC"/>
    <w:rsid w:val="00FD03DC"/>
    <w:rsid w:val="00FD07A4"/>
    <w:rsid w:val="00FD097D"/>
    <w:rsid w:val="00FD0D7A"/>
    <w:rsid w:val="00FD0F2B"/>
    <w:rsid w:val="00FD149E"/>
    <w:rsid w:val="00FD2216"/>
    <w:rsid w:val="00FD2C86"/>
    <w:rsid w:val="00FD2E9C"/>
    <w:rsid w:val="00FD3FDB"/>
    <w:rsid w:val="00FD4106"/>
    <w:rsid w:val="00FD43ED"/>
    <w:rsid w:val="00FD44F9"/>
    <w:rsid w:val="00FD4A0D"/>
    <w:rsid w:val="00FD4EF0"/>
    <w:rsid w:val="00FD507F"/>
    <w:rsid w:val="00FD6A71"/>
    <w:rsid w:val="00FD738A"/>
    <w:rsid w:val="00FD79A1"/>
    <w:rsid w:val="00FD7AE6"/>
    <w:rsid w:val="00FD7B55"/>
    <w:rsid w:val="00FD7EA9"/>
    <w:rsid w:val="00FE0256"/>
    <w:rsid w:val="00FE0353"/>
    <w:rsid w:val="00FE0BF5"/>
    <w:rsid w:val="00FE0C3B"/>
    <w:rsid w:val="00FE0E23"/>
    <w:rsid w:val="00FE1BDD"/>
    <w:rsid w:val="00FE1C68"/>
    <w:rsid w:val="00FE1F29"/>
    <w:rsid w:val="00FE26D2"/>
    <w:rsid w:val="00FE30E8"/>
    <w:rsid w:val="00FE3150"/>
    <w:rsid w:val="00FE3753"/>
    <w:rsid w:val="00FE3908"/>
    <w:rsid w:val="00FE4499"/>
    <w:rsid w:val="00FE4729"/>
    <w:rsid w:val="00FE5032"/>
    <w:rsid w:val="00FE5183"/>
    <w:rsid w:val="00FE5B62"/>
    <w:rsid w:val="00FE6123"/>
    <w:rsid w:val="00FE6510"/>
    <w:rsid w:val="00FE687B"/>
    <w:rsid w:val="00FE6972"/>
    <w:rsid w:val="00FE6E67"/>
    <w:rsid w:val="00FE72FF"/>
    <w:rsid w:val="00FF077A"/>
    <w:rsid w:val="00FF0A3E"/>
    <w:rsid w:val="00FF0A4D"/>
    <w:rsid w:val="00FF16A3"/>
    <w:rsid w:val="00FF1914"/>
    <w:rsid w:val="00FF29ED"/>
    <w:rsid w:val="00FF36A2"/>
    <w:rsid w:val="00FF3C6C"/>
    <w:rsid w:val="00FF4811"/>
    <w:rsid w:val="00FF49A1"/>
    <w:rsid w:val="00FF50E4"/>
    <w:rsid w:val="00FF5167"/>
    <w:rsid w:val="00FF5C78"/>
    <w:rsid w:val="00FF64F3"/>
    <w:rsid w:val="00FF68DF"/>
    <w:rsid w:val="00FF725F"/>
    <w:rsid w:val="00FF75AF"/>
    <w:rsid w:val="00FF76F2"/>
    <w:rsid w:val="00FF7C79"/>
    <w:rsid w:val="3A871F12"/>
    <w:rsid w:val="442C3616"/>
    <w:rsid w:val="79234C5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nhideWhenUsed="0" w:uiPriority="99" w:semiHidden="0" w:name="annotation text"/>
    <w:lsdException w:qFormat="1" w:uiPriority="99" w:semiHidden="0" w:name="header"/>
    <w:lsdException w:qFormat="1" w:uiPriority="99"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520" w:lineRule="exact"/>
      <w:ind w:firstLine="200" w:firstLineChars="200"/>
      <w:jc w:val="both"/>
    </w:pPr>
    <w:rPr>
      <w:rFonts w:ascii="Times New Roman" w:hAnsi="Times New Roman" w:eastAsia="宋体" w:cs="Times New Roman"/>
      <w:kern w:val="2"/>
      <w:sz w:val="24"/>
      <w:szCs w:val="24"/>
      <w:lang w:val="en-US" w:eastAsia="zh-CN" w:bidi="ar-SA"/>
    </w:rPr>
  </w:style>
  <w:style w:type="paragraph" w:styleId="2">
    <w:name w:val="heading 1"/>
    <w:basedOn w:val="1"/>
    <w:next w:val="1"/>
    <w:link w:val="24"/>
    <w:qFormat/>
    <w:uiPriority w:val="9"/>
    <w:pPr>
      <w:keepNext/>
      <w:keepLines/>
      <w:spacing w:line="400" w:lineRule="exact"/>
      <w:ind w:firstLine="0" w:firstLineChars="0"/>
      <w:jc w:val="center"/>
      <w:outlineLvl w:val="0"/>
    </w:pPr>
    <w:rPr>
      <w:rFonts w:cstheme="minorBidi"/>
      <w:b/>
      <w:bCs/>
      <w:kern w:val="44"/>
      <w:sz w:val="32"/>
      <w:szCs w:val="44"/>
      <w:lang w:val="zh-CN"/>
    </w:rPr>
  </w:style>
  <w:style w:type="paragraph" w:styleId="3">
    <w:name w:val="heading 2"/>
    <w:basedOn w:val="1"/>
    <w:next w:val="1"/>
    <w:link w:val="23"/>
    <w:unhideWhenUsed/>
    <w:qFormat/>
    <w:uiPriority w:val="9"/>
    <w:pPr>
      <w:keepNext/>
      <w:keepLines/>
      <w:numPr>
        <w:ilvl w:val="1"/>
        <w:numId w:val="1"/>
      </w:numPr>
      <w:outlineLvl w:val="1"/>
    </w:pPr>
    <w:rPr>
      <w:b/>
      <w:bCs/>
      <w:sz w:val="28"/>
      <w:szCs w:val="32"/>
      <w:lang w:val="zh-CN"/>
    </w:rPr>
  </w:style>
  <w:style w:type="paragraph" w:styleId="4">
    <w:name w:val="heading 3"/>
    <w:basedOn w:val="1"/>
    <w:next w:val="1"/>
    <w:link w:val="22"/>
    <w:unhideWhenUsed/>
    <w:qFormat/>
    <w:uiPriority w:val="9"/>
    <w:pPr>
      <w:keepNext/>
      <w:keepLines/>
      <w:numPr>
        <w:ilvl w:val="2"/>
        <w:numId w:val="1"/>
      </w:numPr>
      <w:outlineLvl w:val="2"/>
    </w:pPr>
    <w:rPr>
      <w:b/>
      <w:bCs/>
      <w:szCs w:val="32"/>
      <w:lang w:val="zh-CN"/>
    </w:rPr>
  </w:style>
  <w:style w:type="paragraph" w:styleId="5">
    <w:name w:val="heading 4"/>
    <w:basedOn w:val="1"/>
    <w:next w:val="1"/>
    <w:link w:val="21"/>
    <w:unhideWhenUsed/>
    <w:qFormat/>
    <w:uiPriority w:val="9"/>
    <w:pPr>
      <w:keepNext/>
      <w:keepLines/>
      <w:numPr>
        <w:ilvl w:val="3"/>
        <w:numId w:val="1"/>
      </w:numPr>
      <w:jc w:val="left"/>
      <w:outlineLvl w:val="3"/>
    </w:pPr>
    <w:rPr>
      <w:bCs/>
      <w:szCs w:val="28"/>
      <w:lang w:val="zh-CN"/>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6">
    <w:name w:val="Normal Indent"/>
    <w:basedOn w:val="1"/>
    <w:link w:val="30"/>
    <w:qFormat/>
    <w:uiPriority w:val="0"/>
    <w:pPr>
      <w:spacing w:line="240" w:lineRule="auto"/>
      <w:ind w:firstLine="420"/>
    </w:pPr>
    <w:rPr>
      <w:sz w:val="21"/>
      <w:lang w:val="zh-CN" w:eastAsia="zh-CN"/>
    </w:rPr>
  </w:style>
  <w:style w:type="paragraph" w:styleId="7">
    <w:name w:val="caption"/>
    <w:basedOn w:val="1"/>
    <w:next w:val="1"/>
    <w:link w:val="50"/>
    <w:qFormat/>
    <w:uiPriority w:val="0"/>
    <w:pPr>
      <w:spacing w:line="240" w:lineRule="auto"/>
      <w:ind w:firstLine="0" w:firstLineChars="0"/>
    </w:pPr>
    <w:rPr>
      <w:rFonts w:ascii="黑体" w:hAnsi="黑体" w:eastAsia="Calibri"/>
      <w:sz w:val="20"/>
      <w:szCs w:val="20"/>
      <w:lang w:val="zh-CN" w:eastAsia="zh-CN"/>
    </w:rPr>
  </w:style>
  <w:style w:type="paragraph" w:styleId="8">
    <w:name w:val="annotation text"/>
    <w:basedOn w:val="1"/>
    <w:link w:val="43"/>
    <w:qFormat/>
    <w:uiPriority w:val="99"/>
    <w:pPr>
      <w:spacing w:line="240" w:lineRule="auto"/>
      <w:ind w:firstLine="0" w:firstLineChars="0"/>
      <w:jc w:val="left"/>
    </w:pPr>
    <w:rPr>
      <w:rFonts w:cstheme="minorBidi"/>
      <w:szCs w:val="22"/>
    </w:rPr>
  </w:style>
  <w:style w:type="paragraph" w:styleId="9">
    <w:name w:val="Body Text"/>
    <w:basedOn w:val="1"/>
    <w:link w:val="31"/>
    <w:qFormat/>
    <w:uiPriority w:val="0"/>
    <w:pPr>
      <w:spacing w:line="360" w:lineRule="auto"/>
      <w:ind w:firstLine="0" w:firstLineChars="0"/>
    </w:pPr>
    <w:rPr>
      <w:sz w:val="21"/>
      <w:szCs w:val="20"/>
      <w:lang w:val="zh-CN" w:eastAsia="zh-CN"/>
    </w:rPr>
  </w:style>
  <w:style w:type="paragraph" w:styleId="10">
    <w:name w:val="Body Text Indent"/>
    <w:basedOn w:val="1"/>
    <w:link w:val="57"/>
    <w:semiHidden/>
    <w:unhideWhenUsed/>
    <w:qFormat/>
    <w:uiPriority w:val="99"/>
    <w:pPr>
      <w:spacing w:after="120"/>
      <w:ind w:left="420" w:leftChars="200"/>
    </w:pPr>
  </w:style>
  <w:style w:type="paragraph" w:styleId="11">
    <w:name w:val="Balloon Text"/>
    <w:basedOn w:val="1"/>
    <w:link w:val="35"/>
    <w:semiHidden/>
    <w:unhideWhenUsed/>
    <w:qFormat/>
    <w:uiPriority w:val="99"/>
    <w:pPr>
      <w:spacing w:line="240" w:lineRule="auto"/>
    </w:pPr>
    <w:rPr>
      <w:sz w:val="18"/>
      <w:szCs w:val="18"/>
    </w:rPr>
  </w:style>
  <w:style w:type="paragraph" w:styleId="12">
    <w:name w:val="footer"/>
    <w:basedOn w:val="1"/>
    <w:link w:val="26"/>
    <w:unhideWhenUsed/>
    <w:qFormat/>
    <w:uiPriority w:val="99"/>
    <w:pPr>
      <w:tabs>
        <w:tab w:val="center" w:pos="4153"/>
        <w:tab w:val="right" w:pos="8306"/>
      </w:tabs>
      <w:snapToGrid w:val="0"/>
      <w:jc w:val="left"/>
    </w:pPr>
    <w:rPr>
      <w:sz w:val="18"/>
      <w:szCs w:val="18"/>
    </w:rPr>
  </w:style>
  <w:style w:type="paragraph" w:styleId="13">
    <w:name w:val="header"/>
    <w:basedOn w:val="1"/>
    <w:link w:val="25"/>
    <w:unhideWhenUsed/>
    <w:qFormat/>
    <w:uiPriority w:val="99"/>
    <w:pPr>
      <w:pBdr>
        <w:bottom w:val="single" w:color="auto" w:sz="6" w:space="1"/>
      </w:pBdr>
      <w:tabs>
        <w:tab w:val="center" w:pos="4153"/>
        <w:tab w:val="right" w:pos="8306"/>
      </w:tabs>
      <w:snapToGrid w:val="0"/>
      <w:jc w:val="center"/>
    </w:pPr>
    <w:rPr>
      <w:sz w:val="18"/>
      <w:szCs w:val="18"/>
    </w:rPr>
  </w:style>
  <w:style w:type="paragraph" w:styleId="14">
    <w:name w:val="Title"/>
    <w:basedOn w:val="1"/>
    <w:next w:val="1"/>
    <w:link w:val="27"/>
    <w:qFormat/>
    <w:uiPriority w:val="0"/>
    <w:pPr>
      <w:spacing w:line="240" w:lineRule="auto"/>
      <w:ind w:left="12" w:leftChars="5" w:right="12" w:rightChars="5" w:firstLine="0" w:firstLineChars="0"/>
      <w:jc w:val="center"/>
    </w:pPr>
    <w:rPr>
      <w:rFonts w:eastAsia="黑体"/>
      <w:bCs/>
      <w:szCs w:val="21"/>
      <w:lang w:val="zh-CN"/>
    </w:rPr>
  </w:style>
  <w:style w:type="paragraph" w:styleId="15">
    <w:name w:val="Body Text First Indent 2"/>
    <w:basedOn w:val="10"/>
    <w:link w:val="58"/>
    <w:unhideWhenUsed/>
    <w:qFormat/>
    <w:uiPriority w:val="0"/>
    <w:pPr>
      <w:spacing w:line="240" w:lineRule="auto"/>
      <w:ind w:firstLine="420"/>
    </w:pPr>
    <w:rPr>
      <w:rFonts w:asciiTheme="minorHAnsi" w:hAnsiTheme="minorHAnsi" w:eastAsiaTheme="minorEastAsia" w:cstheme="minorBidi"/>
      <w:sz w:val="21"/>
      <w:szCs w:val="22"/>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page number"/>
    <w:basedOn w:val="18"/>
    <w:qFormat/>
    <w:uiPriority w:val="0"/>
  </w:style>
  <w:style w:type="character" w:styleId="20">
    <w:name w:val="Hyperlink"/>
    <w:basedOn w:val="18"/>
    <w:semiHidden/>
    <w:unhideWhenUsed/>
    <w:qFormat/>
    <w:uiPriority w:val="99"/>
    <w:rPr>
      <w:color w:val="0000FF"/>
      <w:u w:val="single"/>
    </w:rPr>
  </w:style>
  <w:style w:type="character" w:customStyle="1" w:styleId="21">
    <w:name w:val="标题 4 Char"/>
    <w:link w:val="5"/>
    <w:qFormat/>
    <w:uiPriority w:val="9"/>
    <w:rPr>
      <w:rFonts w:ascii="Times New Roman" w:hAnsi="Times New Roman"/>
      <w:bCs/>
      <w:sz w:val="24"/>
      <w:szCs w:val="28"/>
      <w:lang w:val="zh-CN"/>
    </w:rPr>
  </w:style>
  <w:style w:type="character" w:customStyle="1" w:styleId="22">
    <w:name w:val="标题 3 Char"/>
    <w:link w:val="4"/>
    <w:qFormat/>
    <w:uiPriority w:val="9"/>
    <w:rPr>
      <w:rFonts w:ascii="Times New Roman" w:hAnsi="Times New Roman"/>
      <w:b/>
      <w:bCs/>
      <w:sz w:val="24"/>
      <w:szCs w:val="32"/>
      <w:lang w:val="zh-CN"/>
    </w:rPr>
  </w:style>
  <w:style w:type="character" w:customStyle="1" w:styleId="23">
    <w:name w:val="标题 2 Char"/>
    <w:link w:val="3"/>
    <w:qFormat/>
    <w:uiPriority w:val="9"/>
    <w:rPr>
      <w:rFonts w:ascii="Times New Roman" w:hAnsi="Times New Roman"/>
      <w:b/>
      <w:bCs/>
      <w:sz w:val="28"/>
      <w:szCs w:val="32"/>
      <w:lang w:val="zh-CN"/>
    </w:rPr>
  </w:style>
  <w:style w:type="character" w:customStyle="1" w:styleId="24">
    <w:name w:val="标题 1 Char"/>
    <w:link w:val="2"/>
    <w:qFormat/>
    <w:uiPriority w:val="9"/>
    <w:rPr>
      <w:rFonts w:ascii="Times New Roman" w:hAnsi="Times New Roman" w:eastAsia="宋体"/>
      <w:b/>
      <w:bCs/>
      <w:kern w:val="44"/>
      <w:sz w:val="32"/>
      <w:szCs w:val="44"/>
      <w:lang w:val="zh-CN"/>
    </w:rPr>
  </w:style>
  <w:style w:type="character" w:customStyle="1" w:styleId="25">
    <w:name w:val="页眉 Char"/>
    <w:basedOn w:val="18"/>
    <w:link w:val="13"/>
    <w:qFormat/>
    <w:uiPriority w:val="99"/>
    <w:rPr>
      <w:sz w:val="18"/>
      <w:szCs w:val="18"/>
    </w:rPr>
  </w:style>
  <w:style w:type="character" w:customStyle="1" w:styleId="26">
    <w:name w:val="页脚 Char"/>
    <w:basedOn w:val="18"/>
    <w:link w:val="12"/>
    <w:qFormat/>
    <w:uiPriority w:val="99"/>
    <w:rPr>
      <w:sz w:val="18"/>
      <w:szCs w:val="18"/>
    </w:rPr>
  </w:style>
  <w:style w:type="character" w:customStyle="1" w:styleId="27">
    <w:name w:val="标题 Char"/>
    <w:basedOn w:val="18"/>
    <w:link w:val="14"/>
    <w:qFormat/>
    <w:uiPriority w:val="0"/>
    <w:rPr>
      <w:rFonts w:ascii="Times New Roman" w:hAnsi="Times New Roman" w:eastAsia="黑体" w:cs="Times New Roman"/>
      <w:bCs/>
      <w:sz w:val="24"/>
      <w:szCs w:val="21"/>
      <w:lang w:val="zh-CN"/>
    </w:rPr>
  </w:style>
  <w:style w:type="paragraph" w:customStyle="1" w:styleId="28">
    <w:name w:val="表格正文"/>
    <w:basedOn w:val="1"/>
    <w:next w:val="1"/>
    <w:link w:val="29"/>
    <w:qFormat/>
    <w:uiPriority w:val="0"/>
    <w:pPr>
      <w:spacing w:line="320" w:lineRule="exact"/>
      <w:ind w:firstLine="0" w:firstLineChars="0"/>
      <w:jc w:val="center"/>
    </w:pPr>
    <w:rPr>
      <w:sz w:val="21"/>
    </w:rPr>
  </w:style>
  <w:style w:type="character" w:customStyle="1" w:styleId="29">
    <w:name w:val="表格正文 Char"/>
    <w:link w:val="28"/>
    <w:qFormat/>
    <w:uiPriority w:val="0"/>
    <w:rPr>
      <w:rFonts w:ascii="Times New Roman" w:hAnsi="Times New Roman" w:eastAsia="宋体" w:cs="Times New Roman"/>
      <w:szCs w:val="24"/>
    </w:rPr>
  </w:style>
  <w:style w:type="character" w:customStyle="1" w:styleId="30">
    <w:name w:val="正文缩进 Char"/>
    <w:link w:val="6"/>
    <w:qFormat/>
    <w:uiPriority w:val="0"/>
    <w:rPr>
      <w:rFonts w:ascii="Times New Roman" w:hAnsi="Times New Roman" w:eastAsia="宋体" w:cs="Times New Roman"/>
      <w:szCs w:val="24"/>
      <w:lang w:val="zh-CN" w:eastAsia="zh-CN"/>
    </w:rPr>
  </w:style>
  <w:style w:type="character" w:customStyle="1" w:styleId="31">
    <w:name w:val="正文文本 Char"/>
    <w:basedOn w:val="18"/>
    <w:link w:val="9"/>
    <w:qFormat/>
    <w:uiPriority w:val="0"/>
    <w:rPr>
      <w:rFonts w:ascii="Times New Roman" w:hAnsi="Times New Roman" w:eastAsia="宋体" w:cs="Times New Roman"/>
      <w:szCs w:val="20"/>
      <w:lang w:val="zh-CN" w:eastAsia="zh-CN"/>
    </w:rPr>
  </w:style>
  <w:style w:type="paragraph" w:customStyle="1" w:styleId="32">
    <w:name w:val="正"/>
    <w:basedOn w:val="1"/>
    <w:link w:val="33"/>
    <w:qFormat/>
    <w:uiPriority w:val="0"/>
    <w:rPr>
      <w:lang w:val="zh-CN" w:eastAsia="zh-CN"/>
    </w:rPr>
  </w:style>
  <w:style w:type="character" w:customStyle="1" w:styleId="33">
    <w:name w:val="正 Char"/>
    <w:link w:val="32"/>
    <w:qFormat/>
    <w:uiPriority w:val="0"/>
    <w:rPr>
      <w:rFonts w:ascii="Times New Roman" w:hAnsi="Times New Roman" w:eastAsia="宋体" w:cs="Times New Roman"/>
      <w:sz w:val="24"/>
      <w:szCs w:val="24"/>
      <w:lang w:val="zh-CN" w:eastAsia="zh-CN"/>
    </w:rPr>
  </w:style>
  <w:style w:type="paragraph" w:customStyle="1" w:styleId="34">
    <w:name w:val="表头"/>
    <w:basedOn w:val="1"/>
    <w:qFormat/>
    <w:uiPriority w:val="0"/>
    <w:pPr>
      <w:spacing w:line="360" w:lineRule="auto"/>
      <w:ind w:firstLine="0" w:firstLineChars="0"/>
      <w:jc w:val="center"/>
    </w:pPr>
    <w:rPr>
      <w:rFonts w:ascii="黑体" w:eastAsia="黑体"/>
      <w:szCs w:val="20"/>
    </w:rPr>
  </w:style>
  <w:style w:type="character" w:customStyle="1" w:styleId="35">
    <w:name w:val="批注框文本 Char"/>
    <w:basedOn w:val="18"/>
    <w:link w:val="11"/>
    <w:semiHidden/>
    <w:qFormat/>
    <w:uiPriority w:val="99"/>
    <w:rPr>
      <w:rFonts w:ascii="Times New Roman" w:hAnsi="Times New Roman" w:eastAsia="宋体" w:cs="Times New Roman"/>
      <w:sz w:val="18"/>
      <w:szCs w:val="18"/>
    </w:rPr>
  </w:style>
  <w:style w:type="paragraph" w:customStyle="1" w:styleId="36">
    <w:name w:val="0--表格文字"/>
    <w:basedOn w:val="1"/>
    <w:qFormat/>
    <w:uiPriority w:val="0"/>
    <w:pPr>
      <w:spacing w:line="240" w:lineRule="auto"/>
      <w:ind w:firstLine="0" w:firstLineChars="0"/>
      <w:contextualSpacing/>
      <w:jc w:val="center"/>
    </w:pPr>
    <w:rPr>
      <w:rFonts w:ascii="Calibri" w:hAnsi="Calibri"/>
      <w:bCs/>
      <w:sz w:val="21"/>
    </w:rPr>
  </w:style>
  <w:style w:type="paragraph" w:customStyle="1" w:styleId="37">
    <w:name w:val="表格内容5号"/>
    <w:qFormat/>
    <w:uiPriority w:val="0"/>
    <w:pPr>
      <w:widowControl w:val="0"/>
      <w:snapToGrid w:val="0"/>
      <w:jc w:val="center"/>
    </w:pPr>
    <w:rPr>
      <w:rFonts w:ascii="Times New Roman" w:hAnsi="Times New Roman" w:eastAsia="宋体" w:cs="Times New Roman"/>
      <w:kern w:val="2"/>
      <w:sz w:val="21"/>
      <w:szCs w:val="24"/>
      <w:lang w:val="en-US" w:eastAsia="zh-CN" w:bidi="ar-SA"/>
    </w:rPr>
  </w:style>
  <w:style w:type="character" w:customStyle="1" w:styleId="38">
    <w:name w:val="标题 Char2"/>
    <w:qFormat/>
    <w:uiPriority w:val="10"/>
    <w:rPr>
      <w:rFonts w:ascii="Times New Roman" w:hAnsi="Times New Roman" w:eastAsia="黑体"/>
      <w:bCs/>
      <w:kern w:val="2"/>
      <w:sz w:val="24"/>
      <w:szCs w:val="32"/>
    </w:rPr>
  </w:style>
  <w:style w:type="paragraph" w:customStyle="1" w:styleId="39">
    <w:name w:val="Aaaa正文"/>
    <w:basedOn w:val="1"/>
    <w:qFormat/>
    <w:locked/>
    <w:uiPriority w:val="0"/>
    <w:pPr>
      <w:widowControl/>
      <w:overflowPunct w:val="0"/>
      <w:autoSpaceDE w:val="0"/>
      <w:autoSpaceDN w:val="0"/>
      <w:spacing w:line="360" w:lineRule="auto"/>
      <w:textAlignment w:val="baseline"/>
    </w:pPr>
    <w:rPr>
      <w:kern w:val="0"/>
      <w:sz w:val="21"/>
      <w:lang w:val="zh-CN"/>
    </w:rPr>
  </w:style>
  <w:style w:type="paragraph" w:customStyle="1" w:styleId="40">
    <w:name w:val="Aaaa表格内-C"/>
    <w:basedOn w:val="1"/>
    <w:qFormat/>
    <w:locked/>
    <w:uiPriority w:val="0"/>
    <w:pPr>
      <w:widowControl/>
      <w:adjustRightInd w:val="0"/>
      <w:snapToGrid w:val="0"/>
      <w:spacing w:line="240" w:lineRule="auto"/>
      <w:ind w:firstLine="0" w:firstLineChars="0"/>
      <w:jc w:val="center"/>
    </w:pPr>
    <w:rPr>
      <w:sz w:val="21"/>
      <w:lang w:val="zh-CN"/>
    </w:rPr>
  </w:style>
  <w:style w:type="paragraph" w:customStyle="1" w:styleId="41">
    <w:name w:val="1表格内容"/>
    <w:basedOn w:val="1"/>
    <w:link w:val="42"/>
    <w:qFormat/>
    <w:uiPriority w:val="0"/>
    <w:pPr>
      <w:widowControl/>
      <w:adjustRightInd w:val="0"/>
      <w:snapToGrid w:val="0"/>
      <w:spacing w:line="240" w:lineRule="exact"/>
      <w:ind w:firstLine="0" w:firstLineChars="0"/>
      <w:jc w:val="center"/>
      <w:textAlignment w:val="baseline"/>
    </w:pPr>
    <w:rPr>
      <w:snapToGrid w:val="0"/>
      <w:sz w:val="21"/>
      <w:szCs w:val="28"/>
      <w:lang w:val="zh-CN"/>
    </w:rPr>
  </w:style>
  <w:style w:type="character" w:customStyle="1" w:styleId="42">
    <w:name w:val="1表格内容 Char"/>
    <w:link w:val="41"/>
    <w:qFormat/>
    <w:uiPriority w:val="0"/>
    <w:rPr>
      <w:rFonts w:ascii="Times New Roman" w:hAnsi="Times New Roman" w:eastAsia="宋体" w:cs="Times New Roman"/>
      <w:snapToGrid w:val="0"/>
      <w:szCs w:val="28"/>
      <w:lang w:val="zh-CN"/>
    </w:rPr>
  </w:style>
  <w:style w:type="character" w:customStyle="1" w:styleId="43">
    <w:name w:val="批注文字 Char"/>
    <w:link w:val="8"/>
    <w:qFormat/>
    <w:locked/>
    <w:uiPriority w:val="99"/>
    <w:rPr>
      <w:rFonts w:ascii="Times New Roman" w:hAnsi="Times New Roman" w:eastAsia="宋体"/>
      <w:sz w:val="24"/>
    </w:rPr>
  </w:style>
  <w:style w:type="character" w:customStyle="1" w:styleId="44">
    <w:name w:val="批注文字 Char1"/>
    <w:basedOn w:val="18"/>
    <w:semiHidden/>
    <w:qFormat/>
    <w:uiPriority w:val="99"/>
    <w:rPr>
      <w:rFonts w:ascii="Times New Roman" w:hAnsi="Times New Roman" w:eastAsia="宋体" w:cs="Times New Roman"/>
      <w:sz w:val="24"/>
      <w:szCs w:val="24"/>
    </w:rPr>
  </w:style>
  <w:style w:type="paragraph" w:customStyle="1" w:styleId="45">
    <w:name w:val="样式 表格 32 + 首行缩进:  2 字符"/>
    <w:basedOn w:val="1"/>
    <w:qFormat/>
    <w:uiPriority w:val="0"/>
    <w:pPr>
      <w:autoSpaceDE w:val="0"/>
      <w:autoSpaceDN w:val="0"/>
      <w:adjustRightInd w:val="0"/>
      <w:spacing w:line="0" w:lineRule="atLeast"/>
      <w:ind w:firstLine="0" w:firstLineChars="0"/>
      <w:jc w:val="center"/>
      <w:textAlignment w:val="baseline"/>
    </w:pPr>
    <w:rPr>
      <w:rFonts w:cs="宋体"/>
      <w:sz w:val="21"/>
      <w:szCs w:val="21"/>
    </w:rPr>
  </w:style>
  <w:style w:type="character" w:customStyle="1" w:styleId="46">
    <w:name w:val="表 Char"/>
    <w:link w:val="47"/>
    <w:qFormat/>
    <w:locked/>
    <w:uiPriority w:val="0"/>
    <w:rPr>
      <w:rFonts w:ascii="Arial Unicode MS" w:hAnsi="Arial Unicode MS" w:eastAsia="MingLiU" w:cs="Arial Unicode MS"/>
      <w:sz w:val="24"/>
    </w:rPr>
  </w:style>
  <w:style w:type="paragraph" w:customStyle="1" w:styleId="47">
    <w:name w:val="表"/>
    <w:link w:val="46"/>
    <w:qFormat/>
    <w:uiPriority w:val="0"/>
    <w:pPr>
      <w:spacing w:line="440" w:lineRule="exact"/>
      <w:ind w:firstLine="200" w:firstLineChars="200"/>
      <w:jc w:val="both"/>
    </w:pPr>
    <w:rPr>
      <w:rFonts w:ascii="Arial Unicode MS" w:hAnsi="Arial Unicode MS" w:eastAsia="MingLiU" w:cs="Arial Unicode MS"/>
      <w:kern w:val="2"/>
      <w:sz w:val="24"/>
      <w:szCs w:val="22"/>
      <w:lang w:val="en-US" w:eastAsia="zh-CN" w:bidi="ar-SA"/>
    </w:rPr>
  </w:style>
  <w:style w:type="paragraph" w:styleId="48">
    <w:name w:val="List Paragraph"/>
    <w:basedOn w:val="1"/>
    <w:qFormat/>
    <w:uiPriority w:val="34"/>
    <w:pPr>
      <w:ind w:firstLine="420"/>
    </w:pPr>
  </w:style>
  <w:style w:type="paragraph" w:customStyle="1" w:styleId="49">
    <w:name w:val="表格文字"/>
    <w:basedOn w:val="1"/>
    <w:next w:val="1"/>
    <w:link w:val="51"/>
    <w:qFormat/>
    <w:uiPriority w:val="0"/>
    <w:pPr>
      <w:snapToGrid w:val="0"/>
      <w:spacing w:line="360" w:lineRule="exact"/>
      <w:ind w:firstLine="0" w:firstLineChars="0"/>
      <w:jc w:val="center"/>
    </w:pPr>
    <w:rPr>
      <w:rFonts w:ascii="Microsoft YaHei UI" w:hAnsi="Microsoft YaHei UI" w:eastAsia="MingLiU"/>
      <w:kern w:val="0"/>
      <w:szCs w:val="20"/>
      <w:lang w:val="zh-CN" w:eastAsia="zh-CN"/>
    </w:rPr>
  </w:style>
  <w:style w:type="character" w:customStyle="1" w:styleId="50">
    <w:name w:val="题注 Char"/>
    <w:link w:val="7"/>
    <w:qFormat/>
    <w:uiPriority w:val="0"/>
    <w:rPr>
      <w:rFonts w:ascii="黑体" w:hAnsi="黑体" w:eastAsia="Calibri" w:cs="Times New Roman"/>
      <w:sz w:val="20"/>
      <w:szCs w:val="20"/>
      <w:lang w:val="zh-CN" w:eastAsia="zh-CN"/>
    </w:rPr>
  </w:style>
  <w:style w:type="character" w:customStyle="1" w:styleId="51">
    <w:name w:val="表格文字 Char"/>
    <w:link w:val="49"/>
    <w:qFormat/>
    <w:uiPriority w:val="0"/>
    <w:rPr>
      <w:rFonts w:ascii="Microsoft YaHei UI" w:hAnsi="Microsoft YaHei UI" w:eastAsia="MingLiU" w:cs="Times New Roman"/>
      <w:kern w:val="0"/>
      <w:sz w:val="24"/>
      <w:szCs w:val="20"/>
      <w:lang w:val="zh-CN" w:eastAsia="zh-CN"/>
    </w:rPr>
  </w:style>
  <w:style w:type="character" w:styleId="52">
    <w:name w:val="Placeholder Text"/>
    <w:basedOn w:val="18"/>
    <w:semiHidden/>
    <w:qFormat/>
    <w:uiPriority w:val="99"/>
    <w:rPr>
      <w:color w:val="666666"/>
    </w:rPr>
  </w:style>
  <w:style w:type="paragraph" w:customStyle="1" w:styleId="53">
    <w:name w:val="Other|1"/>
    <w:basedOn w:val="1"/>
    <w:qFormat/>
    <w:uiPriority w:val="0"/>
    <w:pPr>
      <w:spacing w:line="442" w:lineRule="auto"/>
      <w:ind w:firstLine="400" w:firstLineChars="0"/>
    </w:pPr>
    <w:rPr>
      <w:rFonts w:ascii="宋体" w:hAnsi="宋体" w:cs="宋体"/>
      <w:sz w:val="28"/>
      <w:szCs w:val="28"/>
      <w:lang w:val="zh-TW" w:eastAsia="zh-TW" w:bidi="zh-TW"/>
    </w:rPr>
  </w:style>
  <w:style w:type="paragraph" w:customStyle="1" w:styleId="54">
    <w:name w:val="表格文本"/>
    <w:basedOn w:val="1"/>
    <w:link w:val="55"/>
    <w:qFormat/>
    <w:uiPriority w:val="0"/>
    <w:pPr>
      <w:snapToGrid w:val="0"/>
      <w:spacing w:line="240" w:lineRule="auto"/>
      <w:ind w:firstLine="0" w:firstLineChars="0"/>
      <w:jc w:val="center"/>
    </w:pPr>
    <w:rPr>
      <w:snapToGrid w:val="0"/>
      <w:sz w:val="21"/>
      <w:szCs w:val="21"/>
      <w:lang w:val="zh-CN" w:eastAsia="zh-CN"/>
    </w:rPr>
  </w:style>
  <w:style w:type="character" w:customStyle="1" w:styleId="55">
    <w:name w:val="表格文本 Char"/>
    <w:link w:val="54"/>
    <w:qFormat/>
    <w:uiPriority w:val="0"/>
    <w:rPr>
      <w:rFonts w:ascii="Times New Roman" w:hAnsi="Times New Roman" w:eastAsia="宋体" w:cs="Times New Roman"/>
      <w:snapToGrid w:val="0"/>
      <w:szCs w:val="21"/>
      <w:lang w:val="zh-CN" w:eastAsia="zh-CN"/>
    </w:rPr>
  </w:style>
  <w:style w:type="paragraph" w:customStyle="1" w:styleId="56">
    <w:name w:val="1表格"/>
    <w:basedOn w:val="1"/>
    <w:qFormat/>
    <w:uiPriority w:val="0"/>
    <w:pPr>
      <w:snapToGrid w:val="0"/>
      <w:spacing w:line="240" w:lineRule="auto"/>
      <w:ind w:firstLine="0" w:firstLineChars="0"/>
      <w:jc w:val="center"/>
      <w:textAlignment w:val="center"/>
      <w:outlineLvl w:val="4"/>
    </w:pPr>
    <w:rPr>
      <w:color w:val="000000"/>
      <w:spacing w:val="-6"/>
      <w:sz w:val="21"/>
      <w:szCs w:val="18"/>
    </w:rPr>
  </w:style>
  <w:style w:type="character" w:customStyle="1" w:styleId="57">
    <w:name w:val="正文文本缩进 Char"/>
    <w:basedOn w:val="18"/>
    <w:link w:val="10"/>
    <w:semiHidden/>
    <w:qFormat/>
    <w:uiPriority w:val="99"/>
    <w:rPr>
      <w:rFonts w:ascii="Times New Roman" w:hAnsi="Times New Roman" w:eastAsia="宋体" w:cs="Times New Roman"/>
      <w:sz w:val="24"/>
      <w:szCs w:val="24"/>
    </w:rPr>
  </w:style>
  <w:style w:type="character" w:customStyle="1" w:styleId="58">
    <w:name w:val="正文首行缩进 2 Char"/>
    <w:basedOn w:val="57"/>
    <w:link w:val="15"/>
    <w:qFormat/>
    <w:uiPriority w:val="0"/>
    <w:rPr>
      <w:rFonts w:ascii="Times New Roman" w:hAnsi="Times New Roman" w:eastAsia="宋体" w:cs="Times New Roman"/>
      <w:sz w:val="24"/>
      <w:szCs w:val="24"/>
    </w:rPr>
  </w:style>
  <w:style w:type="paragraph" w:customStyle="1" w:styleId="59">
    <w:name w:val="2"/>
    <w:basedOn w:val="1"/>
    <w:next w:val="1"/>
    <w:qFormat/>
    <w:uiPriority w:val="0"/>
    <w:pPr>
      <w:spacing w:line="240" w:lineRule="auto"/>
      <w:ind w:firstLine="0" w:firstLineChars="0"/>
    </w:pPr>
    <w:rPr>
      <w:rFonts w:ascii="Calibri" w:hAnsi="Calibri"/>
      <w:kern w:val="44"/>
      <w:sz w:val="21"/>
      <w:szCs w:val="22"/>
    </w:rPr>
  </w:style>
  <w:style w:type="paragraph" w:customStyle="1" w:styleId="60">
    <w:name w:val="style4"/>
    <w:basedOn w:val="1"/>
    <w:next w:val="59"/>
    <w:qFormat/>
    <w:uiPriority w:val="0"/>
    <w:pPr>
      <w:widowControl/>
      <w:spacing w:before="280" w:after="280" w:line="240" w:lineRule="auto"/>
      <w:ind w:firstLine="0" w:firstLineChars="0"/>
    </w:pPr>
    <w:rPr>
      <w:rFonts w:ascii="宋体" w:hAnsi="Calibri"/>
      <w:sz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5" Type="http://schemas.openxmlformats.org/officeDocument/2006/relationships/fontTable" Target="fontTable.xml"/><Relationship Id="rId44" Type="http://schemas.openxmlformats.org/officeDocument/2006/relationships/customXml" Target="../customXml/item1.xml"/><Relationship Id="rId43" Type="http://schemas.openxmlformats.org/officeDocument/2006/relationships/numbering" Target="numbering.xml"/><Relationship Id="rId42" Type="http://schemas.openxmlformats.org/officeDocument/2006/relationships/image" Target="media/image22.png"/><Relationship Id="rId41" Type="http://schemas.openxmlformats.org/officeDocument/2006/relationships/image" Target="media/image21.png"/><Relationship Id="rId40" Type="http://schemas.openxmlformats.org/officeDocument/2006/relationships/image" Target="media/image20.png"/><Relationship Id="rId4" Type="http://schemas.openxmlformats.org/officeDocument/2006/relationships/endnotes" Target="endnotes.xml"/><Relationship Id="rId39" Type="http://schemas.openxmlformats.org/officeDocument/2006/relationships/image" Target="media/image19.png"/><Relationship Id="rId38" Type="http://schemas.openxmlformats.org/officeDocument/2006/relationships/image" Target="media/image18.png"/><Relationship Id="rId37" Type="http://schemas.openxmlformats.org/officeDocument/2006/relationships/image" Target="media/image17.png"/><Relationship Id="rId36" Type="http://schemas.openxmlformats.org/officeDocument/2006/relationships/image" Target="media/image16.png"/><Relationship Id="rId35" Type="http://schemas.openxmlformats.org/officeDocument/2006/relationships/image" Target="media/image15.png"/><Relationship Id="rId34" Type="http://schemas.openxmlformats.org/officeDocument/2006/relationships/image" Target="media/image14.png"/><Relationship Id="rId33" Type="http://schemas.openxmlformats.org/officeDocument/2006/relationships/image" Target="media/image13.png"/><Relationship Id="rId32" Type="http://schemas.openxmlformats.org/officeDocument/2006/relationships/image" Target="media/image12.png"/><Relationship Id="rId31" Type="http://schemas.openxmlformats.org/officeDocument/2006/relationships/image" Target="media/image11.jpeg"/><Relationship Id="rId30" Type="http://schemas.openxmlformats.org/officeDocument/2006/relationships/image" Target="media/image10.png"/><Relationship Id="rId3" Type="http://schemas.openxmlformats.org/officeDocument/2006/relationships/footnotes" Target="footnotes.xml"/><Relationship Id="rId29" Type="http://schemas.openxmlformats.org/officeDocument/2006/relationships/image" Target="media/image9.wmf"/><Relationship Id="rId28" Type="http://schemas.openxmlformats.org/officeDocument/2006/relationships/oleObject" Target="embeddings/oleObject7.bin"/><Relationship Id="rId27" Type="http://schemas.openxmlformats.org/officeDocument/2006/relationships/image" Target="media/image8.wmf"/><Relationship Id="rId26" Type="http://schemas.openxmlformats.org/officeDocument/2006/relationships/oleObject" Target="embeddings/oleObject6.bin"/><Relationship Id="rId25" Type="http://schemas.openxmlformats.org/officeDocument/2006/relationships/image" Target="media/image7.wmf"/><Relationship Id="rId24" Type="http://schemas.openxmlformats.org/officeDocument/2006/relationships/oleObject" Target="embeddings/oleObject5.bin"/><Relationship Id="rId23" Type="http://schemas.openxmlformats.org/officeDocument/2006/relationships/image" Target="media/image6.wmf"/><Relationship Id="rId22" Type="http://schemas.openxmlformats.org/officeDocument/2006/relationships/oleObject" Target="embeddings/oleObject4.bin"/><Relationship Id="rId21" Type="http://schemas.openxmlformats.org/officeDocument/2006/relationships/image" Target="media/image5.wmf"/><Relationship Id="rId20" Type="http://schemas.openxmlformats.org/officeDocument/2006/relationships/oleObject" Target="embeddings/oleObject3.bin"/><Relationship Id="rId2" Type="http://schemas.openxmlformats.org/officeDocument/2006/relationships/settings" Target="settings.xml"/><Relationship Id="rId19" Type="http://schemas.openxmlformats.org/officeDocument/2006/relationships/image" Target="media/image4.emf"/><Relationship Id="rId18" Type="http://schemas.openxmlformats.org/officeDocument/2006/relationships/oleObject" Target="embeddings/oleObject2.bin"/><Relationship Id="rId17" Type="http://schemas.openxmlformats.org/officeDocument/2006/relationships/image" Target="media/image3.emf"/><Relationship Id="rId16" Type="http://schemas.openxmlformats.org/officeDocument/2006/relationships/oleObject" Target="embeddings/oleObject1.bin"/><Relationship Id="rId15" Type="http://schemas.openxmlformats.org/officeDocument/2006/relationships/image" Target="media/image2.jpeg"/><Relationship Id="rId14" Type="http://schemas.openxmlformats.org/officeDocument/2006/relationships/image" Target="media/image1.jpeg"/><Relationship Id="rId13" Type="http://schemas.openxmlformats.org/officeDocument/2006/relationships/theme" Target="theme/theme1.xml"/><Relationship Id="rId12" Type="http://schemas.openxmlformats.org/officeDocument/2006/relationships/footer" Target="footer5.xml"/><Relationship Id="rId11" Type="http://schemas.openxmlformats.org/officeDocument/2006/relationships/footer" Target="footer4.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8AA881-EB28-4D90-9D0A-10AD922DFB13}">
  <ds:schemaRefs/>
</ds:datastoreItem>
</file>

<file path=docProps/app.xml><?xml version="1.0" encoding="utf-8"?>
<Properties xmlns="http://schemas.openxmlformats.org/officeDocument/2006/extended-properties" xmlns:vt="http://schemas.openxmlformats.org/officeDocument/2006/docPropsVTypes">
  <Template>Normal.dotm</Template>
  <Company>china</Company>
  <Pages>81</Pages>
  <Words>53376</Words>
  <Characters>61420</Characters>
  <Lines>480</Lines>
  <Paragraphs>135</Paragraphs>
  <TotalTime>1</TotalTime>
  <ScaleCrop>false</ScaleCrop>
  <LinksUpToDate>false</LinksUpToDate>
  <CharactersWithSpaces>61795</CharactersWithSpaces>
  <Application>WPS Office_11.8.2.12287_F1E327BC-269C-435d-A152-05C5408002CA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2024-07-28T13:54:00Z</dcterms:created>
  <dc:creator>china</dc:creator>
  <cp:lastModifiedBy>ff8080815fae1ec2015fb3382cfa094c</cp:lastModifiedBy>
  <cp:lastPrinted>2025-02-26T07:11:00Z</cp:lastPrinted>
  <dcterms:modified xsi:type="dcterms:W3CDTF">2025-05-07T03:03:31Z</dcterms:modified>
  <cp:revision>4573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2052-11.8.2.12287</vt:lpwstr>
  </property>
  <property fmtid="{D5CDD505-2E9C-101B-9397-08002B2CF9AE}" pid="3" name="ICV">
    <vt:lpwstr>FA014FF6E65A48BD9A15F3E6D8E3F16E</vt:lpwstr>
  </property>
</Properties>
</file>