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43BD7">
      <w:pPr>
        <w:rPr>
          <w:rFonts w:hint="eastAsia"/>
          <w:lang w:val="en-US" w:eastAsia="zh-CN"/>
        </w:rPr>
      </w:pPr>
      <w:r>
        <w:rPr>
          <w:rFonts w:hint="eastAsia"/>
        </w:rPr>
        <w:t>奥星衡迅思净生命科技（河北）有限公司消毒剂工厂项目（一期）</w:t>
      </w:r>
      <w:r>
        <w:rPr>
          <w:rFonts w:hint="eastAsia"/>
          <w:lang w:val="en-US" w:eastAsia="zh-CN"/>
        </w:rPr>
        <w:t>基本情况</w:t>
      </w:r>
    </w:p>
    <w:p w14:paraId="0347DBB3">
      <w:pPr>
        <w:rPr>
          <w:rFonts w:hint="eastAsia"/>
          <w:lang w:val="en-US" w:eastAsia="zh-CN"/>
        </w:rPr>
      </w:pPr>
    </w:p>
    <w:p w14:paraId="59357EB9">
      <w:pPr>
        <w:adjustRightInd w:val="0"/>
        <w:snapToGrid w:val="0"/>
        <w:spacing w:line="480" w:lineRule="exact"/>
        <w:ind w:firstLine="480" w:firstLineChars="200"/>
        <w:rPr>
          <w:sz w:val="24"/>
        </w:rPr>
      </w:pPr>
      <w:r>
        <w:rPr>
          <w:rFonts w:hint="eastAsia"/>
          <w:sz w:val="24"/>
        </w:rPr>
        <w:t>1、项目由来</w:t>
      </w:r>
    </w:p>
    <w:p w14:paraId="744B6375">
      <w:pPr>
        <w:adjustRightInd w:val="0"/>
        <w:snapToGrid w:val="0"/>
        <w:spacing w:line="480" w:lineRule="exact"/>
        <w:ind w:firstLine="480" w:firstLineChars="200"/>
        <w:rPr>
          <w:sz w:val="24"/>
        </w:rPr>
      </w:pPr>
      <w:r>
        <w:rPr>
          <w:rFonts w:hint="eastAsia"/>
          <w:sz w:val="24"/>
        </w:rPr>
        <w:t>近年来，随着我国医药制造行业的高速发展，以及国际医药制造管理的不断完善，为了保证无菌制药的产品质量，我国监管机构对无菌制药的生产环境及生产设备消毒要求越来越严格和规范。广谱灭菌效力，化学稳定性，及对产品的残留污染影响成为选择医药制造消毒剂的选择关键条件。奥星集团代理的美国STERIS公司消毒剂类产品目前覆盖的销售企业800多家，可以实现3亿元/年的销售额，适用于全国医药制造工厂在GMP规范要求下，对制药工艺过程中微生物污染，工艺残留，颗粒物污染及交叉污染的有效控制，降低无菌生产过程污染风险的基础保证。多年以来，获得监管机构和行业内的一致认可和推荐。</w:t>
      </w:r>
    </w:p>
    <w:p w14:paraId="0B33810F">
      <w:pPr>
        <w:adjustRightInd w:val="0"/>
        <w:snapToGrid w:val="0"/>
        <w:spacing w:line="480" w:lineRule="exact"/>
        <w:ind w:firstLine="480" w:firstLineChars="200"/>
        <w:rPr>
          <w:sz w:val="24"/>
        </w:rPr>
      </w:pPr>
      <w:r>
        <w:rPr>
          <w:rFonts w:hint="eastAsia"/>
          <w:sz w:val="24"/>
        </w:rPr>
        <w:t>公司在数年的发展过程中，始终以“过硬的产品质量、优质的技术服务”为经营准则，公司的产品特别是过氧化氢消毒剂，NPD及DDAC消毒剂，因其良好的功效，长期处于供不应求的局面。</w:t>
      </w:r>
    </w:p>
    <w:p w14:paraId="51EAD22C">
      <w:pPr>
        <w:adjustRightInd w:val="0"/>
        <w:snapToGrid w:val="0"/>
        <w:spacing w:line="480" w:lineRule="exact"/>
        <w:ind w:firstLine="480" w:firstLineChars="200"/>
        <w:rPr>
          <w:sz w:val="24"/>
        </w:rPr>
      </w:pPr>
      <w:r>
        <w:rPr>
          <w:rFonts w:hint="eastAsia"/>
          <w:sz w:val="24"/>
        </w:rPr>
        <w:t>新冠疫情封控解除后，随着全球经济形势的下行，物流运输等行业费用的飙升，过去从美国直接进口消毒剂国内分销的模式已经不再适合现有的国内市场。</w:t>
      </w:r>
    </w:p>
    <w:p w14:paraId="388DC4E4">
      <w:pPr>
        <w:adjustRightInd w:val="0"/>
        <w:snapToGrid w:val="0"/>
        <w:spacing w:line="480" w:lineRule="exact"/>
        <w:ind w:firstLine="480" w:firstLineChars="200"/>
        <w:rPr>
          <w:sz w:val="24"/>
        </w:rPr>
      </w:pPr>
      <w:r>
        <w:rPr>
          <w:rFonts w:hint="eastAsia"/>
          <w:sz w:val="24"/>
        </w:rPr>
        <w:t>基于此背景下，奥星集团决定利用现有专业营销团队以及美国STERIS公司的消毒类产品在市场行业领先的影响力，对美国STERIS公司行业领先的消毒剂类产品进行本土化生产。</w:t>
      </w:r>
    </w:p>
    <w:p w14:paraId="31C72FAD">
      <w:pPr>
        <w:adjustRightInd w:val="0"/>
        <w:snapToGrid w:val="0"/>
        <w:spacing w:line="480" w:lineRule="exact"/>
        <w:ind w:firstLine="480" w:firstLineChars="200"/>
        <w:rPr>
          <w:sz w:val="24"/>
        </w:rPr>
      </w:pPr>
      <w:r>
        <w:rPr>
          <w:rFonts w:hint="eastAsia"/>
          <w:sz w:val="24"/>
        </w:rPr>
        <w:t>本土化生产后，各类消毒剂原料及包装材料将进行国内采购，国内分装，依托国内庞大优质的原材料供应基础，可以在保证产品品质不变的前提下，大幅降低产品成本。此外，借助奥星集团的技术优势，对生产过程的设备控制，过滤控制，混合工艺进行技术优化，可以保障产品的质量，继续保持产品的行业领先的市场优势。公司现有的产品不仅有着很好的市场，而且还常常出现供不应求的局面，所以建设本项目是非常重要的，是企业发展的必然。</w:t>
      </w:r>
    </w:p>
    <w:p w14:paraId="417CD950">
      <w:pPr>
        <w:adjustRightInd w:val="0"/>
        <w:snapToGrid w:val="0"/>
        <w:spacing w:line="480" w:lineRule="exact"/>
        <w:ind w:firstLine="480" w:firstLineChars="200"/>
        <w:rPr>
          <w:sz w:val="24"/>
        </w:rPr>
      </w:pPr>
      <w:r>
        <w:rPr>
          <w:rFonts w:hint="eastAsia"/>
          <w:sz w:val="24"/>
        </w:rPr>
        <w:t>结合区域市场优势，本项目产品主要用户为周边医药制造企业，用于冲洗反应釜、管道、灌装线等设备。</w:t>
      </w:r>
    </w:p>
    <w:p w14:paraId="2906C5F4">
      <w:pPr>
        <w:adjustRightInd w:val="0"/>
        <w:snapToGrid w:val="0"/>
        <w:spacing w:line="480" w:lineRule="exact"/>
        <w:ind w:firstLine="480" w:firstLineChars="200"/>
        <w:rPr>
          <w:rFonts w:hint="eastAsia"/>
          <w:sz w:val="24"/>
          <w:lang w:val="en-US" w:eastAsia="zh-CN"/>
        </w:rPr>
      </w:pPr>
      <w:r>
        <w:rPr>
          <w:rFonts w:hint="eastAsia"/>
          <w:sz w:val="24"/>
          <w:lang w:val="en-US" w:eastAsia="zh-CN"/>
        </w:rPr>
        <w:t>2、地理位置及周边关系</w:t>
      </w:r>
    </w:p>
    <w:p w14:paraId="6AD6E72C">
      <w:pPr>
        <w:numPr>
          <w:ilvl w:val="-1"/>
          <w:numId w:val="0"/>
        </w:numPr>
        <w:adjustRightInd w:val="0"/>
        <w:snapToGrid w:val="0"/>
        <w:spacing w:line="480" w:lineRule="exact"/>
        <w:ind w:firstLine="480" w:firstLineChars="200"/>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本项目拟在河北省石家庄市高新区循环化工园区建设，地理坐标为</w:t>
      </w:r>
      <w:r>
        <w:rPr>
          <w:rFonts w:hint="eastAsia" w:ascii="Times New Roman" w:hAnsi="Times New Roman" w:cs="Times New Roman"/>
          <w:sz w:val="24"/>
        </w:rPr>
        <w:t>东经</w:t>
      </w:r>
      <w:r>
        <w:rPr>
          <w:rFonts w:hint="eastAsia" w:ascii="Times New Roman" w:hAnsi="Times New Roman" w:cs="Times New Roman"/>
          <w:sz w:val="24"/>
          <w:u w:val="none"/>
        </w:rPr>
        <w:t>114</w:t>
      </w:r>
      <w:r>
        <w:rPr>
          <w:rFonts w:hint="eastAsia" w:ascii="Times New Roman" w:hAnsi="Times New Roman" w:cs="Times New Roman"/>
          <w:sz w:val="24"/>
          <w:lang w:val="en-US" w:eastAsia="zh-CN"/>
        </w:rPr>
        <w:t>°</w:t>
      </w:r>
      <w:r>
        <w:rPr>
          <w:rFonts w:hint="eastAsia" w:ascii="Times New Roman" w:hAnsi="Times New Roman" w:cs="Times New Roman"/>
          <w:sz w:val="24"/>
          <w:u w:val="none"/>
        </w:rPr>
        <w:t>42</w:t>
      </w:r>
      <w:r>
        <w:rPr>
          <w:rFonts w:hint="eastAsia" w:ascii="Times New Roman" w:hAnsi="Times New Roman" w:cs="Times New Roman"/>
          <w:sz w:val="24"/>
          <w:lang w:val="en-US" w:eastAsia="zh-CN"/>
        </w:rPr>
        <w:t>′</w:t>
      </w:r>
      <w:r>
        <w:rPr>
          <w:rFonts w:hint="eastAsia" w:ascii="Times New Roman" w:hAnsi="Times New Roman" w:cs="Times New Roman"/>
          <w:sz w:val="24"/>
          <w:u w:val="none"/>
        </w:rPr>
        <w:t>4.492</w:t>
      </w:r>
      <w:r>
        <w:rPr>
          <w:rFonts w:hint="eastAsia" w:ascii="Times New Roman" w:hAnsi="Times New Roman" w:cs="Times New Roman"/>
          <w:sz w:val="24"/>
          <w:lang w:val="en-US" w:eastAsia="zh-CN"/>
        </w:rPr>
        <w:t>″</w:t>
      </w:r>
      <w:r>
        <w:rPr>
          <w:rFonts w:hint="eastAsia" w:ascii="Times New Roman" w:hAnsi="Times New Roman" w:cs="Times New Roman"/>
          <w:sz w:val="24"/>
        </w:rPr>
        <w:t>，北纬</w:t>
      </w:r>
      <w:r>
        <w:rPr>
          <w:rFonts w:hint="eastAsia" w:ascii="Times New Roman" w:hAnsi="Times New Roman" w:cs="Times New Roman"/>
          <w:sz w:val="24"/>
          <w:u w:val="none"/>
        </w:rPr>
        <w:t>37</w:t>
      </w:r>
      <w:r>
        <w:rPr>
          <w:rFonts w:hint="eastAsia" w:ascii="Times New Roman" w:hAnsi="Times New Roman" w:cs="Times New Roman"/>
          <w:sz w:val="24"/>
          <w:lang w:val="en-US" w:eastAsia="zh-CN"/>
        </w:rPr>
        <w:t>°</w:t>
      </w:r>
      <w:r>
        <w:rPr>
          <w:rFonts w:hint="eastAsia" w:ascii="Times New Roman" w:hAnsi="Times New Roman" w:cs="Times New Roman"/>
          <w:sz w:val="24"/>
          <w:u w:val="none"/>
        </w:rPr>
        <w:t>58</w:t>
      </w:r>
      <w:r>
        <w:rPr>
          <w:rFonts w:hint="eastAsia" w:ascii="Times New Roman" w:hAnsi="Times New Roman" w:cs="Times New Roman"/>
          <w:sz w:val="24"/>
          <w:lang w:val="en-US" w:eastAsia="zh-CN"/>
        </w:rPr>
        <w:t>′</w:t>
      </w:r>
      <w:r>
        <w:rPr>
          <w:rFonts w:hint="eastAsia" w:ascii="Times New Roman" w:hAnsi="Times New Roman" w:cs="Times New Roman"/>
          <w:sz w:val="24"/>
          <w:u w:val="none"/>
        </w:rPr>
        <w:t>19.838</w:t>
      </w:r>
      <w:r>
        <w:rPr>
          <w:rFonts w:hint="eastAsia" w:ascii="Times New Roman" w:hAnsi="Times New Roman" w:cs="Times New Roman"/>
          <w:sz w:val="24"/>
          <w:lang w:val="en-US" w:eastAsia="zh-CN"/>
        </w:rPr>
        <w:t>″。厂址西侧为石家庄新奥环保科技有限公司，东侧为亚士创能科技（石家庄）有限公司，北侧和南侧均为空地。</w:t>
      </w:r>
    </w:p>
    <w:p w14:paraId="6DA9A741">
      <w:pPr>
        <w:adjustRightInd w:val="0"/>
        <w:snapToGrid w:val="0"/>
        <w:spacing w:line="480" w:lineRule="exact"/>
        <w:ind w:firstLine="480" w:firstLineChars="200"/>
        <w:rPr>
          <w:sz w:val="24"/>
        </w:rPr>
      </w:pPr>
      <w:r>
        <w:rPr>
          <w:rFonts w:hint="eastAsia"/>
          <w:sz w:val="24"/>
          <w:lang w:val="en-US" w:eastAsia="zh-CN"/>
        </w:rPr>
        <w:t>3、</w:t>
      </w:r>
      <w:r>
        <w:rPr>
          <w:rFonts w:hint="eastAsia"/>
          <w:sz w:val="24"/>
        </w:rPr>
        <w:t>主要工程内容</w:t>
      </w:r>
    </w:p>
    <w:p w14:paraId="4C706C42">
      <w:pPr>
        <w:adjustRightInd w:val="0"/>
        <w:snapToGrid w:val="0"/>
        <w:spacing w:line="480" w:lineRule="exact"/>
        <w:ind w:firstLine="480" w:firstLineChars="200"/>
        <w:rPr>
          <w:rFonts w:hint="eastAsia"/>
          <w:sz w:val="24"/>
          <w:highlight w:val="none"/>
        </w:rPr>
      </w:pPr>
      <w:r>
        <w:rPr>
          <w:rFonts w:hint="eastAsia"/>
          <w:sz w:val="24"/>
          <w:highlight w:val="none"/>
        </w:rPr>
        <w:t>本项目为新建项目，总占地13151.83m</w:t>
      </w:r>
      <w:r>
        <w:rPr>
          <w:rFonts w:hint="eastAsia"/>
          <w:sz w:val="24"/>
          <w:highlight w:val="none"/>
          <w:vertAlign w:val="superscript"/>
        </w:rPr>
        <w:t>2</w:t>
      </w:r>
      <w:r>
        <w:rPr>
          <w:rFonts w:hint="eastAsia"/>
          <w:sz w:val="24"/>
          <w:highlight w:val="none"/>
        </w:rPr>
        <w:t>（约19.73亩）。项目分为两期建设。其中</w:t>
      </w:r>
      <w:r>
        <w:rPr>
          <w:rFonts w:hint="eastAsia"/>
          <w:sz w:val="24"/>
          <w:highlight w:val="none"/>
          <w:lang w:val="en-US" w:eastAsia="zh-CN"/>
        </w:rPr>
        <w:t>一期主要建设甲类厂房1座（约1800m</w:t>
      </w:r>
      <w:r>
        <w:rPr>
          <w:rFonts w:hint="eastAsia"/>
          <w:sz w:val="24"/>
          <w:highlight w:val="none"/>
          <w:vertAlign w:val="superscript"/>
          <w:lang w:val="en-US" w:eastAsia="zh-CN"/>
        </w:rPr>
        <w:t>2</w:t>
      </w:r>
      <w:r>
        <w:rPr>
          <w:rFonts w:hint="eastAsia"/>
          <w:sz w:val="24"/>
          <w:highlight w:val="none"/>
          <w:lang w:val="en-US" w:eastAsia="zh-CN"/>
        </w:rPr>
        <w:t>），甲类库房1座（约600m</w:t>
      </w:r>
      <w:r>
        <w:rPr>
          <w:rFonts w:hint="eastAsia"/>
          <w:sz w:val="24"/>
          <w:highlight w:val="none"/>
          <w:vertAlign w:val="superscript"/>
          <w:lang w:val="en-US" w:eastAsia="zh-CN"/>
        </w:rPr>
        <w:t>2</w:t>
      </w:r>
      <w:r>
        <w:rPr>
          <w:rFonts w:hint="eastAsia"/>
          <w:sz w:val="24"/>
          <w:highlight w:val="none"/>
          <w:lang w:val="en-US" w:eastAsia="zh-CN"/>
        </w:rPr>
        <w:t>），质检楼1座（约2300m</w:t>
      </w:r>
      <w:r>
        <w:rPr>
          <w:rFonts w:hint="eastAsia"/>
          <w:sz w:val="24"/>
          <w:highlight w:val="none"/>
          <w:vertAlign w:val="superscript"/>
          <w:lang w:val="en-US" w:eastAsia="zh-CN"/>
        </w:rPr>
        <w:t>2</w:t>
      </w:r>
      <w:r>
        <w:rPr>
          <w:rFonts w:hint="eastAsia"/>
          <w:sz w:val="24"/>
          <w:highlight w:val="none"/>
          <w:lang w:val="en-US" w:eastAsia="zh-CN"/>
        </w:rPr>
        <w:t>），丙类库房1座（约820m</w:t>
      </w:r>
      <w:r>
        <w:rPr>
          <w:rFonts w:hint="eastAsia"/>
          <w:sz w:val="24"/>
          <w:highlight w:val="none"/>
          <w:vertAlign w:val="superscript"/>
          <w:lang w:val="en-US" w:eastAsia="zh-CN"/>
        </w:rPr>
        <w:t>2</w:t>
      </w:r>
      <w:r>
        <w:rPr>
          <w:rFonts w:hint="eastAsia"/>
          <w:sz w:val="24"/>
          <w:highlight w:val="none"/>
          <w:lang w:val="en-US" w:eastAsia="zh-CN"/>
        </w:rPr>
        <w:t>），动力车间1座（300m</w:t>
      </w:r>
      <w:r>
        <w:rPr>
          <w:rFonts w:hint="eastAsia"/>
          <w:sz w:val="24"/>
          <w:highlight w:val="none"/>
          <w:vertAlign w:val="superscript"/>
          <w:lang w:val="en-US" w:eastAsia="zh-CN"/>
        </w:rPr>
        <w:t>2</w:t>
      </w:r>
      <w:r>
        <w:rPr>
          <w:rFonts w:hint="eastAsia"/>
          <w:sz w:val="24"/>
          <w:highlight w:val="none"/>
          <w:lang w:val="en-US" w:eastAsia="zh-CN"/>
        </w:rPr>
        <w:t>）及其他配套建筑，建设一条无菌灌装线，一条非无菌灌装线。年产70%异丙醇消毒剂3000吨，75%乙醇消毒剂3000吨，杀孢子剂3780吨，季铵盐消毒剂1050吨，碱性清洁剂1700吨，酸性清洁剂1700吨，中性清洁剂1000吨，70%异丙醇预浸抹布750万片，75%乙醇预浸抹布750万片，杀孢子剂预浸抹布100万片，季铵盐消毒剂预浸抹布100万片；二期主要建设非无菌灌装线一条，年产碱性清洁剂300吨，酸性清洁剂300吨，中性清洁剂1000吨，年产杀孢子剂预浸抹布200万片，年产季铵盐消毒剂预浸抹布200万片。</w:t>
      </w:r>
    </w:p>
    <w:p w14:paraId="647CBFBB">
      <w:pPr>
        <w:rPr>
          <w:rFonts w:hint="eastAsia"/>
          <w:sz w:val="24"/>
        </w:rPr>
      </w:pPr>
      <w:r>
        <w:rPr>
          <w:rFonts w:hint="eastAsia"/>
          <w:sz w:val="24"/>
        </w:rPr>
        <w:t>本项目现只对一期进行评价，二期另行评价。</w:t>
      </w:r>
    </w:p>
    <w:p w14:paraId="5A71B531">
      <w:pPr>
        <w:adjustRightInd w:val="0"/>
        <w:snapToGrid w:val="0"/>
        <w:spacing w:line="360" w:lineRule="auto"/>
        <w:ind w:firstLine="480" w:firstLineChars="200"/>
        <w:rPr>
          <w:bCs/>
          <w:sz w:val="24"/>
        </w:rPr>
      </w:pPr>
      <w:r>
        <w:rPr>
          <w:rFonts w:hint="eastAsia"/>
          <w:bCs/>
          <w:sz w:val="24"/>
          <w:lang w:val="en-US" w:eastAsia="zh-CN"/>
        </w:rPr>
        <w:t>4</w:t>
      </w:r>
      <w:r>
        <w:rPr>
          <w:rFonts w:hint="eastAsia"/>
          <w:bCs/>
          <w:sz w:val="24"/>
        </w:rPr>
        <w:t>、厂区平面布置</w:t>
      </w:r>
    </w:p>
    <w:p w14:paraId="6D1B48A2">
      <w:pPr>
        <w:rPr>
          <w:rFonts w:hint="eastAsia"/>
          <w:bCs/>
          <w:sz w:val="24"/>
        </w:rPr>
      </w:pPr>
      <w:r>
        <w:rPr>
          <w:rFonts w:hint="eastAsia"/>
          <w:bCs/>
          <w:sz w:val="24"/>
        </w:rPr>
        <w:t>总平面布置：整个厂区总体考虑大致分为五大功能区：厂前区、公用</w:t>
      </w:r>
      <w:r>
        <w:rPr>
          <w:rFonts w:hint="eastAsia"/>
          <w:bCs/>
          <w:sz w:val="24"/>
          <w:lang w:val="en-US" w:eastAsia="zh-CN"/>
        </w:rPr>
        <w:t>工程</w:t>
      </w:r>
      <w:r>
        <w:rPr>
          <w:rFonts w:hint="eastAsia"/>
          <w:bCs/>
          <w:sz w:val="24"/>
        </w:rPr>
        <w:t>区、储运区、生产区及预留区。本次建设内容包括：生产区为甲类厂房，布置在厂区南侧。厂前区主要包括质检楼，布置在厂区西侧，靠近厂外道路，便于工作人员进出。公用工程区主要包括消防水池、事故水池、污水处理系统等，其中消防水池布置在质检楼西侧，事故水池布置在甲</w:t>
      </w:r>
      <w:r>
        <w:rPr>
          <w:rFonts w:hint="eastAsia"/>
          <w:bCs/>
          <w:sz w:val="24"/>
          <w:highlight w:val="none"/>
        </w:rPr>
        <w:t>类厂房东侧，污水处理系统布置在甲类厂房南侧。储运区主要包括甲类库房、丙类库房</w:t>
      </w:r>
      <w:r>
        <w:rPr>
          <w:rFonts w:hint="eastAsia"/>
          <w:bCs/>
          <w:sz w:val="24"/>
          <w:highlight w:val="none"/>
          <w:lang w:eastAsia="zh-CN"/>
        </w:rPr>
        <w:t>、</w:t>
      </w:r>
      <w:r>
        <w:rPr>
          <w:rFonts w:hint="eastAsia"/>
          <w:bCs/>
          <w:sz w:val="24"/>
          <w:highlight w:val="none"/>
          <w:lang w:val="en-US" w:eastAsia="zh-CN"/>
        </w:rPr>
        <w:t>动力车间、丙类车间</w:t>
      </w:r>
      <w:r>
        <w:rPr>
          <w:rFonts w:hint="eastAsia"/>
          <w:bCs/>
          <w:sz w:val="24"/>
          <w:highlight w:val="none"/>
        </w:rPr>
        <w:t>和液体罐区，其中甲类库房布置在甲类厂房东侧，丙类库房布置在甲类厂房北侧，</w:t>
      </w:r>
      <w:r>
        <w:rPr>
          <w:rFonts w:hint="eastAsia"/>
          <w:bCs/>
          <w:sz w:val="24"/>
          <w:highlight w:val="none"/>
          <w:lang w:val="en-US" w:eastAsia="zh-CN"/>
        </w:rPr>
        <w:t>动力车间布置在甲类厂房北侧，丙类车间布置在甲类厂房西侧，</w:t>
      </w:r>
      <w:r>
        <w:rPr>
          <w:rFonts w:hint="eastAsia"/>
          <w:bCs/>
          <w:sz w:val="24"/>
          <w:highlight w:val="none"/>
        </w:rPr>
        <w:t>液体罐区布置在厂区东北侧，靠近物流出入口，便</w:t>
      </w:r>
      <w:r>
        <w:rPr>
          <w:rFonts w:hint="eastAsia"/>
          <w:bCs/>
          <w:sz w:val="24"/>
        </w:rPr>
        <w:t>于运输。</w:t>
      </w:r>
    </w:p>
    <w:p w14:paraId="7D13DC2C">
      <w:pPr>
        <w:spacing w:line="360" w:lineRule="auto"/>
        <w:ind w:firstLine="480" w:firstLineChars="200"/>
        <w:rPr>
          <w:sz w:val="24"/>
        </w:rPr>
      </w:pPr>
      <w:r>
        <w:rPr>
          <w:rFonts w:hint="eastAsia"/>
          <w:sz w:val="24"/>
        </w:rPr>
        <w:t>公用工程</w:t>
      </w:r>
    </w:p>
    <w:p w14:paraId="7DF28B14">
      <w:pPr>
        <w:spacing w:line="360" w:lineRule="auto"/>
        <w:ind w:firstLine="480" w:firstLineChars="200"/>
        <w:rPr>
          <w:sz w:val="24"/>
        </w:rPr>
      </w:pPr>
      <w:r>
        <w:rPr>
          <w:rFonts w:hint="eastAsia"/>
          <w:sz w:val="24"/>
        </w:rPr>
        <w:t>（1）给水</w:t>
      </w:r>
    </w:p>
    <w:p w14:paraId="5CCE6B49">
      <w:pPr>
        <w:spacing w:line="360" w:lineRule="auto"/>
        <w:ind w:firstLine="480" w:firstLineChars="200"/>
        <w:rPr>
          <w:sz w:val="24"/>
        </w:rPr>
      </w:pPr>
      <w:r>
        <w:rPr>
          <w:rFonts w:hint="eastAsia"/>
          <w:bCs/>
          <w:sz w:val="24"/>
        </w:rPr>
        <w:t>项目生产生活用水由市政自来水供给，本项目车间冲洗水用水量为0.9</w:t>
      </w:r>
      <w:r>
        <w:rPr>
          <w:sz w:val="24"/>
        </w:rPr>
        <w:t>m</w:t>
      </w:r>
      <w:r>
        <w:rPr>
          <w:sz w:val="24"/>
          <w:vertAlign w:val="superscript"/>
        </w:rPr>
        <w:t>3</w:t>
      </w:r>
      <w:r>
        <w:rPr>
          <w:sz w:val="24"/>
        </w:rPr>
        <w:t>/</w:t>
      </w:r>
      <w:r>
        <w:rPr>
          <w:rFonts w:hint="eastAsia"/>
          <w:sz w:val="24"/>
        </w:rPr>
        <w:t>d，喷淋塔循环过程新鲜水补水量为21.6</w:t>
      </w:r>
      <w:r>
        <w:rPr>
          <w:sz w:val="24"/>
        </w:rPr>
        <w:t>m</w:t>
      </w:r>
      <w:r>
        <w:rPr>
          <w:sz w:val="24"/>
          <w:vertAlign w:val="superscript"/>
        </w:rPr>
        <w:t>3</w:t>
      </w:r>
      <w:r>
        <w:rPr>
          <w:sz w:val="24"/>
        </w:rPr>
        <w:t>/</w:t>
      </w:r>
      <w:r>
        <w:rPr>
          <w:rFonts w:hint="eastAsia"/>
          <w:sz w:val="24"/>
        </w:rPr>
        <w:t>d（</w:t>
      </w:r>
      <w:bookmarkStart w:id="0" w:name="OLE_LINK17"/>
      <w:r>
        <w:rPr>
          <w:rFonts w:hint="eastAsia"/>
          <w:sz w:val="24"/>
        </w:rPr>
        <w:t>碱喷淋气液比按4</w:t>
      </w:r>
      <w:r>
        <w:rPr>
          <w:sz w:val="24"/>
        </w:rPr>
        <w:t>L/m³</w:t>
      </w:r>
      <w:r>
        <w:rPr>
          <w:rFonts w:hint="eastAsia"/>
          <w:sz w:val="24"/>
        </w:rPr>
        <w:t>设计</w:t>
      </w:r>
      <w:bookmarkEnd w:id="0"/>
      <w:r>
        <w:rPr>
          <w:sz w:val="24"/>
        </w:rPr>
        <w:t>，</w:t>
      </w:r>
      <w:r>
        <w:rPr>
          <w:rFonts w:hint="eastAsia"/>
          <w:sz w:val="24"/>
        </w:rPr>
        <w:t>水喷淋气液比按8</w:t>
      </w:r>
      <w:r>
        <w:rPr>
          <w:sz w:val="24"/>
        </w:rPr>
        <w:t>L/m³</w:t>
      </w:r>
      <w:r>
        <w:rPr>
          <w:rFonts w:hint="eastAsia"/>
          <w:sz w:val="24"/>
        </w:rPr>
        <w:t>设计），纯水制备机新鲜水用量为15.87</w:t>
      </w:r>
      <w:r>
        <w:rPr>
          <w:sz w:val="24"/>
        </w:rPr>
        <w:t>m</w:t>
      </w:r>
      <w:r>
        <w:rPr>
          <w:sz w:val="24"/>
          <w:vertAlign w:val="superscript"/>
        </w:rPr>
        <w:t>3</w:t>
      </w:r>
      <w:r>
        <w:rPr>
          <w:sz w:val="24"/>
        </w:rPr>
        <w:t>/</w:t>
      </w:r>
      <w:r>
        <w:rPr>
          <w:rFonts w:hint="eastAsia"/>
          <w:sz w:val="24"/>
        </w:rPr>
        <w:t>d。纯水机制备纯水量为7.14</w:t>
      </w:r>
      <w:r>
        <w:rPr>
          <w:sz w:val="24"/>
        </w:rPr>
        <w:t>m</w:t>
      </w:r>
      <w:r>
        <w:rPr>
          <w:sz w:val="24"/>
          <w:vertAlign w:val="superscript"/>
        </w:rPr>
        <w:t>3</w:t>
      </w:r>
      <w:r>
        <w:rPr>
          <w:sz w:val="24"/>
        </w:rPr>
        <w:t>/</w:t>
      </w:r>
      <w:r>
        <w:rPr>
          <w:rFonts w:hint="eastAsia"/>
          <w:sz w:val="24"/>
        </w:rPr>
        <w:t>d，其中设备清洗用水量为0.72</w:t>
      </w:r>
      <w:r>
        <w:rPr>
          <w:sz w:val="24"/>
        </w:rPr>
        <w:t>m</w:t>
      </w:r>
      <w:r>
        <w:rPr>
          <w:sz w:val="24"/>
          <w:vertAlign w:val="superscript"/>
        </w:rPr>
        <w:t>3</w:t>
      </w:r>
      <w:r>
        <w:rPr>
          <w:sz w:val="24"/>
        </w:rPr>
        <w:t>/</w:t>
      </w:r>
      <w:r>
        <w:rPr>
          <w:rFonts w:hint="eastAsia"/>
          <w:sz w:val="24"/>
        </w:rPr>
        <w:t>d（储罐采用喷淋清洗，该清洗水量考虑为每周对储罐区储罐或中间储罐进行清洗1次，每次清洗用水量为5.02</w:t>
      </w:r>
      <w:r>
        <w:rPr>
          <w:sz w:val="24"/>
        </w:rPr>
        <w:t>m</w:t>
      </w:r>
      <w:r>
        <w:rPr>
          <w:sz w:val="24"/>
          <w:vertAlign w:val="superscript"/>
        </w:rPr>
        <w:t>3</w:t>
      </w:r>
      <w:r>
        <w:rPr>
          <w:rFonts w:hint="eastAsia"/>
          <w:sz w:val="24"/>
        </w:rPr>
        <w:t>），试验用水0.7</w:t>
      </w:r>
      <w:r>
        <w:rPr>
          <w:sz w:val="24"/>
        </w:rPr>
        <w:t>m</w:t>
      </w:r>
      <w:r>
        <w:rPr>
          <w:sz w:val="24"/>
          <w:vertAlign w:val="superscript"/>
        </w:rPr>
        <w:t>3</w:t>
      </w:r>
      <w:r>
        <w:rPr>
          <w:sz w:val="24"/>
        </w:rPr>
        <w:t>/</w:t>
      </w:r>
      <w:r>
        <w:rPr>
          <w:rFonts w:hint="eastAsia"/>
          <w:sz w:val="24"/>
        </w:rPr>
        <w:t>d，5.72</w:t>
      </w:r>
      <w:r>
        <w:rPr>
          <w:sz w:val="24"/>
        </w:rPr>
        <w:t>m</w:t>
      </w:r>
      <w:r>
        <w:rPr>
          <w:sz w:val="24"/>
          <w:vertAlign w:val="superscript"/>
        </w:rPr>
        <w:t>3</w:t>
      </w:r>
      <w:r>
        <w:rPr>
          <w:sz w:val="24"/>
        </w:rPr>
        <w:t>/</w:t>
      </w:r>
      <w:r>
        <w:rPr>
          <w:rFonts w:hint="eastAsia"/>
          <w:sz w:val="24"/>
        </w:rPr>
        <w:t>d进入</w:t>
      </w:r>
      <w:r>
        <w:rPr>
          <w:rStyle w:val="7"/>
          <w:rFonts w:hint="eastAsia"/>
          <w:kern w:val="0"/>
          <w:sz w:val="24"/>
        </w:rPr>
        <w:t>产品</w:t>
      </w:r>
      <w:r>
        <w:rPr>
          <w:rFonts w:hint="eastAsia"/>
          <w:sz w:val="24"/>
        </w:rPr>
        <w:t>。生活用水量为</w:t>
      </w:r>
      <w:r>
        <w:rPr>
          <w:sz w:val="24"/>
        </w:rPr>
        <w:t>2.7m</w:t>
      </w:r>
      <w:r>
        <w:rPr>
          <w:sz w:val="24"/>
          <w:vertAlign w:val="superscript"/>
        </w:rPr>
        <w:t>3</w:t>
      </w:r>
      <w:r>
        <w:rPr>
          <w:sz w:val="24"/>
        </w:rPr>
        <w:t>/d</w:t>
      </w:r>
      <w:r>
        <w:rPr>
          <w:rFonts w:hint="eastAsia"/>
          <w:sz w:val="24"/>
        </w:rPr>
        <w:t>。</w:t>
      </w:r>
    </w:p>
    <w:p w14:paraId="75F6B472">
      <w:pPr>
        <w:spacing w:line="360" w:lineRule="auto"/>
        <w:ind w:firstLine="480" w:firstLineChars="200"/>
        <w:rPr>
          <w:sz w:val="24"/>
        </w:rPr>
      </w:pPr>
      <w:r>
        <w:rPr>
          <w:rFonts w:hint="eastAsia"/>
          <w:sz w:val="24"/>
        </w:rPr>
        <w:t>（2）排水</w:t>
      </w:r>
    </w:p>
    <w:p w14:paraId="07AE4182">
      <w:pPr>
        <w:rPr>
          <w:rFonts w:hint="eastAsia"/>
          <w:sz w:val="24"/>
        </w:rPr>
      </w:pPr>
      <w:r>
        <w:rPr>
          <w:sz w:val="24"/>
        </w:rPr>
        <w:t>项目废水主要为</w:t>
      </w:r>
      <w:r>
        <w:rPr>
          <w:rFonts w:hint="eastAsia"/>
          <w:sz w:val="24"/>
        </w:rPr>
        <w:t>生活污水（2.16</w:t>
      </w:r>
      <w:r>
        <w:rPr>
          <w:sz w:val="24"/>
        </w:rPr>
        <w:t>m</w:t>
      </w:r>
      <w:r>
        <w:rPr>
          <w:sz w:val="24"/>
          <w:vertAlign w:val="superscript"/>
        </w:rPr>
        <w:t>3</w:t>
      </w:r>
      <w:r>
        <w:rPr>
          <w:sz w:val="24"/>
        </w:rPr>
        <w:t>/</w:t>
      </w:r>
      <w:r>
        <w:rPr>
          <w:rFonts w:hint="eastAsia"/>
          <w:sz w:val="24"/>
        </w:rPr>
        <w:t>d），经化粪池处理后排入</w:t>
      </w:r>
      <w:r>
        <w:rPr>
          <w:rFonts w:hint="eastAsia"/>
          <w:sz w:val="24"/>
          <w:lang w:val="en-US" w:eastAsia="zh-CN"/>
        </w:rPr>
        <w:t>石家庄良村南污水处理厂</w:t>
      </w:r>
      <w:r>
        <w:rPr>
          <w:rFonts w:hint="eastAsia"/>
          <w:sz w:val="24"/>
        </w:rPr>
        <w:t>；喷淋塔循环过程废水（7.2</w:t>
      </w:r>
      <w:r>
        <w:rPr>
          <w:sz w:val="24"/>
        </w:rPr>
        <w:t>m</w:t>
      </w:r>
      <w:r>
        <w:rPr>
          <w:sz w:val="24"/>
          <w:vertAlign w:val="superscript"/>
        </w:rPr>
        <w:t>3</w:t>
      </w:r>
      <w:r>
        <w:rPr>
          <w:sz w:val="24"/>
        </w:rPr>
        <w:t>/</w:t>
      </w:r>
      <w:r>
        <w:rPr>
          <w:rFonts w:hint="eastAsia"/>
          <w:sz w:val="24"/>
        </w:rPr>
        <w:t>d）、车间冲洗废水（0.72m</w:t>
      </w:r>
      <w:r>
        <w:rPr>
          <w:sz w:val="24"/>
          <w:vertAlign w:val="superscript"/>
        </w:rPr>
        <w:t>3</w:t>
      </w:r>
      <w:r>
        <w:rPr>
          <w:sz w:val="24"/>
        </w:rPr>
        <w:t>/</w:t>
      </w:r>
      <w:r>
        <w:rPr>
          <w:rFonts w:hint="eastAsia"/>
          <w:sz w:val="24"/>
        </w:rPr>
        <w:t>d）、试验废水（0.6994m</w:t>
      </w:r>
      <w:r>
        <w:rPr>
          <w:sz w:val="24"/>
          <w:vertAlign w:val="superscript"/>
        </w:rPr>
        <w:t>3</w:t>
      </w:r>
      <w:r>
        <w:rPr>
          <w:sz w:val="24"/>
        </w:rPr>
        <w:t>/</w:t>
      </w:r>
      <w:r>
        <w:rPr>
          <w:rFonts w:hint="eastAsia"/>
          <w:sz w:val="24"/>
        </w:rPr>
        <w:t>d；试验初次清洗废水纳入试验废液，作为危废管理）和设备清洗废水（0.72</w:t>
      </w:r>
      <w:r>
        <w:rPr>
          <w:sz w:val="24"/>
        </w:rPr>
        <w:t>m</w:t>
      </w:r>
      <w:r>
        <w:rPr>
          <w:sz w:val="24"/>
          <w:vertAlign w:val="superscript"/>
        </w:rPr>
        <w:t>3</w:t>
      </w:r>
      <w:r>
        <w:rPr>
          <w:sz w:val="24"/>
        </w:rPr>
        <w:t>/</w:t>
      </w:r>
      <w:r>
        <w:rPr>
          <w:rFonts w:hint="eastAsia"/>
          <w:sz w:val="24"/>
        </w:rPr>
        <w:t>d）经污水处理系统处理后排入</w:t>
      </w:r>
      <w:r>
        <w:rPr>
          <w:rFonts w:hint="eastAsia"/>
          <w:sz w:val="24"/>
          <w:lang w:val="en-US" w:eastAsia="zh-CN"/>
        </w:rPr>
        <w:t>石家庄良村南污水处理厂</w:t>
      </w:r>
      <w:r>
        <w:rPr>
          <w:rFonts w:hint="eastAsia"/>
          <w:sz w:val="24"/>
        </w:rPr>
        <w:t>；纯水制备浓水（8.73m</w:t>
      </w:r>
      <w:r>
        <w:rPr>
          <w:sz w:val="24"/>
          <w:vertAlign w:val="superscript"/>
        </w:rPr>
        <w:t>3</w:t>
      </w:r>
      <w:r>
        <w:rPr>
          <w:sz w:val="24"/>
        </w:rPr>
        <w:t>/</w:t>
      </w:r>
      <w:r>
        <w:rPr>
          <w:rFonts w:hint="eastAsia"/>
          <w:sz w:val="24"/>
        </w:rPr>
        <w:t>d）汇同污水处理系统出水排入</w:t>
      </w:r>
      <w:r>
        <w:rPr>
          <w:rFonts w:hint="eastAsia"/>
          <w:sz w:val="24"/>
          <w:lang w:val="en-US" w:eastAsia="zh-CN"/>
        </w:rPr>
        <w:t>石家庄良村南污水处理厂</w:t>
      </w:r>
      <w:r>
        <w:rPr>
          <w:rFonts w:hint="eastAsia"/>
          <w:sz w:val="24"/>
        </w:rPr>
        <w:t>。</w:t>
      </w:r>
    </w:p>
    <w:p w14:paraId="09A8F9EC">
      <w:pPr>
        <w:spacing w:line="360" w:lineRule="auto"/>
        <w:ind w:firstLine="480" w:firstLineChars="200"/>
        <w:rPr>
          <w:sz w:val="24"/>
        </w:rPr>
      </w:pPr>
      <w:r>
        <w:rPr>
          <w:rFonts w:hint="eastAsia"/>
          <w:sz w:val="24"/>
        </w:rPr>
        <w:t>（3）供电</w:t>
      </w:r>
    </w:p>
    <w:p w14:paraId="3288963F">
      <w:pPr>
        <w:spacing w:line="360" w:lineRule="auto"/>
        <w:ind w:firstLine="480" w:firstLineChars="200"/>
        <w:rPr>
          <w:sz w:val="24"/>
        </w:rPr>
      </w:pPr>
      <w:r>
        <w:rPr>
          <w:rFonts w:hint="eastAsia"/>
          <w:sz w:val="24"/>
        </w:rPr>
        <w:t>本工程由厂区外引入一回市政10kV电源，另设一台柴油发电机组，作为本工程一、二级负荷备用电源，满足本工程供电要求。</w:t>
      </w:r>
    </w:p>
    <w:p w14:paraId="3CF8BB9D">
      <w:pPr>
        <w:spacing w:line="360" w:lineRule="auto"/>
        <w:ind w:firstLine="480" w:firstLineChars="200"/>
        <w:rPr>
          <w:sz w:val="24"/>
        </w:rPr>
      </w:pPr>
      <w:r>
        <w:rPr>
          <w:rFonts w:hint="eastAsia"/>
          <w:sz w:val="24"/>
        </w:rPr>
        <w:t>（4）制冷供热</w:t>
      </w:r>
    </w:p>
    <w:p w14:paraId="2D424FE0">
      <w:pPr>
        <w:spacing w:line="360" w:lineRule="auto"/>
        <w:ind w:firstLine="480" w:firstLineChars="200"/>
        <w:rPr>
          <w:sz w:val="24"/>
        </w:rPr>
      </w:pPr>
      <w:r>
        <w:rPr>
          <w:rFonts w:hint="eastAsia"/>
          <w:sz w:val="24"/>
        </w:rPr>
        <w:t>本项目冷量主要用于空气调节和工艺设备冷却，制冷量为1200kw，选用变频低温高效机组提供7℃水。</w:t>
      </w:r>
    </w:p>
    <w:p w14:paraId="63FF160C">
      <w:pPr>
        <w:spacing w:line="360" w:lineRule="auto"/>
        <w:ind w:firstLine="480" w:firstLineChars="200"/>
        <w:rPr>
          <w:sz w:val="24"/>
        </w:rPr>
      </w:pPr>
      <w:r>
        <w:rPr>
          <w:rFonts w:hint="eastAsia"/>
          <w:sz w:val="24"/>
        </w:rPr>
        <w:t>本项目生产不用热，采用空调机组和变频热水机组，夏季制冷、冬季制热。</w:t>
      </w:r>
    </w:p>
    <w:p w14:paraId="4BFDA3C0">
      <w:pPr>
        <w:spacing w:line="360" w:lineRule="auto"/>
        <w:ind w:firstLine="480" w:firstLineChars="200"/>
        <w:rPr>
          <w:sz w:val="24"/>
        </w:rPr>
      </w:pPr>
      <w:r>
        <w:rPr>
          <w:rFonts w:hint="eastAsia"/>
          <w:sz w:val="24"/>
        </w:rPr>
        <w:t>（5）制氮系统</w:t>
      </w:r>
    </w:p>
    <w:p w14:paraId="7C63658C">
      <w:pPr>
        <w:rPr>
          <w:rFonts w:hint="eastAsia"/>
          <w:sz w:val="24"/>
        </w:rPr>
      </w:pPr>
      <w:r>
        <w:rPr>
          <w:rFonts w:hint="eastAsia"/>
          <w:sz w:val="24"/>
        </w:rPr>
        <w:t>本项目氮气用于转移产品原料，选用分子筛进行制氮。</w:t>
      </w:r>
    </w:p>
    <w:p w14:paraId="3374B189">
      <w:pPr>
        <w:adjustRightInd w:val="0"/>
        <w:snapToGrid w:val="0"/>
        <w:spacing w:line="480" w:lineRule="exact"/>
        <w:ind w:firstLine="480" w:firstLineChars="200"/>
        <w:rPr>
          <w:sz w:val="24"/>
        </w:rPr>
      </w:pPr>
      <w:r>
        <w:rPr>
          <w:sz w:val="24"/>
        </w:rPr>
        <w:t>拟建项目新增总量控制值为：废气VOCs</w:t>
      </w:r>
      <w:r>
        <w:rPr>
          <w:rFonts w:hint="eastAsia"/>
          <w:sz w:val="24"/>
        </w:rPr>
        <w:t xml:space="preserve"> </w:t>
      </w:r>
      <w:r>
        <w:rPr>
          <w:rFonts w:hint="eastAsia"/>
          <w:snapToGrid w:val="0"/>
          <w:color w:val="000000" w:themeColor="text1"/>
          <w:kern w:val="21"/>
          <w:sz w:val="24"/>
          <w:szCs w:val="21"/>
          <w14:textFill>
            <w14:solidFill>
              <w14:schemeClr w14:val="tx1"/>
            </w14:solidFill>
          </w14:textFill>
        </w:rPr>
        <w:t>0.174</w:t>
      </w:r>
      <w:r>
        <w:rPr>
          <w:sz w:val="24"/>
        </w:rPr>
        <w:t>t/a，</w:t>
      </w:r>
      <w:r>
        <w:rPr>
          <w:rFonts w:hint="default"/>
          <w:sz w:val="24"/>
          <w:lang w:val="en-US" w:eastAsia="zh-CN"/>
        </w:rPr>
        <w:t>SO</w:t>
      </w:r>
      <w:r>
        <w:rPr>
          <w:rFonts w:hint="default"/>
          <w:sz w:val="24"/>
          <w:vertAlign w:val="subscript"/>
          <w:lang w:val="en-US" w:eastAsia="zh-CN"/>
        </w:rPr>
        <w:t>2</w:t>
      </w:r>
      <w:r>
        <w:rPr>
          <w:rFonts w:hint="default"/>
          <w:sz w:val="24"/>
          <w:lang w:val="en-US" w:eastAsia="zh-CN"/>
        </w:rPr>
        <w:t xml:space="preserve"> 0t/a</w:t>
      </w:r>
      <w:r>
        <w:rPr>
          <w:rFonts w:hint="eastAsia"/>
          <w:sz w:val="24"/>
          <w:lang w:val="en-US" w:eastAsia="zh-CN"/>
        </w:rPr>
        <w:t>、</w:t>
      </w:r>
      <w:r>
        <w:rPr>
          <w:rFonts w:hint="default"/>
          <w:sz w:val="24"/>
          <w:lang w:val="en-US" w:eastAsia="zh-CN"/>
        </w:rPr>
        <w:t>NO</w:t>
      </w:r>
      <w:r>
        <w:rPr>
          <w:rFonts w:hint="default"/>
          <w:sz w:val="24"/>
          <w:vertAlign w:val="subscript"/>
          <w:lang w:val="en-US" w:eastAsia="zh-CN"/>
        </w:rPr>
        <w:t>X</w:t>
      </w:r>
      <w:r>
        <w:rPr>
          <w:rFonts w:hint="default"/>
          <w:sz w:val="24"/>
          <w:lang w:val="en-US" w:eastAsia="zh-CN"/>
        </w:rPr>
        <w:t xml:space="preserve"> 0t/a</w:t>
      </w:r>
      <w:r>
        <w:rPr>
          <w:rFonts w:hint="eastAsia"/>
          <w:sz w:val="24"/>
          <w:lang w:eastAsia="zh-CN"/>
        </w:rPr>
        <w:t>，</w:t>
      </w:r>
      <w:r>
        <w:rPr>
          <w:sz w:val="24"/>
        </w:rPr>
        <w:t>废水COD</w:t>
      </w:r>
      <w:r>
        <w:rPr>
          <w:rFonts w:hint="eastAsia"/>
          <w:sz w:val="24"/>
        </w:rPr>
        <w:t xml:space="preserve"> </w:t>
      </w:r>
      <w:r>
        <w:rPr>
          <w:sz w:val="24"/>
        </w:rPr>
        <w:t>0.</w:t>
      </w:r>
      <w:r>
        <w:rPr>
          <w:rFonts w:hint="eastAsia"/>
          <w:sz w:val="24"/>
        </w:rPr>
        <w:t>243</w:t>
      </w:r>
      <w:r>
        <w:rPr>
          <w:sz w:val="24"/>
        </w:rPr>
        <w:t>t/a、氨氮 0.0</w:t>
      </w:r>
      <w:r>
        <w:rPr>
          <w:rFonts w:hint="eastAsia"/>
          <w:sz w:val="24"/>
        </w:rPr>
        <w:t>12</w:t>
      </w:r>
      <w:r>
        <w:rPr>
          <w:sz w:val="24"/>
        </w:rPr>
        <w:t>t/a。</w:t>
      </w:r>
    </w:p>
    <w:p w14:paraId="1880A322">
      <w:pPr>
        <w:autoSpaceDE w:val="0"/>
        <w:autoSpaceDN w:val="0"/>
        <w:adjustRightInd w:val="0"/>
        <w:snapToGrid w:val="0"/>
        <w:spacing w:line="480" w:lineRule="exact"/>
        <w:ind w:firstLine="480" w:firstLineChars="200"/>
        <w:rPr>
          <w:sz w:val="24"/>
        </w:rPr>
      </w:pPr>
      <w:r>
        <w:rPr>
          <w:rFonts w:hint="eastAsia"/>
          <w:sz w:val="24"/>
        </w:rPr>
        <w:t>1、大气环境保护措施</w:t>
      </w:r>
    </w:p>
    <w:p w14:paraId="19FF0EAB">
      <w:pPr>
        <w:autoSpaceDE w:val="0"/>
        <w:autoSpaceDN w:val="0"/>
        <w:adjustRightInd w:val="0"/>
        <w:snapToGrid w:val="0"/>
        <w:spacing w:line="480" w:lineRule="exact"/>
        <w:ind w:firstLine="480" w:firstLineChars="200"/>
        <w:rPr>
          <w:sz w:val="24"/>
        </w:rPr>
      </w:pPr>
      <w:r>
        <w:rPr>
          <w:rFonts w:hint="eastAsia"/>
          <w:sz w:val="24"/>
        </w:rPr>
        <w:t>为降低施工扬尘对空气环境质量的影响，本项目在施工过程中应采取以下防治措施：</w:t>
      </w:r>
    </w:p>
    <w:p w14:paraId="68E27C40">
      <w:pPr>
        <w:pStyle w:val="8"/>
        <w:numPr>
          <w:ilvl w:val="0"/>
          <w:numId w:val="0"/>
        </w:numPr>
        <w:spacing w:line="240" w:lineRule="auto"/>
      </w:pPr>
      <w:r>
        <w:rPr>
          <w:rFonts w:hint="eastAsia"/>
          <w:bCs w:val="0"/>
        </w:rPr>
        <w:t>表4-1</w:t>
      </w:r>
      <w:r>
        <w:rPr>
          <w:rFonts w:hint="eastAsia"/>
        </w:rPr>
        <w:t>施工期扬尘污染防治措施</w:t>
      </w:r>
      <w:r>
        <w:t>一览表</w:t>
      </w:r>
    </w:p>
    <w:tbl>
      <w:tblPr>
        <w:tblStyle w:val="5"/>
        <w:tblW w:w="4999"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73"/>
        <w:gridCol w:w="1017"/>
        <w:gridCol w:w="7029"/>
      </w:tblGrid>
      <w:tr w14:paraId="23BA8E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278" w:type="pct"/>
            <w:tcBorders>
              <w:tl2br w:val="nil"/>
              <w:tr2bl w:val="nil"/>
            </w:tcBorders>
            <w:vAlign w:val="center"/>
          </w:tcPr>
          <w:p w14:paraId="53C5A40D">
            <w:pPr>
              <w:autoSpaceDE w:val="0"/>
              <w:autoSpaceDN w:val="0"/>
              <w:adjustRightInd w:val="0"/>
              <w:snapToGrid w:val="0"/>
              <w:jc w:val="center"/>
              <w:rPr>
                <w:szCs w:val="21"/>
              </w:rPr>
            </w:pPr>
            <w:r>
              <w:rPr>
                <w:rFonts w:hint="eastAsia"/>
                <w:szCs w:val="21"/>
              </w:rPr>
              <w:t>序号</w:t>
            </w:r>
          </w:p>
        </w:tc>
        <w:tc>
          <w:tcPr>
            <w:tcW w:w="597" w:type="pct"/>
            <w:tcBorders>
              <w:tl2br w:val="nil"/>
              <w:tr2bl w:val="nil"/>
            </w:tcBorders>
            <w:vAlign w:val="center"/>
          </w:tcPr>
          <w:p w14:paraId="603369C7">
            <w:pPr>
              <w:autoSpaceDE w:val="0"/>
              <w:autoSpaceDN w:val="0"/>
              <w:adjustRightInd w:val="0"/>
              <w:snapToGrid w:val="0"/>
              <w:jc w:val="center"/>
              <w:rPr>
                <w:szCs w:val="21"/>
              </w:rPr>
            </w:pPr>
            <w:r>
              <w:rPr>
                <w:rFonts w:hint="eastAsia"/>
                <w:szCs w:val="21"/>
              </w:rPr>
              <w:t>防治措施</w:t>
            </w:r>
          </w:p>
        </w:tc>
        <w:tc>
          <w:tcPr>
            <w:tcW w:w="4124" w:type="pct"/>
            <w:tcBorders>
              <w:tl2br w:val="nil"/>
              <w:tr2bl w:val="nil"/>
            </w:tcBorders>
            <w:vAlign w:val="center"/>
          </w:tcPr>
          <w:p w14:paraId="2F6DD614">
            <w:pPr>
              <w:autoSpaceDE w:val="0"/>
              <w:autoSpaceDN w:val="0"/>
              <w:adjustRightInd w:val="0"/>
              <w:snapToGrid w:val="0"/>
              <w:jc w:val="center"/>
              <w:rPr>
                <w:szCs w:val="21"/>
              </w:rPr>
            </w:pPr>
            <w:r>
              <w:rPr>
                <w:rFonts w:hint="eastAsia"/>
                <w:szCs w:val="21"/>
              </w:rPr>
              <w:t>具体要求</w:t>
            </w:r>
          </w:p>
        </w:tc>
      </w:tr>
      <w:tr w14:paraId="5D14C9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8" w:type="pct"/>
            <w:tcBorders>
              <w:tl2br w:val="nil"/>
              <w:tr2bl w:val="nil"/>
            </w:tcBorders>
            <w:vAlign w:val="center"/>
          </w:tcPr>
          <w:p w14:paraId="46F9275A">
            <w:pPr>
              <w:autoSpaceDE w:val="0"/>
              <w:autoSpaceDN w:val="0"/>
              <w:adjustRightInd w:val="0"/>
              <w:snapToGrid w:val="0"/>
              <w:jc w:val="center"/>
              <w:rPr>
                <w:szCs w:val="21"/>
              </w:rPr>
            </w:pPr>
            <w:r>
              <w:rPr>
                <w:rFonts w:hint="eastAsia"/>
                <w:szCs w:val="21"/>
              </w:rPr>
              <w:t>1</w:t>
            </w:r>
          </w:p>
        </w:tc>
        <w:tc>
          <w:tcPr>
            <w:tcW w:w="597" w:type="pct"/>
            <w:tcBorders>
              <w:tl2br w:val="nil"/>
              <w:tr2bl w:val="nil"/>
            </w:tcBorders>
            <w:vAlign w:val="center"/>
          </w:tcPr>
          <w:p w14:paraId="5F678EA5">
            <w:pPr>
              <w:autoSpaceDE w:val="0"/>
              <w:autoSpaceDN w:val="0"/>
              <w:adjustRightInd w:val="0"/>
              <w:snapToGrid w:val="0"/>
              <w:jc w:val="center"/>
              <w:rPr>
                <w:szCs w:val="21"/>
              </w:rPr>
            </w:pPr>
            <w:r>
              <w:rPr>
                <w:rFonts w:hint="eastAsia"/>
                <w:szCs w:val="21"/>
              </w:rPr>
              <w:t>设置扬尘防治公示牌</w:t>
            </w:r>
          </w:p>
        </w:tc>
        <w:tc>
          <w:tcPr>
            <w:tcW w:w="4124" w:type="pct"/>
            <w:tcBorders>
              <w:tl2br w:val="nil"/>
              <w:tr2bl w:val="nil"/>
            </w:tcBorders>
            <w:vAlign w:val="center"/>
          </w:tcPr>
          <w:p w14:paraId="22D83FD0">
            <w:pPr>
              <w:autoSpaceDE w:val="0"/>
              <w:autoSpaceDN w:val="0"/>
              <w:adjustRightInd w:val="0"/>
              <w:snapToGrid w:val="0"/>
              <w:jc w:val="center"/>
              <w:rPr>
                <w:szCs w:val="21"/>
              </w:rPr>
            </w:pPr>
            <w:r>
              <w:rPr>
                <w:rFonts w:hint="eastAsia"/>
                <w:szCs w:val="21"/>
              </w:rPr>
              <w:t>必须在施工现场出入口明显位置设置扬尘防治公示牌，内容包括建设、施工及监管等单位名称、扬尘防治负责人的名称、联系电话、举报电话等</w:t>
            </w:r>
          </w:p>
        </w:tc>
      </w:tr>
      <w:tr w14:paraId="318A654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8" w:type="pct"/>
            <w:tcBorders>
              <w:tl2br w:val="nil"/>
              <w:tr2bl w:val="nil"/>
            </w:tcBorders>
            <w:vAlign w:val="center"/>
          </w:tcPr>
          <w:p w14:paraId="017B9EC4">
            <w:pPr>
              <w:autoSpaceDE w:val="0"/>
              <w:autoSpaceDN w:val="0"/>
              <w:adjustRightInd w:val="0"/>
              <w:snapToGrid w:val="0"/>
              <w:jc w:val="center"/>
              <w:rPr>
                <w:szCs w:val="21"/>
              </w:rPr>
            </w:pPr>
            <w:r>
              <w:rPr>
                <w:rFonts w:hint="eastAsia"/>
                <w:szCs w:val="21"/>
              </w:rPr>
              <w:t>2</w:t>
            </w:r>
          </w:p>
        </w:tc>
        <w:tc>
          <w:tcPr>
            <w:tcW w:w="597" w:type="pct"/>
            <w:tcBorders>
              <w:tl2br w:val="nil"/>
              <w:tr2bl w:val="nil"/>
            </w:tcBorders>
            <w:vAlign w:val="center"/>
          </w:tcPr>
          <w:p w14:paraId="7E86681E">
            <w:pPr>
              <w:autoSpaceDE w:val="0"/>
              <w:autoSpaceDN w:val="0"/>
              <w:adjustRightInd w:val="0"/>
              <w:snapToGrid w:val="0"/>
              <w:jc w:val="center"/>
              <w:rPr>
                <w:szCs w:val="21"/>
              </w:rPr>
            </w:pPr>
            <w:r>
              <w:rPr>
                <w:rFonts w:hint="eastAsia"/>
                <w:szCs w:val="21"/>
              </w:rPr>
              <w:t>设置围挡</w:t>
            </w:r>
          </w:p>
        </w:tc>
        <w:tc>
          <w:tcPr>
            <w:tcW w:w="4124" w:type="pct"/>
            <w:tcBorders>
              <w:tl2br w:val="nil"/>
              <w:tr2bl w:val="nil"/>
            </w:tcBorders>
            <w:vAlign w:val="center"/>
          </w:tcPr>
          <w:p w14:paraId="05553978">
            <w:pPr>
              <w:autoSpaceDE w:val="0"/>
              <w:autoSpaceDN w:val="0"/>
              <w:adjustRightInd w:val="0"/>
              <w:snapToGrid w:val="0"/>
              <w:jc w:val="center"/>
              <w:rPr>
                <w:szCs w:val="21"/>
              </w:rPr>
            </w:pPr>
            <w:r>
              <w:rPr>
                <w:rFonts w:hint="eastAsia"/>
                <w:szCs w:val="21"/>
              </w:rPr>
              <w:t>施工现场必须连续设置硬质围挡，围挡应坚固、美观，严禁围挡不严或敞开式施工。高度不低于1.8或2.5m</w:t>
            </w:r>
          </w:p>
        </w:tc>
      </w:tr>
      <w:tr w14:paraId="65E0B5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8" w:type="pct"/>
            <w:tcBorders>
              <w:tl2br w:val="nil"/>
              <w:tr2bl w:val="nil"/>
            </w:tcBorders>
            <w:vAlign w:val="center"/>
          </w:tcPr>
          <w:p w14:paraId="255BD625">
            <w:pPr>
              <w:autoSpaceDE w:val="0"/>
              <w:autoSpaceDN w:val="0"/>
              <w:adjustRightInd w:val="0"/>
              <w:snapToGrid w:val="0"/>
              <w:jc w:val="center"/>
              <w:rPr>
                <w:szCs w:val="21"/>
              </w:rPr>
            </w:pPr>
            <w:r>
              <w:rPr>
                <w:rFonts w:hint="eastAsia"/>
                <w:szCs w:val="21"/>
              </w:rPr>
              <w:t>3</w:t>
            </w:r>
          </w:p>
        </w:tc>
        <w:tc>
          <w:tcPr>
            <w:tcW w:w="597" w:type="pct"/>
            <w:tcBorders>
              <w:tl2br w:val="nil"/>
              <w:tr2bl w:val="nil"/>
            </w:tcBorders>
            <w:vAlign w:val="center"/>
          </w:tcPr>
          <w:p w14:paraId="4F330742">
            <w:pPr>
              <w:autoSpaceDE w:val="0"/>
              <w:autoSpaceDN w:val="0"/>
              <w:adjustRightInd w:val="0"/>
              <w:snapToGrid w:val="0"/>
              <w:jc w:val="center"/>
              <w:rPr>
                <w:szCs w:val="21"/>
              </w:rPr>
            </w:pPr>
            <w:r>
              <w:rPr>
                <w:rFonts w:hint="eastAsia"/>
                <w:szCs w:val="21"/>
              </w:rPr>
              <w:t>施工场地硬化</w:t>
            </w:r>
          </w:p>
        </w:tc>
        <w:tc>
          <w:tcPr>
            <w:tcW w:w="4124" w:type="pct"/>
            <w:tcBorders>
              <w:tl2br w:val="nil"/>
              <w:tr2bl w:val="nil"/>
            </w:tcBorders>
            <w:vAlign w:val="center"/>
          </w:tcPr>
          <w:p w14:paraId="73AA4331">
            <w:pPr>
              <w:autoSpaceDE w:val="0"/>
              <w:autoSpaceDN w:val="0"/>
              <w:adjustRightInd w:val="0"/>
              <w:snapToGrid w:val="0"/>
              <w:jc w:val="center"/>
              <w:rPr>
                <w:szCs w:val="21"/>
              </w:rPr>
            </w:pPr>
            <w:r>
              <w:rPr>
                <w:rFonts w:hint="eastAsia"/>
                <w:szCs w:val="21"/>
              </w:rPr>
              <w:t>①对主要出入口、主要道路、堆放区的地面按规定进行硬化处理；②施工现场出入口必须采用混凝土进行硬化或采用硬质砌块铺设，严禁使用其他软质材料铺设</w:t>
            </w:r>
          </w:p>
        </w:tc>
      </w:tr>
      <w:tr w14:paraId="5BE550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278" w:type="pct"/>
            <w:tcBorders>
              <w:tl2br w:val="nil"/>
              <w:tr2bl w:val="nil"/>
            </w:tcBorders>
            <w:vAlign w:val="center"/>
          </w:tcPr>
          <w:p w14:paraId="7898003E">
            <w:pPr>
              <w:autoSpaceDE w:val="0"/>
              <w:autoSpaceDN w:val="0"/>
              <w:adjustRightInd w:val="0"/>
              <w:snapToGrid w:val="0"/>
              <w:jc w:val="center"/>
              <w:rPr>
                <w:szCs w:val="21"/>
              </w:rPr>
            </w:pPr>
            <w:r>
              <w:rPr>
                <w:rFonts w:hint="eastAsia"/>
                <w:szCs w:val="21"/>
              </w:rPr>
              <w:t>4</w:t>
            </w:r>
          </w:p>
        </w:tc>
        <w:tc>
          <w:tcPr>
            <w:tcW w:w="597" w:type="pct"/>
            <w:tcBorders>
              <w:tl2br w:val="nil"/>
              <w:tr2bl w:val="nil"/>
            </w:tcBorders>
            <w:vAlign w:val="center"/>
          </w:tcPr>
          <w:p w14:paraId="7A4E5058">
            <w:pPr>
              <w:autoSpaceDE w:val="0"/>
              <w:autoSpaceDN w:val="0"/>
              <w:adjustRightInd w:val="0"/>
              <w:snapToGrid w:val="0"/>
              <w:jc w:val="center"/>
              <w:rPr>
                <w:szCs w:val="21"/>
              </w:rPr>
            </w:pPr>
            <w:r>
              <w:rPr>
                <w:rFonts w:hint="eastAsia"/>
                <w:szCs w:val="21"/>
              </w:rPr>
              <w:t>施工车辆冲洗设施</w:t>
            </w:r>
          </w:p>
        </w:tc>
        <w:tc>
          <w:tcPr>
            <w:tcW w:w="4124" w:type="pct"/>
            <w:tcBorders>
              <w:tl2br w:val="nil"/>
              <w:tr2bl w:val="nil"/>
            </w:tcBorders>
            <w:vAlign w:val="center"/>
          </w:tcPr>
          <w:p w14:paraId="296D29B2">
            <w:pPr>
              <w:autoSpaceDE w:val="0"/>
              <w:autoSpaceDN w:val="0"/>
              <w:adjustRightInd w:val="0"/>
              <w:snapToGrid w:val="0"/>
              <w:jc w:val="center"/>
              <w:rPr>
                <w:szCs w:val="21"/>
              </w:rPr>
            </w:pPr>
            <w:r>
              <w:rPr>
                <w:rFonts w:hint="eastAsia"/>
                <w:szCs w:val="21"/>
              </w:rPr>
              <w:t>在施工现场出口处设置车辆冲洗设施并配套设置排水、泥浆沉淀设施，施工车辆不得带泥上路行驶，施工现场道路以及出口周边的道路不得存留建筑垃圾和泥土</w:t>
            </w:r>
          </w:p>
        </w:tc>
      </w:tr>
      <w:tr w14:paraId="6B531D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8" w:type="pct"/>
            <w:tcBorders>
              <w:tl2br w:val="nil"/>
              <w:tr2bl w:val="nil"/>
            </w:tcBorders>
            <w:vAlign w:val="center"/>
          </w:tcPr>
          <w:p w14:paraId="074F3419">
            <w:pPr>
              <w:autoSpaceDE w:val="0"/>
              <w:autoSpaceDN w:val="0"/>
              <w:adjustRightInd w:val="0"/>
              <w:snapToGrid w:val="0"/>
              <w:jc w:val="center"/>
              <w:rPr>
                <w:szCs w:val="21"/>
              </w:rPr>
            </w:pPr>
            <w:r>
              <w:rPr>
                <w:rFonts w:hint="eastAsia"/>
                <w:szCs w:val="21"/>
              </w:rPr>
              <w:t>5</w:t>
            </w:r>
          </w:p>
        </w:tc>
        <w:tc>
          <w:tcPr>
            <w:tcW w:w="597" w:type="pct"/>
            <w:tcBorders>
              <w:tl2br w:val="nil"/>
              <w:tr2bl w:val="nil"/>
            </w:tcBorders>
            <w:vAlign w:val="center"/>
          </w:tcPr>
          <w:p w14:paraId="048E4986">
            <w:pPr>
              <w:autoSpaceDE w:val="0"/>
              <w:autoSpaceDN w:val="0"/>
              <w:adjustRightInd w:val="0"/>
              <w:snapToGrid w:val="0"/>
              <w:jc w:val="center"/>
              <w:rPr>
                <w:szCs w:val="21"/>
              </w:rPr>
            </w:pPr>
            <w:r>
              <w:rPr>
                <w:rFonts w:hint="eastAsia"/>
                <w:szCs w:val="21"/>
              </w:rPr>
              <w:t>密闭苫盖措施</w:t>
            </w:r>
          </w:p>
        </w:tc>
        <w:tc>
          <w:tcPr>
            <w:tcW w:w="4124" w:type="pct"/>
            <w:tcBorders>
              <w:tl2br w:val="nil"/>
              <w:tr2bl w:val="nil"/>
            </w:tcBorders>
            <w:vAlign w:val="center"/>
          </w:tcPr>
          <w:p w14:paraId="61A7541F">
            <w:pPr>
              <w:autoSpaceDE w:val="0"/>
              <w:autoSpaceDN w:val="0"/>
              <w:adjustRightInd w:val="0"/>
              <w:snapToGrid w:val="0"/>
              <w:jc w:val="center"/>
              <w:rPr>
                <w:szCs w:val="21"/>
              </w:rPr>
            </w:pPr>
            <w:r>
              <w:rPr>
                <w:rFonts w:hint="eastAsia"/>
                <w:szCs w:val="21"/>
              </w:rPr>
              <w:t>①建筑材料采用密闭存储、设置围挡或堆砌围墙、采用防尘布苫盖等措施；②建筑垃圾采用覆盖防尘布、防尘网、定期喷洒抑尘剂、定期喷水压尘等措施，生活垃圾应用封闭式容器存放，日产日清，严禁随意丢弃；③施工现场集中堆放的土方和裸露场地必须采取覆盖、固化或绿化等降尘措施，严禁裸露；④施工现场易飞扬的细颗粒建筑材料必须密闭存放或严密覆盖，严禁露天放置；搬运时应有降尘措施，余料及时回收</w:t>
            </w:r>
          </w:p>
        </w:tc>
      </w:tr>
      <w:tr w14:paraId="64CDC4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8" w:type="pct"/>
            <w:tcBorders>
              <w:tl2br w:val="nil"/>
              <w:tr2bl w:val="nil"/>
            </w:tcBorders>
            <w:vAlign w:val="center"/>
          </w:tcPr>
          <w:p w14:paraId="6E93211C">
            <w:pPr>
              <w:autoSpaceDE w:val="0"/>
              <w:autoSpaceDN w:val="0"/>
              <w:adjustRightInd w:val="0"/>
              <w:snapToGrid w:val="0"/>
              <w:jc w:val="center"/>
              <w:rPr>
                <w:szCs w:val="21"/>
              </w:rPr>
            </w:pPr>
            <w:r>
              <w:rPr>
                <w:rFonts w:hint="eastAsia"/>
                <w:szCs w:val="21"/>
              </w:rPr>
              <w:t>6</w:t>
            </w:r>
          </w:p>
        </w:tc>
        <w:tc>
          <w:tcPr>
            <w:tcW w:w="597" w:type="pct"/>
            <w:tcBorders>
              <w:tl2br w:val="nil"/>
              <w:tr2bl w:val="nil"/>
            </w:tcBorders>
            <w:vAlign w:val="center"/>
          </w:tcPr>
          <w:p w14:paraId="1D6A2064">
            <w:pPr>
              <w:autoSpaceDE w:val="0"/>
              <w:autoSpaceDN w:val="0"/>
              <w:adjustRightInd w:val="0"/>
              <w:snapToGrid w:val="0"/>
              <w:jc w:val="center"/>
              <w:rPr>
                <w:szCs w:val="21"/>
              </w:rPr>
            </w:pPr>
            <w:r>
              <w:rPr>
                <w:rFonts w:hint="eastAsia"/>
                <w:szCs w:val="21"/>
              </w:rPr>
              <w:t>物料输送车辆密闭措施</w:t>
            </w:r>
          </w:p>
        </w:tc>
        <w:tc>
          <w:tcPr>
            <w:tcW w:w="4124" w:type="pct"/>
            <w:tcBorders>
              <w:tl2br w:val="nil"/>
              <w:tr2bl w:val="nil"/>
            </w:tcBorders>
            <w:vAlign w:val="center"/>
          </w:tcPr>
          <w:p w14:paraId="0B69617E">
            <w:pPr>
              <w:autoSpaceDE w:val="0"/>
              <w:autoSpaceDN w:val="0"/>
              <w:adjustRightInd w:val="0"/>
              <w:snapToGrid w:val="0"/>
              <w:jc w:val="center"/>
              <w:rPr>
                <w:szCs w:val="21"/>
              </w:rPr>
            </w:pPr>
            <w:r>
              <w:rPr>
                <w:rFonts w:hint="eastAsia"/>
                <w:szCs w:val="21"/>
              </w:rPr>
              <w:t>①进出工地的物料、渣土、垃圾运输车辆，应尽可能采用密闭车斗，并保证物料不遗撒外漏。若无密闭车斗，物料、垃圾、渣土的装载高度不得超过车辆槽帮上沿，车斗应用苫布遮盖严实；②装卸和运输渣土、砂石、建筑垃圾等易产生扬尘污染物料的，应当采取完全密闭措施</w:t>
            </w:r>
          </w:p>
        </w:tc>
      </w:tr>
      <w:tr w14:paraId="0EBFCCA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8" w:type="pct"/>
            <w:tcBorders>
              <w:tl2br w:val="nil"/>
              <w:tr2bl w:val="nil"/>
            </w:tcBorders>
            <w:vAlign w:val="center"/>
          </w:tcPr>
          <w:p w14:paraId="450AE9D0">
            <w:pPr>
              <w:autoSpaceDE w:val="0"/>
              <w:autoSpaceDN w:val="0"/>
              <w:adjustRightInd w:val="0"/>
              <w:snapToGrid w:val="0"/>
              <w:jc w:val="center"/>
              <w:rPr>
                <w:szCs w:val="21"/>
              </w:rPr>
            </w:pPr>
            <w:r>
              <w:rPr>
                <w:rFonts w:hint="eastAsia"/>
                <w:szCs w:val="21"/>
              </w:rPr>
              <w:t>7</w:t>
            </w:r>
          </w:p>
        </w:tc>
        <w:tc>
          <w:tcPr>
            <w:tcW w:w="597" w:type="pct"/>
            <w:tcBorders>
              <w:tl2br w:val="nil"/>
              <w:tr2bl w:val="nil"/>
            </w:tcBorders>
            <w:vAlign w:val="center"/>
          </w:tcPr>
          <w:p w14:paraId="4EB8AA7A">
            <w:pPr>
              <w:autoSpaceDE w:val="0"/>
              <w:autoSpaceDN w:val="0"/>
              <w:adjustRightInd w:val="0"/>
              <w:snapToGrid w:val="0"/>
              <w:jc w:val="center"/>
              <w:rPr>
                <w:szCs w:val="21"/>
              </w:rPr>
            </w:pPr>
            <w:r>
              <w:rPr>
                <w:rFonts w:hint="eastAsia"/>
                <w:szCs w:val="21"/>
              </w:rPr>
              <w:t>洒水抑尘措施</w:t>
            </w:r>
          </w:p>
        </w:tc>
        <w:tc>
          <w:tcPr>
            <w:tcW w:w="4124" w:type="pct"/>
            <w:tcBorders>
              <w:tl2br w:val="nil"/>
              <w:tr2bl w:val="nil"/>
            </w:tcBorders>
            <w:vAlign w:val="center"/>
          </w:tcPr>
          <w:p w14:paraId="1D70E2F7">
            <w:pPr>
              <w:autoSpaceDE w:val="0"/>
              <w:autoSpaceDN w:val="0"/>
              <w:adjustRightInd w:val="0"/>
              <w:snapToGrid w:val="0"/>
              <w:jc w:val="center"/>
              <w:rPr>
                <w:szCs w:val="21"/>
              </w:rPr>
            </w:pPr>
            <w:r>
              <w:rPr>
                <w:rFonts w:hint="eastAsia"/>
                <w:szCs w:val="21"/>
              </w:rPr>
              <w:t>遇到干燥、易起尘的土方工程作业时，应辅以洒水压尘，尽量缩短起尘操作时间，遇到四级及四级以上大风天气，应停止土方作业，同时作业处覆以防尘网</w:t>
            </w:r>
          </w:p>
        </w:tc>
      </w:tr>
      <w:tr w14:paraId="7CE71C7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8" w:type="pct"/>
            <w:tcBorders>
              <w:tl2br w:val="nil"/>
              <w:tr2bl w:val="nil"/>
            </w:tcBorders>
            <w:vAlign w:val="center"/>
          </w:tcPr>
          <w:p w14:paraId="6F1A57D0">
            <w:pPr>
              <w:autoSpaceDE w:val="0"/>
              <w:autoSpaceDN w:val="0"/>
              <w:adjustRightInd w:val="0"/>
              <w:snapToGrid w:val="0"/>
              <w:jc w:val="center"/>
              <w:rPr>
                <w:szCs w:val="21"/>
              </w:rPr>
            </w:pPr>
            <w:r>
              <w:rPr>
                <w:rFonts w:hint="eastAsia"/>
                <w:szCs w:val="21"/>
              </w:rPr>
              <w:t>8</w:t>
            </w:r>
          </w:p>
        </w:tc>
        <w:tc>
          <w:tcPr>
            <w:tcW w:w="597" w:type="pct"/>
            <w:tcBorders>
              <w:tl2br w:val="nil"/>
              <w:tr2bl w:val="nil"/>
            </w:tcBorders>
            <w:vAlign w:val="center"/>
          </w:tcPr>
          <w:p w14:paraId="60A7B528">
            <w:pPr>
              <w:autoSpaceDE w:val="0"/>
              <w:autoSpaceDN w:val="0"/>
              <w:adjustRightInd w:val="0"/>
              <w:snapToGrid w:val="0"/>
              <w:jc w:val="center"/>
              <w:rPr>
                <w:szCs w:val="21"/>
              </w:rPr>
            </w:pPr>
            <w:r>
              <w:rPr>
                <w:rFonts w:hint="eastAsia"/>
                <w:szCs w:val="21"/>
              </w:rPr>
              <w:t>拌合</w:t>
            </w:r>
          </w:p>
        </w:tc>
        <w:tc>
          <w:tcPr>
            <w:tcW w:w="4124" w:type="pct"/>
            <w:tcBorders>
              <w:tl2br w:val="nil"/>
              <w:tr2bl w:val="nil"/>
            </w:tcBorders>
            <w:vAlign w:val="center"/>
          </w:tcPr>
          <w:p w14:paraId="1CDD9D45">
            <w:pPr>
              <w:autoSpaceDE w:val="0"/>
              <w:autoSpaceDN w:val="0"/>
              <w:adjustRightInd w:val="0"/>
              <w:snapToGrid w:val="0"/>
              <w:jc w:val="center"/>
              <w:rPr>
                <w:szCs w:val="21"/>
              </w:rPr>
            </w:pPr>
            <w:r>
              <w:rPr>
                <w:rFonts w:hint="eastAsia"/>
                <w:szCs w:val="21"/>
              </w:rPr>
              <w:t>具备条件的地区施工现场必须使用商品混凝土、预拌砂浆，严禁现场搅拌</w:t>
            </w:r>
          </w:p>
        </w:tc>
      </w:tr>
      <w:tr w14:paraId="53C2B6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8" w:type="pct"/>
            <w:tcBorders>
              <w:tl2br w:val="nil"/>
              <w:tr2bl w:val="nil"/>
            </w:tcBorders>
            <w:vAlign w:val="center"/>
          </w:tcPr>
          <w:p w14:paraId="493B9DC7">
            <w:pPr>
              <w:autoSpaceDE w:val="0"/>
              <w:autoSpaceDN w:val="0"/>
              <w:adjustRightInd w:val="0"/>
              <w:snapToGrid w:val="0"/>
              <w:jc w:val="center"/>
              <w:rPr>
                <w:szCs w:val="21"/>
              </w:rPr>
            </w:pPr>
            <w:r>
              <w:rPr>
                <w:rFonts w:hint="eastAsia"/>
                <w:szCs w:val="21"/>
              </w:rPr>
              <w:t>9</w:t>
            </w:r>
          </w:p>
        </w:tc>
        <w:tc>
          <w:tcPr>
            <w:tcW w:w="597" w:type="pct"/>
            <w:tcBorders>
              <w:tl2br w:val="nil"/>
              <w:tr2bl w:val="nil"/>
            </w:tcBorders>
            <w:vAlign w:val="center"/>
          </w:tcPr>
          <w:p w14:paraId="0F20BD14">
            <w:pPr>
              <w:autoSpaceDE w:val="0"/>
              <w:autoSpaceDN w:val="0"/>
              <w:adjustRightInd w:val="0"/>
              <w:snapToGrid w:val="0"/>
              <w:jc w:val="center"/>
              <w:rPr>
                <w:szCs w:val="21"/>
              </w:rPr>
            </w:pPr>
            <w:r>
              <w:rPr>
                <w:rFonts w:hint="eastAsia"/>
                <w:szCs w:val="21"/>
              </w:rPr>
              <w:t>建筑垃圾</w:t>
            </w:r>
          </w:p>
        </w:tc>
        <w:tc>
          <w:tcPr>
            <w:tcW w:w="4124" w:type="pct"/>
            <w:tcBorders>
              <w:tl2br w:val="nil"/>
              <w:tr2bl w:val="nil"/>
            </w:tcBorders>
            <w:vAlign w:val="center"/>
          </w:tcPr>
          <w:p w14:paraId="76025D50">
            <w:pPr>
              <w:autoSpaceDE w:val="0"/>
              <w:autoSpaceDN w:val="0"/>
              <w:adjustRightInd w:val="0"/>
              <w:snapToGrid w:val="0"/>
              <w:jc w:val="center"/>
              <w:rPr>
                <w:szCs w:val="21"/>
              </w:rPr>
            </w:pPr>
            <w:r>
              <w:rPr>
                <w:rFonts w:hint="eastAsia"/>
                <w:szCs w:val="21"/>
              </w:rPr>
              <w:t>①建筑物内地面清扫垃圾进行洒水抑尘，保持干净整洁；②施工现场的建筑垃圾设置垃圾存放点，集中堆放并严密覆盖，及时清运。生活垃圾应用封闭式容器存放，日产日清，严禁随意丢弃、焚烧</w:t>
            </w:r>
          </w:p>
        </w:tc>
      </w:tr>
      <w:tr w14:paraId="65C3F8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8" w:type="pct"/>
            <w:tcBorders>
              <w:tl2br w:val="nil"/>
              <w:tr2bl w:val="nil"/>
            </w:tcBorders>
            <w:vAlign w:val="center"/>
          </w:tcPr>
          <w:p w14:paraId="6FF28AD4">
            <w:pPr>
              <w:autoSpaceDE w:val="0"/>
              <w:autoSpaceDN w:val="0"/>
              <w:adjustRightInd w:val="0"/>
              <w:snapToGrid w:val="0"/>
              <w:jc w:val="center"/>
              <w:rPr>
                <w:szCs w:val="21"/>
              </w:rPr>
            </w:pPr>
            <w:r>
              <w:rPr>
                <w:rFonts w:hint="eastAsia"/>
                <w:szCs w:val="21"/>
              </w:rPr>
              <w:t>10</w:t>
            </w:r>
          </w:p>
        </w:tc>
        <w:tc>
          <w:tcPr>
            <w:tcW w:w="597" w:type="pct"/>
            <w:tcBorders>
              <w:tl2br w:val="nil"/>
              <w:tr2bl w:val="nil"/>
            </w:tcBorders>
            <w:vAlign w:val="center"/>
          </w:tcPr>
          <w:p w14:paraId="46C4EA71">
            <w:pPr>
              <w:autoSpaceDE w:val="0"/>
              <w:autoSpaceDN w:val="0"/>
              <w:adjustRightInd w:val="0"/>
              <w:snapToGrid w:val="0"/>
              <w:jc w:val="center"/>
              <w:rPr>
                <w:szCs w:val="21"/>
              </w:rPr>
            </w:pPr>
            <w:r>
              <w:rPr>
                <w:rFonts w:hint="eastAsia"/>
                <w:szCs w:val="21"/>
              </w:rPr>
              <w:t>线控系统</w:t>
            </w:r>
          </w:p>
        </w:tc>
        <w:tc>
          <w:tcPr>
            <w:tcW w:w="4124" w:type="pct"/>
            <w:tcBorders>
              <w:tl2br w:val="nil"/>
              <w:tr2bl w:val="nil"/>
            </w:tcBorders>
            <w:vAlign w:val="center"/>
          </w:tcPr>
          <w:p w14:paraId="0B62BB9C">
            <w:pPr>
              <w:autoSpaceDE w:val="0"/>
              <w:autoSpaceDN w:val="0"/>
              <w:adjustRightInd w:val="0"/>
              <w:snapToGrid w:val="0"/>
              <w:jc w:val="center"/>
              <w:rPr>
                <w:szCs w:val="21"/>
              </w:rPr>
            </w:pPr>
            <w:r>
              <w:rPr>
                <w:rFonts w:hint="eastAsia"/>
                <w:szCs w:val="21"/>
              </w:rPr>
              <w:t>施工现场出入口必须安装视频监控系统，对施工扬尘实时监控，鼓励在施工现场安装空气质量检测仪等装置</w:t>
            </w:r>
          </w:p>
        </w:tc>
      </w:tr>
    </w:tbl>
    <w:p w14:paraId="2A2FCC32">
      <w:pPr>
        <w:autoSpaceDE w:val="0"/>
        <w:autoSpaceDN w:val="0"/>
        <w:adjustRightInd w:val="0"/>
        <w:snapToGrid w:val="0"/>
        <w:spacing w:line="480" w:lineRule="exact"/>
        <w:ind w:firstLine="480" w:firstLineChars="200"/>
        <w:rPr>
          <w:sz w:val="24"/>
        </w:rPr>
      </w:pPr>
      <w:r>
        <w:rPr>
          <w:rFonts w:hint="eastAsia"/>
          <w:sz w:val="24"/>
          <w:lang w:val="zh-CN"/>
        </w:rPr>
        <w:t>项目</w:t>
      </w:r>
      <w:r>
        <w:rPr>
          <w:rFonts w:hint="eastAsia"/>
          <w:sz w:val="24"/>
        </w:rPr>
        <w:t>严格按照《河北省扬尘污染防治办法》（河北省人民政府令〔2020〕1号）、《河北省建筑施工扬尘防治强化措施18条》、《施工场地扬尘排放标准》(DB13/2934-2019)、《河北省大气污染防治条例》（2021年9月29日修正）、《河北省2024年建筑施工扬尘污染防治工作方案》（冀建质安函〔2024〕115号）、《河北省城市精细化管理标准》(DB13(J)T/8349-2020)、《石家庄市人民政府办公室关于印发〈石家庄市重污染天气应急预案〉的通知》、《河北省生态环境厅关于加快建立环境监管正面清单的通知》（冀环大气函〔2019〕1055号）要求采取抑尘措施，同时结合《防治城市扬尘污染技术规范》(HJ/T393-2007)、《扬尘在线监测系统建设及运行技术规范》（DB13/T2935-2019）及同类施工场地采取的抑尘措施，通过设置围挡、地面硬化、密闭储存、加盖防尘网、定期喷水等方式降低施工扬尘对周边环境产生的影响。</w:t>
      </w:r>
    </w:p>
    <w:p w14:paraId="06B968B1">
      <w:pPr>
        <w:autoSpaceDE w:val="0"/>
        <w:autoSpaceDN w:val="0"/>
        <w:adjustRightInd w:val="0"/>
        <w:snapToGrid w:val="0"/>
        <w:spacing w:line="480" w:lineRule="exact"/>
        <w:ind w:firstLine="480" w:firstLineChars="200"/>
        <w:rPr>
          <w:sz w:val="24"/>
        </w:rPr>
      </w:pPr>
      <w:r>
        <w:rPr>
          <w:rFonts w:hint="eastAsia"/>
          <w:sz w:val="24"/>
        </w:rPr>
        <w:t>通过以上措施治理后，可有效控制施工扬尘，对环境的影响将会大大降低，扬尘对环境的影响将随施工的结束而消失。</w:t>
      </w:r>
    </w:p>
    <w:p w14:paraId="11F20F91">
      <w:pPr>
        <w:autoSpaceDE w:val="0"/>
        <w:autoSpaceDN w:val="0"/>
        <w:adjustRightInd w:val="0"/>
        <w:snapToGrid w:val="0"/>
        <w:spacing w:line="480" w:lineRule="exact"/>
        <w:ind w:firstLine="480" w:firstLineChars="200"/>
        <w:rPr>
          <w:sz w:val="24"/>
        </w:rPr>
      </w:pPr>
      <w:r>
        <w:rPr>
          <w:rFonts w:hint="eastAsia"/>
          <w:sz w:val="24"/>
        </w:rPr>
        <w:t>施工机械、运输车辆短时间内将造成局部环境空气中污染物浓度升高，在大气的稀释扩散作用下不会对周边造成影响，并且此类废气为间断排放，随施工期的结束而消失。</w:t>
      </w:r>
    </w:p>
    <w:p w14:paraId="0E4BE92C">
      <w:pPr>
        <w:autoSpaceDE w:val="0"/>
        <w:autoSpaceDN w:val="0"/>
        <w:adjustRightInd w:val="0"/>
        <w:snapToGrid w:val="0"/>
        <w:spacing w:line="480" w:lineRule="exact"/>
        <w:ind w:firstLine="480" w:firstLineChars="200"/>
        <w:rPr>
          <w:sz w:val="24"/>
        </w:rPr>
      </w:pPr>
      <w:r>
        <w:rPr>
          <w:rFonts w:hint="eastAsia"/>
          <w:sz w:val="24"/>
        </w:rPr>
        <w:t>2、水环境影响保护措施</w:t>
      </w:r>
    </w:p>
    <w:p w14:paraId="113CF901">
      <w:pPr>
        <w:autoSpaceDE w:val="0"/>
        <w:autoSpaceDN w:val="0"/>
        <w:adjustRightInd w:val="0"/>
        <w:snapToGrid w:val="0"/>
        <w:spacing w:line="480" w:lineRule="exact"/>
        <w:ind w:firstLine="480" w:firstLineChars="200"/>
        <w:rPr>
          <w:sz w:val="24"/>
        </w:rPr>
      </w:pPr>
      <w:r>
        <w:rPr>
          <w:rFonts w:hint="eastAsia"/>
          <w:sz w:val="24"/>
        </w:rPr>
        <w:t>施工期施工废水来源主要为施工废水和施工人员的生活污水。</w:t>
      </w:r>
    </w:p>
    <w:p w14:paraId="6B2961CB">
      <w:pPr>
        <w:autoSpaceDE w:val="0"/>
        <w:autoSpaceDN w:val="0"/>
        <w:adjustRightInd w:val="0"/>
        <w:snapToGrid w:val="0"/>
        <w:spacing w:line="480" w:lineRule="exact"/>
        <w:ind w:firstLine="480" w:firstLineChars="200"/>
        <w:rPr>
          <w:sz w:val="24"/>
        </w:rPr>
      </w:pPr>
      <w:r>
        <w:rPr>
          <w:rFonts w:hint="eastAsia"/>
          <w:sz w:val="24"/>
        </w:rPr>
        <w:t>施工废水包括砂石冲洗水，混凝土养护水、场地冲洗水以及机械设备运转的冷却水和洗涤水、混凝土输送系统冲洗废水等，这部分废水除含有少量的油污和泥沙外，基本没有其他污染指标。采取以下施工废水污染防治措施：</w:t>
      </w:r>
    </w:p>
    <w:p w14:paraId="2D999F0F">
      <w:pPr>
        <w:autoSpaceDE w:val="0"/>
        <w:autoSpaceDN w:val="0"/>
        <w:adjustRightInd w:val="0"/>
        <w:snapToGrid w:val="0"/>
        <w:spacing w:line="480" w:lineRule="exact"/>
        <w:ind w:firstLine="480" w:firstLineChars="200"/>
        <w:rPr>
          <w:sz w:val="24"/>
        </w:rPr>
      </w:pPr>
      <w:r>
        <w:rPr>
          <w:rFonts w:hint="eastAsia"/>
          <w:sz w:val="24"/>
        </w:rPr>
        <w:t>（1）施工时产生的砂石冲洗水，混凝土养护水、场地冲洗水以及机械设备运转的冷却水和洗涤水、混凝土输送系统冲洗废水等应设置临时沉砂池，经沉砂池沉淀处理后回用于砂石骨料加工、周围区域绿化及道路降尘用水，禁止排入地表水体系内污染水体。工程完工后，尽快对周边进行绿化、恢复或地面硬化；（2）对施工流动机械的冲洗设固定场所，冲洗水进入沉淀池处理后全部回用于砂石骨料加工及道路降尘用水，禁止排入地表水体；（3）施工单位对施工场地用水应严格管理，贯彻“一水多用、重复利用、节约用水”的原则，尽量减少废水的排放量，减轻废水排放对周围环境的影响。骨料清洗废水经沉淀处理后循环使用，多余部分可用作低标号砂浆搅和用水；（4）加强施工期工地用水管理：节约用水，尽可能避免施工用水过程中的“跑、冒、滴、漏”，减少施工废水外排量；（5）在施工营地内设置临时旱厕，存放生活污水，旱厕定期清理用做周边农田用肥。</w:t>
      </w:r>
    </w:p>
    <w:p w14:paraId="7977D518">
      <w:pPr>
        <w:autoSpaceDE w:val="0"/>
        <w:autoSpaceDN w:val="0"/>
        <w:adjustRightInd w:val="0"/>
        <w:snapToGrid w:val="0"/>
        <w:spacing w:line="480" w:lineRule="exact"/>
        <w:ind w:firstLine="480" w:firstLineChars="200"/>
        <w:rPr>
          <w:sz w:val="24"/>
        </w:rPr>
      </w:pPr>
      <w:r>
        <w:rPr>
          <w:rFonts w:hint="eastAsia"/>
          <w:sz w:val="24"/>
        </w:rPr>
        <w:t>综上所述，施工期废水的环境影响是短期的，且受人为影响较大，只要加强现场施工管理，并采取以上防护措施后，本项目施工期废水排放对项目所在区域的地下水环境影响很小。</w:t>
      </w:r>
    </w:p>
    <w:p w14:paraId="0536E0F9">
      <w:pPr>
        <w:autoSpaceDE w:val="0"/>
        <w:autoSpaceDN w:val="0"/>
        <w:adjustRightInd w:val="0"/>
        <w:snapToGrid w:val="0"/>
        <w:spacing w:line="480" w:lineRule="exact"/>
        <w:ind w:firstLine="480" w:firstLineChars="200"/>
        <w:rPr>
          <w:sz w:val="24"/>
        </w:rPr>
      </w:pPr>
      <w:r>
        <w:rPr>
          <w:rFonts w:hint="eastAsia"/>
          <w:sz w:val="24"/>
        </w:rPr>
        <w:t>3、声环境影响保护措施</w:t>
      </w:r>
    </w:p>
    <w:p w14:paraId="25616FA0">
      <w:pPr>
        <w:autoSpaceDE w:val="0"/>
        <w:autoSpaceDN w:val="0"/>
        <w:adjustRightInd w:val="0"/>
        <w:snapToGrid w:val="0"/>
        <w:spacing w:line="480" w:lineRule="exact"/>
        <w:ind w:firstLine="480" w:firstLineChars="200"/>
        <w:rPr>
          <w:sz w:val="24"/>
        </w:rPr>
      </w:pPr>
      <w:r>
        <w:rPr>
          <w:rFonts w:hint="eastAsia"/>
          <w:sz w:val="24"/>
        </w:rPr>
        <w:t>施工现场的各类机械设备包括装载机、挖掘机、推土机、混凝土搅拌机等，是最主要的施工噪声源。由于施工机械噪声源强较大，为降低施工噪声对环境的影响，在施工期应采取以下措施：</w:t>
      </w:r>
    </w:p>
    <w:p w14:paraId="26040553">
      <w:pPr>
        <w:autoSpaceDE w:val="0"/>
        <w:autoSpaceDN w:val="0"/>
        <w:adjustRightInd w:val="0"/>
        <w:snapToGrid w:val="0"/>
        <w:spacing w:line="480" w:lineRule="exact"/>
        <w:ind w:firstLine="480" w:firstLineChars="200"/>
        <w:rPr>
          <w:sz w:val="24"/>
        </w:rPr>
      </w:pPr>
      <w:r>
        <w:rPr>
          <w:rFonts w:hint="eastAsia"/>
          <w:sz w:val="24"/>
        </w:rPr>
        <w:t>为确保厂界施工噪声达标，减轻对声环境的影响，建设单位应采取以下措施：①尽量采用低噪声设备，可固定的机械设备安置在施工场地临时房间内降低噪声；施工机械要注意保养、合理操作，尽量使机械噪声降低至最低水平；②施工期间应通过各种手段要求工程施工队伍文明施工，加强管理，以缓解噪声对环境的影响；③合理制定施工计划，严格控制和管理产生噪声的设备的使用时间，尽可能避免在同一区段安排大量强噪声设备同时施工；尽量使噪声高的设备在白天运行，禁止夜间施工；④建设与施工单位应与周围单位、居民建立良好关系，及时使其了解施工进度及采取的降噪措施，取得居民的理解；⑤建设管理部门应加强对施工工地的噪声管理，对施工期环境噪声进行监测对环境产生影响的，要积极采取补救措施；⑥工程夜间施工须向当地环保部门申报，获得批准后方可施工。</w:t>
      </w:r>
    </w:p>
    <w:p w14:paraId="034CFD79">
      <w:pPr>
        <w:autoSpaceDE w:val="0"/>
        <w:autoSpaceDN w:val="0"/>
        <w:adjustRightInd w:val="0"/>
        <w:snapToGrid w:val="0"/>
        <w:spacing w:line="480" w:lineRule="exact"/>
        <w:ind w:firstLine="480" w:firstLineChars="200"/>
        <w:rPr>
          <w:sz w:val="24"/>
        </w:rPr>
      </w:pPr>
      <w:r>
        <w:rPr>
          <w:rFonts w:hint="eastAsia"/>
          <w:sz w:val="24"/>
        </w:rPr>
        <w:t>在采取环保措施可行性分析中提出的声源控制、施工时间安排等施工期噪声防治措施后，可有效降低施工噪声对居民的影响。</w:t>
      </w:r>
    </w:p>
    <w:p w14:paraId="3BA4C6E6">
      <w:pPr>
        <w:autoSpaceDE w:val="0"/>
        <w:autoSpaceDN w:val="0"/>
        <w:adjustRightInd w:val="0"/>
        <w:snapToGrid w:val="0"/>
        <w:spacing w:line="480" w:lineRule="exact"/>
        <w:ind w:firstLine="480" w:firstLineChars="200"/>
        <w:rPr>
          <w:sz w:val="24"/>
        </w:rPr>
      </w:pPr>
      <w:r>
        <w:rPr>
          <w:rFonts w:hint="eastAsia"/>
          <w:sz w:val="24"/>
        </w:rPr>
        <w:t>4、固体废物环境影响保护措施</w:t>
      </w:r>
    </w:p>
    <w:p w14:paraId="3B6F4B63">
      <w:pPr>
        <w:autoSpaceDE w:val="0"/>
        <w:autoSpaceDN w:val="0"/>
        <w:adjustRightInd w:val="0"/>
        <w:snapToGrid w:val="0"/>
        <w:spacing w:line="480" w:lineRule="exact"/>
        <w:ind w:firstLine="480" w:firstLineChars="200"/>
        <w:rPr>
          <w:sz w:val="24"/>
        </w:rPr>
      </w:pPr>
      <w:r>
        <w:rPr>
          <w:rFonts w:hint="eastAsia"/>
          <w:sz w:val="24"/>
        </w:rPr>
        <w:t>施工中产生的固体废物主要是建筑垃圾和生活垃圾。</w:t>
      </w:r>
    </w:p>
    <w:p w14:paraId="37ABD9AD">
      <w:pPr>
        <w:autoSpaceDE w:val="0"/>
        <w:autoSpaceDN w:val="0"/>
        <w:adjustRightInd w:val="0"/>
        <w:snapToGrid w:val="0"/>
        <w:spacing w:line="480" w:lineRule="exact"/>
        <w:ind w:firstLine="480" w:firstLineChars="200"/>
        <w:rPr>
          <w:sz w:val="24"/>
        </w:rPr>
      </w:pPr>
      <w:r>
        <w:rPr>
          <w:rFonts w:hint="eastAsia"/>
          <w:sz w:val="24"/>
        </w:rPr>
        <w:t>施工过程中产生的固体废物均为一般固体废物。工程中产生的弃土大部分用于回填地基，剩余部分用于厂区沟坑的填埋及厂区的平整，建筑垃圾送市政部门指定地点堆存，不会对环境产生明显影响；生活垃圾产生量较小，收集后统一交环卫部门处理。</w:t>
      </w:r>
    </w:p>
    <w:p w14:paraId="56CA8AFA">
      <w:pPr>
        <w:pStyle w:val="10"/>
        <w:spacing w:line="480" w:lineRule="exact"/>
      </w:pPr>
      <w:r>
        <w:rPr>
          <w:rFonts w:hint="eastAsia"/>
        </w:rPr>
        <w:t>采取以上措施后，本项目施工期采取的固废处置措施可行</w:t>
      </w:r>
      <w:r>
        <w:t>。</w:t>
      </w:r>
    </w:p>
    <w:p w14:paraId="3FD24573">
      <w:pPr>
        <w:rPr>
          <w:rFonts w:hint="eastAsia"/>
        </w:rPr>
      </w:pPr>
      <w:r>
        <w:rPr>
          <w:rFonts w:hint="eastAsia"/>
        </w:rPr>
        <w:t>以上影响为短期影响，将会随施工期的结束而消除，在落实以上污染防治措施后不会对周围环境产生明显影响。</w:t>
      </w:r>
    </w:p>
    <w:p w14:paraId="71CF0ECE">
      <w:pPr>
        <w:spacing w:line="360" w:lineRule="auto"/>
        <w:ind w:firstLine="480" w:firstLineChars="200"/>
        <w:rPr>
          <w:bCs/>
          <w:color w:val="000000" w:themeColor="text1"/>
          <w:kern w:val="0"/>
          <w:sz w:val="24"/>
          <w:szCs w:val="20"/>
          <w14:textFill>
            <w14:solidFill>
              <w14:schemeClr w14:val="tx1"/>
            </w14:solidFill>
          </w14:textFill>
        </w:rPr>
      </w:pPr>
      <w:r>
        <w:rPr>
          <w:rFonts w:hint="eastAsia"/>
          <w:bCs/>
          <w:color w:val="000000" w:themeColor="text1"/>
          <w:kern w:val="0"/>
          <w:sz w:val="24"/>
          <w:szCs w:val="20"/>
          <w14:textFill>
            <w14:solidFill>
              <w14:schemeClr w14:val="tx1"/>
            </w14:solidFill>
          </w14:textFill>
        </w:rPr>
        <w:t>1、</w:t>
      </w:r>
      <w:r>
        <w:rPr>
          <w:bCs/>
          <w:color w:val="000000" w:themeColor="text1"/>
          <w:kern w:val="0"/>
          <w:sz w:val="24"/>
          <w:szCs w:val="20"/>
          <w14:textFill>
            <w14:solidFill>
              <w14:schemeClr w14:val="tx1"/>
            </w14:solidFill>
          </w14:textFill>
        </w:rPr>
        <w:t>废气</w:t>
      </w:r>
    </w:p>
    <w:p w14:paraId="2F77D9FE">
      <w:pPr>
        <w:pStyle w:val="8"/>
        <w:numPr>
          <w:ilvl w:val="0"/>
          <w:numId w:val="0"/>
        </w:numPr>
        <w:spacing w:line="240" w:lineRule="auto"/>
        <w:rPr>
          <w:color w:val="000000" w:themeColor="text1"/>
          <w14:textFill>
            <w14:solidFill>
              <w14:schemeClr w14:val="tx1"/>
            </w14:solidFill>
          </w14:textFill>
        </w:rPr>
      </w:pPr>
      <w:r>
        <w:rPr>
          <w:rFonts w:hint="eastAsia"/>
          <w:bCs w:val="0"/>
          <w:color w:val="000000" w:themeColor="text1"/>
          <w14:textFill>
            <w14:solidFill>
              <w14:schemeClr w14:val="tx1"/>
            </w14:solidFill>
          </w14:textFill>
        </w:rPr>
        <w:t>表4-2</w:t>
      </w:r>
      <w:r>
        <w:rPr>
          <w:rFonts w:hint="eastAsia"/>
          <w:color w:val="000000" w:themeColor="text1"/>
          <w14:textFill>
            <w14:solidFill>
              <w14:schemeClr w14:val="tx1"/>
            </w14:solidFill>
          </w14:textFill>
        </w:rPr>
        <w:t>项目废气产生、治理以及排放情况</w:t>
      </w:r>
      <w:r>
        <w:rPr>
          <w:color w:val="000000" w:themeColor="text1"/>
          <w14:textFill>
            <w14:solidFill>
              <w14:schemeClr w14:val="tx1"/>
            </w14:solidFill>
          </w14:textFill>
        </w:rPr>
        <w:t>一览表</w:t>
      </w:r>
    </w:p>
    <w:tbl>
      <w:tblPr>
        <w:tblStyle w:val="4"/>
        <w:tblW w:w="0" w:type="auto"/>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autofit"/>
        <w:tblCellMar>
          <w:top w:w="15" w:type="dxa"/>
          <w:left w:w="15" w:type="dxa"/>
          <w:bottom w:w="15" w:type="dxa"/>
          <w:right w:w="15" w:type="dxa"/>
        </w:tblCellMar>
      </w:tblPr>
      <w:tblGrid>
        <w:gridCol w:w="405"/>
        <w:gridCol w:w="217"/>
        <w:gridCol w:w="217"/>
        <w:gridCol w:w="665"/>
        <w:gridCol w:w="647"/>
        <w:gridCol w:w="217"/>
        <w:gridCol w:w="592"/>
        <w:gridCol w:w="217"/>
        <w:gridCol w:w="464"/>
        <w:gridCol w:w="220"/>
        <w:gridCol w:w="217"/>
        <w:gridCol w:w="217"/>
        <w:gridCol w:w="665"/>
        <w:gridCol w:w="743"/>
        <w:gridCol w:w="743"/>
        <w:gridCol w:w="1890"/>
      </w:tblGrid>
      <w:tr w14:paraId="20DB5C4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340" w:hRule="atLeast"/>
          <w:jc w:val="center"/>
        </w:trPr>
        <w:tc>
          <w:tcPr>
            <w:tcW w:w="0" w:type="auto"/>
            <w:vMerge w:val="restart"/>
            <w:vAlign w:val="center"/>
          </w:tcPr>
          <w:p w14:paraId="23F2A125">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产排污环节</w:t>
            </w:r>
          </w:p>
        </w:tc>
        <w:tc>
          <w:tcPr>
            <w:tcW w:w="0" w:type="auto"/>
            <w:vMerge w:val="restart"/>
            <w:vAlign w:val="center"/>
          </w:tcPr>
          <w:p w14:paraId="2E1CC0F0">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污染物</w:t>
            </w:r>
          </w:p>
        </w:tc>
        <w:tc>
          <w:tcPr>
            <w:tcW w:w="0" w:type="auto"/>
            <w:gridSpan w:val="3"/>
            <w:vAlign w:val="center"/>
          </w:tcPr>
          <w:p w14:paraId="20228F61">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污染物产生</w:t>
            </w:r>
          </w:p>
        </w:tc>
        <w:tc>
          <w:tcPr>
            <w:tcW w:w="0" w:type="auto"/>
            <w:vMerge w:val="restart"/>
            <w:vAlign w:val="center"/>
          </w:tcPr>
          <w:p w14:paraId="68E34E0F">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排放形式</w:t>
            </w:r>
          </w:p>
        </w:tc>
        <w:tc>
          <w:tcPr>
            <w:tcW w:w="3026" w:type="dxa"/>
            <w:gridSpan w:val="5"/>
            <w:vAlign w:val="center"/>
          </w:tcPr>
          <w:p w14:paraId="73367CC6">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治理设施</w:t>
            </w:r>
          </w:p>
        </w:tc>
        <w:tc>
          <w:tcPr>
            <w:tcW w:w="3832" w:type="dxa"/>
            <w:gridSpan w:val="4"/>
            <w:vAlign w:val="center"/>
          </w:tcPr>
          <w:p w14:paraId="0C5DA448">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污染物排放</w:t>
            </w:r>
          </w:p>
        </w:tc>
        <w:tc>
          <w:tcPr>
            <w:tcW w:w="2509" w:type="dxa"/>
            <w:vMerge w:val="restart"/>
            <w:vAlign w:val="center"/>
          </w:tcPr>
          <w:p w14:paraId="7F740471">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排放标准</w:t>
            </w:r>
          </w:p>
        </w:tc>
      </w:tr>
      <w:tr w14:paraId="4F921C3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340" w:hRule="atLeast"/>
          <w:jc w:val="center"/>
        </w:trPr>
        <w:tc>
          <w:tcPr>
            <w:tcW w:w="0" w:type="auto"/>
            <w:vMerge w:val="continue"/>
            <w:vAlign w:val="center"/>
          </w:tcPr>
          <w:p w14:paraId="1A703277">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5D4CBFD1">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6467A4CB">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核算方法</w:t>
            </w:r>
          </w:p>
        </w:tc>
        <w:tc>
          <w:tcPr>
            <w:tcW w:w="0" w:type="auto"/>
            <w:vAlign w:val="center"/>
          </w:tcPr>
          <w:p w14:paraId="7729E0DA">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产生浓度(mg/m</w:t>
            </w:r>
            <w:r>
              <w:rPr>
                <w:color w:val="000000" w:themeColor="text1"/>
                <w:kern w:val="0"/>
                <w:vertAlign w:val="superscript"/>
                <w:lang w:bidi="ar"/>
                <w14:textFill>
                  <w14:solidFill>
                    <w14:schemeClr w14:val="tx1"/>
                  </w14:solidFill>
                </w14:textFill>
              </w:rPr>
              <w:t>3</w:t>
            </w:r>
            <w:r>
              <w:rPr>
                <w:color w:val="000000" w:themeColor="text1"/>
                <w:kern w:val="0"/>
                <w:lang w:bidi="ar"/>
                <w14:textFill>
                  <w14:solidFill>
                    <w14:schemeClr w14:val="tx1"/>
                  </w14:solidFill>
                </w14:textFill>
              </w:rPr>
              <w:t>)</w:t>
            </w:r>
          </w:p>
        </w:tc>
        <w:tc>
          <w:tcPr>
            <w:tcW w:w="0" w:type="auto"/>
            <w:vAlign w:val="center"/>
          </w:tcPr>
          <w:p w14:paraId="1CA3F49F">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产生量(t/a)</w:t>
            </w:r>
          </w:p>
        </w:tc>
        <w:tc>
          <w:tcPr>
            <w:tcW w:w="0" w:type="auto"/>
            <w:vMerge w:val="continue"/>
            <w:vAlign w:val="center"/>
          </w:tcPr>
          <w:p w14:paraId="58EC411E">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3B41E48A">
            <w:pPr>
              <w:widowControl/>
              <w:jc w:val="center"/>
              <w:textAlignment w:val="center"/>
              <w:rPr>
                <w:rFonts w:hint="default" w:eastAsia="宋体"/>
                <w:color w:val="000000" w:themeColor="text1"/>
                <w:kern w:val="0"/>
                <w:lang w:val="en-US" w:eastAsia="zh-CN"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收集措施</w:t>
            </w:r>
          </w:p>
        </w:tc>
        <w:tc>
          <w:tcPr>
            <w:tcW w:w="0" w:type="auto"/>
            <w:vAlign w:val="center"/>
          </w:tcPr>
          <w:p w14:paraId="7A8AEF11">
            <w:pPr>
              <w:widowControl/>
              <w:jc w:val="center"/>
              <w:textAlignment w:val="center"/>
              <w:rPr>
                <w:rFonts w:hint="eastAsia" w:eastAsia="宋体"/>
                <w:color w:val="000000" w:themeColor="text1"/>
                <w:kern w:val="0"/>
                <w:lang w:eastAsia="zh-CN" w:bidi="ar"/>
                <w14:textFill>
                  <w14:solidFill>
                    <w14:schemeClr w14:val="tx1"/>
                  </w14:solidFill>
                </w14:textFill>
              </w:rPr>
            </w:pPr>
            <w:r>
              <w:rPr>
                <w:color w:val="000000" w:themeColor="text1"/>
                <w:kern w:val="0"/>
                <w:lang w:bidi="ar"/>
                <w14:textFill>
                  <w14:solidFill>
                    <w14:schemeClr w14:val="tx1"/>
                  </w14:solidFill>
                </w14:textFill>
              </w:rPr>
              <w:t>处理</w:t>
            </w:r>
            <w:r>
              <w:rPr>
                <w:rFonts w:hint="eastAsia"/>
                <w:color w:val="000000" w:themeColor="text1"/>
                <w:kern w:val="0"/>
                <w:lang w:val="en-US" w:eastAsia="zh-CN" w:bidi="ar"/>
                <w14:textFill>
                  <w14:solidFill>
                    <w14:schemeClr w14:val="tx1"/>
                  </w14:solidFill>
                </w14:textFill>
              </w:rPr>
              <w:t>措施</w:t>
            </w:r>
          </w:p>
        </w:tc>
        <w:tc>
          <w:tcPr>
            <w:tcW w:w="0" w:type="auto"/>
            <w:vAlign w:val="center"/>
          </w:tcPr>
          <w:p w14:paraId="3F0250D8">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收集效率</w:t>
            </w:r>
          </w:p>
          <w:p w14:paraId="56E43713">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w:t>
            </w:r>
          </w:p>
        </w:tc>
        <w:tc>
          <w:tcPr>
            <w:tcW w:w="410" w:type="dxa"/>
            <w:vAlign w:val="center"/>
          </w:tcPr>
          <w:p w14:paraId="0C21AE1F">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去除率</w:t>
            </w:r>
          </w:p>
          <w:p w14:paraId="0321830D">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w:t>
            </w:r>
          </w:p>
        </w:tc>
        <w:tc>
          <w:tcPr>
            <w:tcW w:w="559" w:type="dxa"/>
            <w:vAlign w:val="center"/>
          </w:tcPr>
          <w:p w14:paraId="37AD4E82">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是否为可行技术</w:t>
            </w:r>
          </w:p>
        </w:tc>
        <w:tc>
          <w:tcPr>
            <w:tcW w:w="696" w:type="dxa"/>
            <w:vAlign w:val="center"/>
          </w:tcPr>
          <w:p w14:paraId="0EA9A155">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核算方法</w:t>
            </w:r>
          </w:p>
        </w:tc>
        <w:tc>
          <w:tcPr>
            <w:tcW w:w="1063" w:type="dxa"/>
            <w:vAlign w:val="center"/>
          </w:tcPr>
          <w:p w14:paraId="1C9EE4AA">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排放浓度(mg/m</w:t>
            </w:r>
            <w:r>
              <w:rPr>
                <w:color w:val="000000" w:themeColor="text1"/>
                <w:kern w:val="0"/>
                <w:vertAlign w:val="superscript"/>
                <w:lang w:bidi="ar"/>
                <w14:textFill>
                  <w14:solidFill>
                    <w14:schemeClr w14:val="tx1"/>
                  </w14:solidFill>
                </w14:textFill>
              </w:rPr>
              <w:t>3</w:t>
            </w:r>
            <w:r>
              <w:rPr>
                <w:color w:val="000000" w:themeColor="text1"/>
                <w:kern w:val="0"/>
                <w:lang w:bidi="ar"/>
                <w14:textFill>
                  <w14:solidFill>
                    <w14:schemeClr w14:val="tx1"/>
                  </w14:solidFill>
                </w14:textFill>
              </w:rPr>
              <w:t>)</w:t>
            </w:r>
          </w:p>
        </w:tc>
        <w:tc>
          <w:tcPr>
            <w:tcW w:w="1023" w:type="dxa"/>
            <w:vAlign w:val="center"/>
          </w:tcPr>
          <w:p w14:paraId="16B71CBC">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排放速率(kg/h)</w:t>
            </w:r>
          </w:p>
        </w:tc>
        <w:tc>
          <w:tcPr>
            <w:tcW w:w="1050" w:type="dxa"/>
            <w:vAlign w:val="center"/>
          </w:tcPr>
          <w:p w14:paraId="09D61D02">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排放量(t/a)</w:t>
            </w:r>
          </w:p>
        </w:tc>
        <w:tc>
          <w:tcPr>
            <w:tcW w:w="2509" w:type="dxa"/>
            <w:vMerge w:val="continue"/>
            <w:vAlign w:val="center"/>
          </w:tcPr>
          <w:p w14:paraId="76239EDB">
            <w:pPr>
              <w:widowControl/>
              <w:jc w:val="center"/>
              <w:textAlignment w:val="center"/>
              <w:rPr>
                <w:color w:val="000000" w:themeColor="text1"/>
                <w:kern w:val="0"/>
                <w:lang w:bidi="ar"/>
                <w14:textFill>
                  <w14:solidFill>
                    <w14:schemeClr w14:val="tx1"/>
                  </w14:solidFill>
                </w14:textFill>
              </w:rPr>
            </w:pPr>
          </w:p>
        </w:tc>
      </w:tr>
      <w:tr w14:paraId="6A31F8C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1608" w:hRule="exact"/>
          <w:jc w:val="center"/>
        </w:trPr>
        <w:tc>
          <w:tcPr>
            <w:tcW w:w="0" w:type="auto"/>
            <w:vAlign w:val="center"/>
          </w:tcPr>
          <w:p w14:paraId="3350352E">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稀配、搅拌、</w:t>
            </w:r>
            <w:r>
              <w:rPr>
                <w:rFonts w:hint="eastAsia"/>
                <w:color w:val="000000" w:themeColor="text1"/>
                <w:kern w:val="0"/>
                <w:lang w:bidi="ar"/>
                <w14:textFill>
                  <w14:solidFill>
                    <w14:schemeClr w14:val="tx1"/>
                  </w14:solidFill>
                </w14:textFill>
              </w:rPr>
              <w:t>过滤、</w:t>
            </w:r>
            <w:r>
              <w:rPr>
                <w:color w:val="000000" w:themeColor="text1"/>
                <w:kern w:val="0"/>
                <w:lang w:bidi="ar"/>
                <w14:textFill>
                  <w14:solidFill>
                    <w14:schemeClr w14:val="tx1"/>
                  </w14:solidFill>
                </w14:textFill>
              </w:rPr>
              <w:t>灌装过程</w:t>
            </w:r>
          </w:p>
        </w:tc>
        <w:tc>
          <w:tcPr>
            <w:tcW w:w="0" w:type="auto"/>
            <w:vMerge w:val="restart"/>
            <w:vAlign w:val="center"/>
          </w:tcPr>
          <w:p w14:paraId="2714F416">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非甲烷总烃</w:t>
            </w:r>
          </w:p>
        </w:tc>
        <w:tc>
          <w:tcPr>
            <w:tcW w:w="0" w:type="auto"/>
            <w:vMerge w:val="restart"/>
            <w:vAlign w:val="center"/>
          </w:tcPr>
          <w:p w14:paraId="69E4C9AE">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物料衡算法</w:t>
            </w:r>
          </w:p>
        </w:tc>
        <w:tc>
          <w:tcPr>
            <w:tcW w:w="0" w:type="auto"/>
            <w:vMerge w:val="restart"/>
            <w:vAlign w:val="center"/>
          </w:tcPr>
          <w:p w14:paraId="091A0250">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9.28</w:t>
            </w:r>
          </w:p>
        </w:tc>
        <w:tc>
          <w:tcPr>
            <w:tcW w:w="0" w:type="auto"/>
            <w:vMerge w:val="restart"/>
            <w:vAlign w:val="center"/>
          </w:tcPr>
          <w:p w14:paraId="45D77255">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1.67</w:t>
            </w:r>
          </w:p>
        </w:tc>
        <w:tc>
          <w:tcPr>
            <w:tcW w:w="0" w:type="auto"/>
            <w:vAlign w:val="center"/>
          </w:tcPr>
          <w:p w14:paraId="7549F45A">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有组织</w:t>
            </w:r>
          </w:p>
        </w:tc>
        <w:tc>
          <w:tcPr>
            <w:tcW w:w="0" w:type="auto"/>
            <w:vAlign w:val="center"/>
          </w:tcPr>
          <w:p w14:paraId="5955A5B7">
            <w:pPr>
              <w:widowControl/>
              <w:jc w:val="center"/>
              <w:textAlignment w:val="center"/>
              <w:rPr>
                <w:rFonts w:hint="eastAsia"/>
                <w:color w:val="000000" w:themeColor="text1"/>
                <w:kern w:val="0"/>
                <w:lang w:val="en-US" w:eastAsia="zh-CN" w:bidi="ar"/>
                <w14:textFill>
                  <w14:solidFill>
                    <w14:schemeClr w14:val="tx1"/>
                  </w14:solidFill>
                </w14:textFill>
              </w:rPr>
            </w:pPr>
            <w:r>
              <w:rPr>
                <w:rFonts w:hint="eastAsia"/>
                <w:color w:val="000000" w:themeColor="text1"/>
                <w:kern w:val="0"/>
                <w:lang w:bidi="ar"/>
                <w14:textFill>
                  <w14:solidFill>
                    <w14:schemeClr w14:val="tx1"/>
                  </w14:solidFill>
                </w14:textFill>
              </w:rPr>
              <w:t>稀配、搅拌、过滤过程</w:t>
            </w:r>
            <w:r>
              <w:rPr>
                <w:rFonts w:hint="eastAsia"/>
                <w:color w:val="000000" w:themeColor="text1"/>
                <w:kern w:val="0"/>
                <w:lang w:eastAsia="zh-CN" w:bidi="ar"/>
                <w14:textFill>
                  <w14:solidFill>
                    <w14:schemeClr w14:val="tx1"/>
                  </w14:solidFill>
                </w14:textFill>
              </w:rPr>
              <w:t>：</w:t>
            </w:r>
            <w:r>
              <w:rPr>
                <w:rFonts w:hint="eastAsia"/>
                <w:color w:val="000000" w:themeColor="text1"/>
                <w:kern w:val="0"/>
                <w:lang w:val="en-US" w:eastAsia="zh-CN" w:bidi="ar"/>
                <w14:textFill>
                  <w14:solidFill>
                    <w14:schemeClr w14:val="tx1"/>
                  </w14:solidFill>
                </w14:textFill>
              </w:rPr>
              <w:t>密闭管道</w:t>
            </w:r>
          </w:p>
          <w:p w14:paraId="5B6CCE4C">
            <w:pPr>
              <w:widowControl/>
              <w:jc w:val="center"/>
              <w:textAlignment w:val="center"/>
              <w:rPr>
                <w:rFonts w:hint="eastAsia"/>
                <w:color w:val="000000" w:themeColor="text1"/>
                <w:kern w:val="0"/>
                <w:lang w:val="en-US" w:eastAsia="zh-CN" w:bidi="ar"/>
                <w14:textFill>
                  <w14:solidFill>
                    <w14:schemeClr w14:val="tx1"/>
                  </w14:solidFill>
                </w14:textFill>
              </w:rPr>
            </w:pPr>
            <w:r>
              <w:rPr>
                <w:rFonts w:hint="default"/>
                <w:color w:val="000000" w:themeColor="text1"/>
                <w:kern w:val="0"/>
                <w:lang w:val="en-US" w:eastAsia="zh-CN" w:bidi="ar"/>
                <w14:textFill>
                  <w14:solidFill>
                    <w14:schemeClr w14:val="tx1"/>
                  </w14:solidFill>
                </w14:textFill>
              </w:rPr>
              <w:t>灌装（洁净区）</w:t>
            </w:r>
            <w:r>
              <w:rPr>
                <w:rFonts w:hint="eastAsia"/>
                <w:color w:val="000000" w:themeColor="text1"/>
                <w:kern w:val="0"/>
                <w:lang w:val="en-US" w:eastAsia="zh-CN" w:bidi="ar"/>
                <w14:textFill>
                  <w14:solidFill>
                    <w14:schemeClr w14:val="tx1"/>
                  </w14:solidFill>
                </w14:textFill>
              </w:rPr>
              <w:t>：隔离器（密闭）</w:t>
            </w:r>
          </w:p>
          <w:p w14:paraId="3EB49A45">
            <w:pPr>
              <w:widowControl/>
              <w:jc w:val="center"/>
              <w:textAlignment w:val="center"/>
              <w:rPr>
                <w:rFonts w:hint="default"/>
                <w:color w:val="000000" w:themeColor="text1"/>
                <w:kern w:val="0"/>
                <w:lang w:val="en-US" w:eastAsia="zh-CN" w:bidi="ar"/>
                <w14:textFill>
                  <w14:solidFill>
                    <w14:schemeClr w14:val="tx1"/>
                  </w14:solidFill>
                </w14:textFill>
              </w:rPr>
            </w:pPr>
            <w:r>
              <w:rPr>
                <w:rFonts w:hint="default"/>
                <w:color w:val="000000" w:themeColor="text1"/>
                <w:kern w:val="0"/>
                <w:lang w:val="en-US" w:eastAsia="zh-CN" w:bidi="ar"/>
                <w14:textFill>
                  <w14:solidFill>
                    <w14:schemeClr w14:val="tx1"/>
                  </w14:solidFill>
                </w14:textFill>
              </w:rPr>
              <w:t>灌装（一般区）</w:t>
            </w:r>
            <w:r>
              <w:rPr>
                <w:rFonts w:hint="eastAsia"/>
                <w:color w:val="000000" w:themeColor="text1"/>
                <w:kern w:val="0"/>
                <w:lang w:val="en-US" w:eastAsia="zh-CN" w:bidi="ar"/>
                <w14:textFill>
                  <w14:solidFill>
                    <w14:schemeClr w14:val="tx1"/>
                  </w14:solidFill>
                </w14:textFill>
              </w:rPr>
              <w:t>：集气罩</w:t>
            </w:r>
          </w:p>
        </w:tc>
        <w:tc>
          <w:tcPr>
            <w:tcW w:w="0" w:type="auto"/>
            <w:vMerge w:val="restart"/>
            <w:vAlign w:val="center"/>
          </w:tcPr>
          <w:p w14:paraId="313019DB">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碱喷淋塔+水喷淋塔</w:t>
            </w:r>
          </w:p>
        </w:tc>
        <w:tc>
          <w:tcPr>
            <w:tcW w:w="0" w:type="auto"/>
            <w:vAlign w:val="center"/>
          </w:tcPr>
          <w:p w14:paraId="1D5CB576">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95(一般区）</w:t>
            </w:r>
          </w:p>
          <w:p w14:paraId="08AA2D9D">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100（洁净区）</w:t>
            </w:r>
          </w:p>
        </w:tc>
        <w:tc>
          <w:tcPr>
            <w:tcW w:w="410" w:type="dxa"/>
            <w:vMerge w:val="restart"/>
            <w:vAlign w:val="center"/>
          </w:tcPr>
          <w:p w14:paraId="03A486ED">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90</w:t>
            </w:r>
          </w:p>
        </w:tc>
        <w:tc>
          <w:tcPr>
            <w:tcW w:w="559" w:type="dxa"/>
            <w:vMerge w:val="restart"/>
            <w:vAlign w:val="center"/>
          </w:tcPr>
          <w:p w14:paraId="59D8EFFD">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是</w:t>
            </w:r>
          </w:p>
        </w:tc>
        <w:tc>
          <w:tcPr>
            <w:tcW w:w="696" w:type="dxa"/>
            <w:vMerge w:val="restart"/>
            <w:vAlign w:val="center"/>
          </w:tcPr>
          <w:p w14:paraId="727B9818">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物料衡算法</w:t>
            </w:r>
          </w:p>
        </w:tc>
        <w:tc>
          <w:tcPr>
            <w:tcW w:w="1063" w:type="dxa"/>
            <w:vMerge w:val="restart"/>
            <w:vAlign w:val="center"/>
          </w:tcPr>
          <w:p w14:paraId="0A86D319">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3.44（最不利情况）</w:t>
            </w:r>
          </w:p>
        </w:tc>
        <w:tc>
          <w:tcPr>
            <w:tcW w:w="1023" w:type="dxa"/>
            <w:vMerge w:val="restart"/>
            <w:vAlign w:val="center"/>
          </w:tcPr>
          <w:p w14:paraId="715D1BA7">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0.028（最不利情况）</w:t>
            </w:r>
          </w:p>
        </w:tc>
        <w:tc>
          <w:tcPr>
            <w:tcW w:w="1050" w:type="dxa"/>
            <w:vMerge w:val="restart"/>
            <w:vAlign w:val="center"/>
          </w:tcPr>
          <w:p w14:paraId="1BFAD101">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0.17</w:t>
            </w:r>
          </w:p>
        </w:tc>
        <w:tc>
          <w:tcPr>
            <w:tcW w:w="2509" w:type="dxa"/>
            <w:vMerge w:val="restart"/>
            <w:vAlign w:val="center"/>
          </w:tcPr>
          <w:p w14:paraId="0030C63E">
            <w:pPr>
              <w:widowControl/>
              <w:jc w:val="center"/>
              <w:textAlignment w:val="center"/>
              <w:rPr>
                <w:color w:val="000000" w:themeColor="text1"/>
                <w:kern w:val="0"/>
                <w:lang w:bidi="ar"/>
                <w14:textFill>
                  <w14:solidFill>
                    <w14:schemeClr w14:val="tx1"/>
                  </w14:solidFill>
                </w14:textFill>
              </w:rPr>
            </w:pPr>
            <w:bookmarkStart w:id="1" w:name="OLE_LINK43"/>
            <w:r>
              <w:rPr>
                <w:rFonts w:hint="eastAsia"/>
                <w:color w:val="000000" w:themeColor="text1"/>
                <w:kern w:val="0"/>
                <w:lang w:bidi="ar"/>
                <w14:textFill>
                  <w14:solidFill>
                    <w14:schemeClr w14:val="tx1"/>
                  </w14:solidFill>
                </w14:textFill>
              </w:rPr>
              <w:t>《工业企业挥发性有机物排放控制标准》（DB13/2322-2016）</w:t>
            </w:r>
            <w:bookmarkEnd w:id="1"/>
            <w:r>
              <w:rPr>
                <w:rFonts w:hint="eastAsia"/>
                <w:color w:val="000000" w:themeColor="text1"/>
                <w:kern w:val="0"/>
                <w:lang w:bidi="ar"/>
                <w14:textFill>
                  <w14:solidFill>
                    <w14:schemeClr w14:val="tx1"/>
                  </w14:solidFill>
                </w14:textFill>
              </w:rPr>
              <w:t>、《挥发性有机物无组织排放控制标准》、《恶臭污染物排放标准》（GB14554-93）</w:t>
            </w:r>
          </w:p>
        </w:tc>
      </w:tr>
      <w:tr w14:paraId="11FC8C8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862" w:hRule="exact"/>
          <w:jc w:val="center"/>
        </w:trPr>
        <w:tc>
          <w:tcPr>
            <w:tcW w:w="0" w:type="auto"/>
            <w:vAlign w:val="center"/>
          </w:tcPr>
          <w:p w14:paraId="1A231790">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液体物料中转间储罐</w:t>
            </w:r>
          </w:p>
        </w:tc>
        <w:tc>
          <w:tcPr>
            <w:tcW w:w="0" w:type="auto"/>
            <w:vMerge w:val="continue"/>
            <w:vAlign w:val="center"/>
          </w:tcPr>
          <w:p w14:paraId="4F4BA290">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23A85172">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0B4941CF">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146E48F1">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65F0F581">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有组织</w:t>
            </w:r>
          </w:p>
        </w:tc>
        <w:tc>
          <w:tcPr>
            <w:tcW w:w="0" w:type="auto"/>
            <w:vAlign w:val="center"/>
          </w:tcPr>
          <w:p w14:paraId="6807394A">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集气管道</w:t>
            </w:r>
          </w:p>
        </w:tc>
        <w:tc>
          <w:tcPr>
            <w:tcW w:w="0" w:type="auto"/>
            <w:vMerge w:val="continue"/>
            <w:vAlign w:val="center"/>
          </w:tcPr>
          <w:p w14:paraId="14631B06">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782DCD81">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100</w:t>
            </w:r>
          </w:p>
        </w:tc>
        <w:tc>
          <w:tcPr>
            <w:tcW w:w="410" w:type="dxa"/>
            <w:vMerge w:val="continue"/>
            <w:vAlign w:val="center"/>
          </w:tcPr>
          <w:p w14:paraId="1031D736">
            <w:pPr>
              <w:widowControl/>
              <w:jc w:val="center"/>
              <w:textAlignment w:val="center"/>
              <w:rPr>
                <w:color w:val="000000" w:themeColor="text1"/>
                <w:kern w:val="0"/>
                <w:lang w:bidi="ar"/>
                <w14:textFill>
                  <w14:solidFill>
                    <w14:schemeClr w14:val="tx1"/>
                  </w14:solidFill>
                </w14:textFill>
              </w:rPr>
            </w:pPr>
          </w:p>
        </w:tc>
        <w:tc>
          <w:tcPr>
            <w:tcW w:w="559" w:type="dxa"/>
            <w:vMerge w:val="continue"/>
            <w:vAlign w:val="center"/>
          </w:tcPr>
          <w:p w14:paraId="6319E425">
            <w:pPr>
              <w:widowControl/>
              <w:jc w:val="center"/>
              <w:textAlignment w:val="center"/>
              <w:rPr>
                <w:color w:val="000000" w:themeColor="text1"/>
                <w:kern w:val="0"/>
                <w:lang w:bidi="ar"/>
                <w14:textFill>
                  <w14:solidFill>
                    <w14:schemeClr w14:val="tx1"/>
                  </w14:solidFill>
                </w14:textFill>
              </w:rPr>
            </w:pPr>
          </w:p>
        </w:tc>
        <w:tc>
          <w:tcPr>
            <w:tcW w:w="696" w:type="dxa"/>
            <w:vMerge w:val="continue"/>
            <w:vAlign w:val="center"/>
          </w:tcPr>
          <w:p w14:paraId="73523BC0">
            <w:pPr>
              <w:widowControl/>
              <w:jc w:val="center"/>
              <w:textAlignment w:val="center"/>
              <w:rPr>
                <w:color w:val="000000" w:themeColor="text1"/>
                <w:kern w:val="0"/>
                <w:lang w:bidi="ar"/>
                <w14:textFill>
                  <w14:solidFill>
                    <w14:schemeClr w14:val="tx1"/>
                  </w14:solidFill>
                </w14:textFill>
              </w:rPr>
            </w:pPr>
          </w:p>
        </w:tc>
        <w:tc>
          <w:tcPr>
            <w:tcW w:w="1063" w:type="dxa"/>
            <w:vMerge w:val="continue"/>
            <w:vAlign w:val="center"/>
          </w:tcPr>
          <w:p w14:paraId="34CB2C90">
            <w:pPr>
              <w:widowControl/>
              <w:jc w:val="center"/>
              <w:textAlignment w:val="center"/>
              <w:rPr>
                <w:color w:val="000000" w:themeColor="text1"/>
                <w:kern w:val="0"/>
                <w:lang w:bidi="ar"/>
                <w14:textFill>
                  <w14:solidFill>
                    <w14:schemeClr w14:val="tx1"/>
                  </w14:solidFill>
                </w14:textFill>
              </w:rPr>
            </w:pPr>
          </w:p>
        </w:tc>
        <w:tc>
          <w:tcPr>
            <w:tcW w:w="1023" w:type="dxa"/>
            <w:vMerge w:val="continue"/>
            <w:vAlign w:val="center"/>
          </w:tcPr>
          <w:p w14:paraId="717954DF">
            <w:pPr>
              <w:widowControl/>
              <w:jc w:val="center"/>
              <w:textAlignment w:val="center"/>
              <w:rPr>
                <w:color w:val="000000" w:themeColor="text1"/>
                <w:kern w:val="0"/>
                <w:lang w:bidi="ar"/>
                <w14:textFill>
                  <w14:solidFill>
                    <w14:schemeClr w14:val="tx1"/>
                  </w14:solidFill>
                </w14:textFill>
              </w:rPr>
            </w:pPr>
          </w:p>
        </w:tc>
        <w:tc>
          <w:tcPr>
            <w:tcW w:w="1050" w:type="dxa"/>
            <w:vMerge w:val="continue"/>
            <w:vAlign w:val="center"/>
          </w:tcPr>
          <w:p w14:paraId="56B9D091">
            <w:pPr>
              <w:widowControl/>
              <w:jc w:val="center"/>
              <w:textAlignment w:val="center"/>
              <w:rPr>
                <w:color w:val="000000" w:themeColor="text1"/>
                <w:kern w:val="0"/>
                <w:lang w:bidi="ar"/>
                <w14:textFill>
                  <w14:solidFill>
                    <w14:schemeClr w14:val="tx1"/>
                  </w14:solidFill>
                </w14:textFill>
              </w:rPr>
            </w:pPr>
          </w:p>
        </w:tc>
        <w:tc>
          <w:tcPr>
            <w:tcW w:w="2509" w:type="dxa"/>
            <w:vMerge w:val="continue"/>
            <w:vAlign w:val="center"/>
          </w:tcPr>
          <w:p w14:paraId="318337B3">
            <w:pPr>
              <w:widowControl/>
              <w:jc w:val="center"/>
              <w:textAlignment w:val="center"/>
              <w:rPr>
                <w:color w:val="000000" w:themeColor="text1"/>
                <w:kern w:val="0"/>
                <w:lang w:bidi="ar"/>
                <w14:textFill>
                  <w14:solidFill>
                    <w14:schemeClr w14:val="tx1"/>
                  </w14:solidFill>
                </w14:textFill>
              </w:rPr>
            </w:pPr>
          </w:p>
        </w:tc>
      </w:tr>
      <w:tr w14:paraId="5C18EB5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862" w:hRule="exact"/>
          <w:jc w:val="center"/>
        </w:trPr>
        <w:tc>
          <w:tcPr>
            <w:tcW w:w="0" w:type="auto"/>
            <w:vAlign w:val="center"/>
          </w:tcPr>
          <w:p w14:paraId="20A79087">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储罐区储罐</w:t>
            </w:r>
          </w:p>
        </w:tc>
        <w:tc>
          <w:tcPr>
            <w:tcW w:w="0" w:type="auto"/>
            <w:vMerge w:val="continue"/>
            <w:vAlign w:val="center"/>
          </w:tcPr>
          <w:p w14:paraId="57604616">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236D98EE">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3E909B42">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4CA100AD">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57A3D48C">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有组织</w:t>
            </w:r>
          </w:p>
        </w:tc>
        <w:tc>
          <w:tcPr>
            <w:tcW w:w="0" w:type="auto"/>
            <w:vAlign w:val="center"/>
          </w:tcPr>
          <w:p w14:paraId="431DE7AF">
            <w:pPr>
              <w:widowControl/>
              <w:jc w:val="center"/>
              <w:textAlignment w:val="center"/>
              <w:rPr>
                <w:rFonts w:hint="eastAsia" w:eastAsia="宋体"/>
                <w:color w:val="000000" w:themeColor="text1"/>
                <w:kern w:val="0"/>
                <w:lang w:val="en-US" w:eastAsia="zh-CN"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集气管道</w:t>
            </w:r>
          </w:p>
        </w:tc>
        <w:tc>
          <w:tcPr>
            <w:tcW w:w="0" w:type="auto"/>
            <w:vMerge w:val="continue"/>
            <w:vAlign w:val="center"/>
          </w:tcPr>
          <w:p w14:paraId="3BD25882">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6D4E02D5">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100</w:t>
            </w:r>
          </w:p>
        </w:tc>
        <w:tc>
          <w:tcPr>
            <w:tcW w:w="410" w:type="dxa"/>
            <w:vMerge w:val="continue"/>
            <w:vAlign w:val="center"/>
          </w:tcPr>
          <w:p w14:paraId="64CF928C">
            <w:pPr>
              <w:widowControl/>
              <w:jc w:val="center"/>
              <w:textAlignment w:val="center"/>
              <w:rPr>
                <w:color w:val="000000" w:themeColor="text1"/>
                <w:kern w:val="0"/>
                <w:lang w:bidi="ar"/>
                <w14:textFill>
                  <w14:solidFill>
                    <w14:schemeClr w14:val="tx1"/>
                  </w14:solidFill>
                </w14:textFill>
              </w:rPr>
            </w:pPr>
          </w:p>
        </w:tc>
        <w:tc>
          <w:tcPr>
            <w:tcW w:w="559" w:type="dxa"/>
            <w:vMerge w:val="continue"/>
            <w:vAlign w:val="center"/>
          </w:tcPr>
          <w:p w14:paraId="0A35F7BA">
            <w:pPr>
              <w:widowControl/>
              <w:jc w:val="center"/>
              <w:textAlignment w:val="center"/>
              <w:rPr>
                <w:color w:val="000000" w:themeColor="text1"/>
                <w:kern w:val="0"/>
                <w:lang w:bidi="ar"/>
                <w14:textFill>
                  <w14:solidFill>
                    <w14:schemeClr w14:val="tx1"/>
                  </w14:solidFill>
                </w14:textFill>
              </w:rPr>
            </w:pPr>
          </w:p>
        </w:tc>
        <w:tc>
          <w:tcPr>
            <w:tcW w:w="696" w:type="dxa"/>
            <w:vMerge w:val="continue"/>
            <w:vAlign w:val="center"/>
          </w:tcPr>
          <w:p w14:paraId="536D5F81">
            <w:pPr>
              <w:widowControl/>
              <w:jc w:val="center"/>
              <w:textAlignment w:val="center"/>
              <w:rPr>
                <w:color w:val="000000" w:themeColor="text1"/>
                <w:kern w:val="0"/>
                <w:lang w:bidi="ar"/>
                <w14:textFill>
                  <w14:solidFill>
                    <w14:schemeClr w14:val="tx1"/>
                  </w14:solidFill>
                </w14:textFill>
              </w:rPr>
            </w:pPr>
          </w:p>
        </w:tc>
        <w:tc>
          <w:tcPr>
            <w:tcW w:w="1063" w:type="dxa"/>
            <w:vMerge w:val="continue"/>
            <w:vAlign w:val="center"/>
          </w:tcPr>
          <w:p w14:paraId="25F5B5E6">
            <w:pPr>
              <w:widowControl/>
              <w:jc w:val="center"/>
              <w:textAlignment w:val="center"/>
              <w:rPr>
                <w:color w:val="000000" w:themeColor="text1"/>
                <w:kern w:val="0"/>
                <w:lang w:bidi="ar"/>
                <w14:textFill>
                  <w14:solidFill>
                    <w14:schemeClr w14:val="tx1"/>
                  </w14:solidFill>
                </w14:textFill>
              </w:rPr>
            </w:pPr>
          </w:p>
        </w:tc>
        <w:tc>
          <w:tcPr>
            <w:tcW w:w="1023" w:type="dxa"/>
            <w:vMerge w:val="continue"/>
            <w:vAlign w:val="center"/>
          </w:tcPr>
          <w:p w14:paraId="5E5010D2">
            <w:pPr>
              <w:widowControl/>
              <w:jc w:val="center"/>
              <w:textAlignment w:val="center"/>
              <w:rPr>
                <w:color w:val="000000" w:themeColor="text1"/>
                <w:kern w:val="0"/>
                <w:lang w:bidi="ar"/>
                <w14:textFill>
                  <w14:solidFill>
                    <w14:schemeClr w14:val="tx1"/>
                  </w14:solidFill>
                </w14:textFill>
              </w:rPr>
            </w:pPr>
          </w:p>
        </w:tc>
        <w:tc>
          <w:tcPr>
            <w:tcW w:w="1050" w:type="dxa"/>
            <w:vMerge w:val="continue"/>
            <w:vAlign w:val="center"/>
          </w:tcPr>
          <w:p w14:paraId="40A22114">
            <w:pPr>
              <w:widowControl/>
              <w:jc w:val="center"/>
              <w:textAlignment w:val="center"/>
              <w:rPr>
                <w:color w:val="000000" w:themeColor="text1"/>
                <w:kern w:val="0"/>
                <w:lang w:bidi="ar"/>
                <w14:textFill>
                  <w14:solidFill>
                    <w14:schemeClr w14:val="tx1"/>
                  </w14:solidFill>
                </w14:textFill>
              </w:rPr>
            </w:pPr>
          </w:p>
        </w:tc>
        <w:tc>
          <w:tcPr>
            <w:tcW w:w="2509" w:type="dxa"/>
            <w:vMerge w:val="continue"/>
            <w:vAlign w:val="center"/>
          </w:tcPr>
          <w:p w14:paraId="26DBDF79">
            <w:pPr>
              <w:widowControl/>
              <w:jc w:val="center"/>
              <w:textAlignment w:val="center"/>
              <w:rPr>
                <w:color w:val="000000" w:themeColor="text1"/>
                <w:kern w:val="0"/>
                <w:lang w:bidi="ar"/>
                <w14:textFill>
                  <w14:solidFill>
                    <w14:schemeClr w14:val="tx1"/>
                  </w14:solidFill>
                </w14:textFill>
              </w:rPr>
            </w:pPr>
          </w:p>
        </w:tc>
      </w:tr>
      <w:tr w14:paraId="7B970F1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862" w:hRule="exact"/>
          <w:jc w:val="center"/>
        </w:trPr>
        <w:tc>
          <w:tcPr>
            <w:tcW w:w="0" w:type="auto"/>
            <w:vAlign w:val="center"/>
          </w:tcPr>
          <w:p w14:paraId="43084B68">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装卸废气</w:t>
            </w:r>
          </w:p>
        </w:tc>
        <w:tc>
          <w:tcPr>
            <w:tcW w:w="0" w:type="auto"/>
            <w:vMerge w:val="continue"/>
            <w:vAlign w:val="center"/>
          </w:tcPr>
          <w:p w14:paraId="3041AB79">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625C20DD">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0365AB4F">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6E69B430">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68328202">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有组织</w:t>
            </w:r>
          </w:p>
        </w:tc>
        <w:tc>
          <w:tcPr>
            <w:tcW w:w="0" w:type="auto"/>
            <w:vAlign w:val="center"/>
          </w:tcPr>
          <w:p w14:paraId="74B26835">
            <w:pPr>
              <w:widowControl/>
              <w:jc w:val="center"/>
              <w:textAlignment w:val="center"/>
              <w:rPr>
                <w:rFonts w:hint="default" w:eastAsia="宋体"/>
                <w:color w:val="000000" w:themeColor="text1"/>
                <w:kern w:val="0"/>
                <w:lang w:val="en-US" w:eastAsia="zh-CN"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密闭管道</w:t>
            </w:r>
          </w:p>
        </w:tc>
        <w:tc>
          <w:tcPr>
            <w:tcW w:w="0" w:type="auto"/>
            <w:vMerge w:val="continue"/>
            <w:vAlign w:val="center"/>
          </w:tcPr>
          <w:p w14:paraId="5A59F1CB">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7B549F27">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100</w:t>
            </w:r>
          </w:p>
        </w:tc>
        <w:tc>
          <w:tcPr>
            <w:tcW w:w="410" w:type="dxa"/>
            <w:vMerge w:val="continue"/>
            <w:vAlign w:val="center"/>
          </w:tcPr>
          <w:p w14:paraId="786A9C91">
            <w:pPr>
              <w:widowControl/>
              <w:jc w:val="center"/>
              <w:textAlignment w:val="center"/>
              <w:rPr>
                <w:color w:val="000000" w:themeColor="text1"/>
                <w:kern w:val="0"/>
                <w:lang w:bidi="ar"/>
                <w14:textFill>
                  <w14:solidFill>
                    <w14:schemeClr w14:val="tx1"/>
                  </w14:solidFill>
                </w14:textFill>
              </w:rPr>
            </w:pPr>
          </w:p>
        </w:tc>
        <w:tc>
          <w:tcPr>
            <w:tcW w:w="559" w:type="dxa"/>
            <w:vMerge w:val="continue"/>
            <w:vAlign w:val="center"/>
          </w:tcPr>
          <w:p w14:paraId="2D055B31">
            <w:pPr>
              <w:widowControl/>
              <w:jc w:val="center"/>
              <w:textAlignment w:val="center"/>
              <w:rPr>
                <w:color w:val="000000" w:themeColor="text1"/>
                <w:kern w:val="0"/>
                <w:lang w:bidi="ar"/>
                <w14:textFill>
                  <w14:solidFill>
                    <w14:schemeClr w14:val="tx1"/>
                  </w14:solidFill>
                </w14:textFill>
              </w:rPr>
            </w:pPr>
          </w:p>
        </w:tc>
        <w:tc>
          <w:tcPr>
            <w:tcW w:w="696" w:type="dxa"/>
            <w:vMerge w:val="continue"/>
            <w:vAlign w:val="center"/>
          </w:tcPr>
          <w:p w14:paraId="41882BA9">
            <w:pPr>
              <w:widowControl/>
              <w:jc w:val="center"/>
              <w:textAlignment w:val="center"/>
              <w:rPr>
                <w:color w:val="000000" w:themeColor="text1"/>
                <w:kern w:val="0"/>
                <w:lang w:bidi="ar"/>
                <w14:textFill>
                  <w14:solidFill>
                    <w14:schemeClr w14:val="tx1"/>
                  </w14:solidFill>
                </w14:textFill>
              </w:rPr>
            </w:pPr>
          </w:p>
        </w:tc>
        <w:tc>
          <w:tcPr>
            <w:tcW w:w="1063" w:type="dxa"/>
            <w:vMerge w:val="continue"/>
            <w:vAlign w:val="center"/>
          </w:tcPr>
          <w:p w14:paraId="1FFFC977">
            <w:pPr>
              <w:widowControl/>
              <w:jc w:val="center"/>
              <w:textAlignment w:val="center"/>
              <w:rPr>
                <w:color w:val="000000" w:themeColor="text1"/>
                <w:kern w:val="0"/>
                <w:lang w:bidi="ar"/>
                <w14:textFill>
                  <w14:solidFill>
                    <w14:schemeClr w14:val="tx1"/>
                  </w14:solidFill>
                </w14:textFill>
              </w:rPr>
            </w:pPr>
          </w:p>
        </w:tc>
        <w:tc>
          <w:tcPr>
            <w:tcW w:w="1023" w:type="dxa"/>
            <w:vMerge w:val="continue"/>
            <w:vAlign w:val="center"/>
          </w:tcPr>
          <w:p w14:paraId="32E09041">
            <w:pPr>
              <w:widowControl/>
              <w:jc w:val="center"/>
              <w:textAlignment w:val="center"/>
              <w:rPr>
                <w:color w:val="000000" w:themeColor="text1"/>
                <w:kern w:val="0"/>
                <w:lang w:bidi="ar"/>
                <w14:textFill>
                  <w14:solidFill>
                    <w14:schemeClr w14:val="tx1"/>
                  </w14:solidFill>
                </w14:textFill>
              </w:rPr>
            </w:pPr>
          </w:p>
        </w:tc>
        <w:tc>
          <w:tcPr>
            <w:tcW w:w="1050" w:type="dxa"/>
            <w:vMerge w:val="continue"/>
            <w:vAlign w:val="center"/>
          </w:tcPr>
          <w:p w14:paraId="6C0AE607">
            <w:pPr>
              <w:widowControl/>
              <w:jc w:val="center"/>
              <w:textAlignment w:val="center"/>
              <w:rPr>
                <w:color w:val="000000" w:themeColor="text1"/>
                <w:kern w:val="0"/>
                <w:lang w:bidi="ar"/>
                <w14:textFill>
                  <w14:solidFill>
                    <w14:schemeClr w14:val="tx1"/>
                  </w14:solidFill>
                </w14:textFill>
              </w:rPr>
            </w:pPr>
          </w:p>
        </w:tc>
        <w:tc>
          <w:tcPr>
            <w:tcW w:w="2509" w:type="dxa"/>
            <w:vMerge w:val="continue"/>
            <w:vAlign w:val="center"/>
          </w:tcPr>
          <w:p w14:paraId="79278144">
            <w:pPr>
              <w:widowControl/>
              <w:jc w:val="center"/>
              <w:textAlignment w:val="center"/>
              <w:rPr>
                <w:color w:val="000000" w:themeColor="text1"/>
                <w:kern w:val="0"/>
                <w:lang w:bidi="ar"/>
                <w14:textFill>
                  <w14:solidFill>
                    <w14:schemeClr w14:val="tx1"/>
                  </w14:solidFill>
                </w14:textFill>
              </w:rPr>
            </w:pPr>
          </w:p>
        </w:tc>
      </w:tr>
      <w:tr w14:paraId="1C0CC05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862" w:hRule="exact"/>
          <w:jc w:val="center"/>
        </w:trPr>
        <w:tc>
          <w:tcPr>
            <w:tcW w:w="0" w:type="auto"/>
            <w:vAlign w:val="center"/>
          </w:tcPr>
          <w:p w14:paraId="6D2B4CF5">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危废间废气</w:t>
            </w:r>
          </w:p>
        </w:tc>
        <w:tc>
          <w:tcPr>
            <w:tcW w:w="0" w:type="auto"/>
            <w:vMerge w:val="continue"/>
            <w:vAlign w:val="center"/>
          </w:tcPr>
          <w:p w14:paraId="31343E3A">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3C440E36">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19E210FA">
            <w:pPr>
              <w:widowControl/>
              <w:jc w:val="center"/>
              <w:textAlignment w:val="center"/>
              <w:rPr>
                <w:color w:val="000000" w:themeColor="text1"/>
                <w:kern w:val="0"/>
                <w:lang w:bidi="ar"/>
                <w14:textFill>
                  <w14:solidFill>
                    <w14:schemeClr w14:val="tx1"/>
                  </w14:solidFill>
                </w14:textFill>
              </w:rPr>
            </w:pPr>
          </w:p>
        </w:tc>
        <w:tc>
          <w:tcPr>
            <w:tcW w:w="0" w:type="auto"/>
            <w:vMerge w:val="continue"/>
            <w:vAlign w:val="center"/>
          </w:tcPr>
          <w:p w14:paraId="10B1F4C1">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160750DB">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有组织</w:t>
            </w:r>
          </w:p>
        </w:tc>
        <w:tc>
          <w:tcPr>
            <w:tcW w:w="0" w:type="auto"/>
            <w:vAlign w:val="center"/>
          </w:tcPr>
          <w:p w14:paraId="31B592A3">
            <w:pPr>
              <w:widowControl/>
              <w:jc w:val="center"/>
              <w:textAlignment w:val="center"/>
              <w:rPr>
                <w:rFonts w:hint="eastAsia" w:eastAsia="宋体"/>
                <w:color w:val="000000" w:themeColor="text1"/>
                <w:kern w:val="0"/>
                <w:lang w:val="en-US" w:eastAsia="zh-CN"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换风管道</w:t>
            </w:r>
          </w:p>
        </w:tc>
        <w:tc>
          <w:tcPr>
            <w:tcW w:w="0" w:type="auto"/>
            <w:vMerge w:val="continue"/>
            <w:vAlign w:val="center"/>
          </w:tcPr>
          <w:p w14:paraId="582ABC3D">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1DC75015">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100</w:t>
            </w:r>
          </w:p>
        </w:tc>
        <w:tc>
          <w:tcPr>
            <w:tcW w:w="410" w:type="dxa"/>
            <w:vMerge w:val="continue"/>
            <w:vAlign w:val="center"/>
          </w:tcPr>
          <w:p w14:paraId="0257F971">
            <w:pPr>
              <w:widowControl/>
              <w:jc w:val="center"/>
              <w:textAlignment w:val="center"/>
              <w:rPr>
                <w:color w:val="000000" w:themeColor="text1"/>
                <w:kern w:val="0"/>
                <w:lang w:bidi="ar"/>
                <w14:textFill>
                  <w14:solidFill>
                    <w14:schemeClr w14:val="tx1"/>
                  </w14:solidFill>
                </w14:textFill>
              </w:rPr>
            </w:pPr>
          </w:p>
        </w:tc>
        <w:tc>
          <w:tcPr>
            <w:tcW w:w="559" w:type="dxa"/>
            <w:vMerge w:val="continue"/>
            <w:vAlign w:val="center"/>
          </w:tcPr>
          <w:p w14:paraId="0409264B">
            <w:pPr>
              <w:widowControl/>
              <w:jc w:val="center"/>
              <w:textAlignment w:val="center"/>
              <w:rPr>
                <w:color w:val="000000" w:themeColor="text1"/>
                <w:kern w:val="0"/>
                <w:lang w:bidi="ar"/>
                <w14:textFill>
                  <w14:solidFill>
                    <w14:schemeClr w14:val="tx1"/>
                  </w14:solidFill>
                </w14:textFill>
              </w:rPr>
            </w:pPr>
          </w:p>
        </w:tc>
        <w:tc>
          <w:tcPr>
            <w:tcW w:w="696" w:type="dxa"/>
            <w:vMerge w:val="continue"/>
            <w:vAlign w:val="center"/>
          </w:tcPr>
          <w:p w14:paraId="6E0EAE3D">
            <w:pPr>
              <w:widowControl/>
              <w:jc w:val="center"/>
              <w:textAlignment w:val="center"/>
              <w:rPr>
                <w:color w:val="000000" w:themeColor="text1"/>
                <w:kern w:val="0"/>
                <w:lang w:bidi="ar"/>
                <w14:textFill>
                  <w14:solidFill>
                    <w14:schemeClr w14:val="tx1"/>
                  </w14:solidFill>
                </w14:textFill>
              </w:rPr>
            </w:pPr>
          </w:p>
        </w:tc>
        <w:tc>
          <w:tcPr>
            <w:tcW w:w="1063" w:type="dxa"/>
            <w:vMerge w:val="continue"/>
            <w:vAlign w:val="center"/>
          </w:tcPr>
          <w:p w14:paraId="443F4453">
            <w:pPr>
              <w:widowControl/>
              <w:jc w:val="center"/>
              <w:textAlignment w:val="center"/>
              <w:rPr>
                <w:color w:val="000000" w:themeColor="text1"/>
                <w:kern w:val="0"/>
                <w:lang w:bidi="ar"/>
                <w14:textFill>
                  <w14:solidFill>
                    <w14:schemeClr w14:val="tx1"/>
                  </w14:solidFill>
                </w14:textFill>
              </w:rPr>
            </w:pPr>
          </w:p>
        </w:tc>
        <w:tc>
          <w:tcPr>
            <w:tcW w:w="1023" w:type="dxa"/>
            <w:vMerge w:val="continue"/>
            <w:vAlign w:val="center"/>
          </w:tcPr>
          <w:p w14:paraId="4A2CFD8B">
            <w:pPr>
              <w:widowControl/>
              <w:jc w:val="center"/>
              <w:textAlignment w:val="center"/>
              <w:rPr>
                <w:color w:val="000000" w:themeColor="text1"/>
                <w:kern w:val="0"/>
                <w:lang w:bidi="ar"/>
                <w14:textFill>
                  <w14:solidFill>
                    <w14:schemeClr w14:val="tx1"/>
                  </w14:solidFill>
                </w14:textFill>
              </w:rPr>
            </w:pPr>
          </w:p>
        </w:tc>
        <w:tc>
          <w:tcPr>
            <w:tcW w:w="1050" w:type="dxa"/>
            <w:vMerge w:val="continue"/>
            <w:vAlign w:val="center"/>
          </w:tcPr>
          <w:p w14:paraId="3B078BB9">
            <w:pPr>
              <w:widowControl/>
              <w:jc w:val="center"/>
              <w:textAlignment w:val="center"/>
              <w:rPr>
                <w:color w:val="000000" w:themeColor="text1"/>
                <w:kern w:val="0"/>
                <w:lang w:bidi="ar"/>
                <w14:textFill>
                  <w14:solidFill>
                    <w14:schemeClr w14:val="tx1"/>
                  </w14:solidFill>
                </w14:textFill>
              </w:rPr>
            </w:pPr>
          </w:p>
        </w:tc>
        <w:tc>
          <w:tcPr>
            <w:tcW w:w="2509" w:type="dxa"/>
            <w:vMerge w:val="continue"/>
            <w:vAlign w:val="center"/>
          </w:tcPr>
          <w:p w14:paraId="2B8803F6">
            <w:pPr>
              <w:widowControl/>
              <w:jc w:val="center"/>
              <w:textAlignment w:val="center"/>
              <w:rPr>
                <w:color w:val="000000" w:themeColor="text1"/>
                <w:kern w:val="0"/>
                <w:lang w:bidi="ar"/>
                <w14:textFill>
                  <w14:solidFill>
                    <w14:schemeClr w14:val="tx1"/>
                  </w14:solidFill>
                </w14:textFill>
              </w:rPr>
            </w:pPr>
          </w:p>
        </w:tc>
      </w:tr>
      <w:tr w14:paraId="0AA26B3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862" w:hRule="exact"/>
          <w:jc w:val="center"/>
        </w:trPr>
        <w:tc>
          <w:tcPr>
            <w:tcW w:w="0" w:type="auto"/>
            <w:vMerge w:val="restart"/>
            <w:vAlign w:val="center"/>
          </w:tcPr>
          <w:p w14:paraId="303BD0DA">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污水处理系统</w:t>
            </w:r>
          </w:p>
        </w:tc>
        <w:tc>
          <w:tcPr>
            <w:tcW w:w="0" w:type="auto"/>
            <w:vAlign w:val="center"/>
          </w:tcPr>
          <w:p w14:paraId="01C80FB8">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氨</w:t>
            </w:r>
          </w:p>
        </w:tc>
        <w:tc>
          <w:tcPr>
            <w:tcW w:w="0" w:type="auto"/>
            <w:vMerge w:val="restart"/>
            <w:vAlign w:val="center"/>
          </w:tcPr>
          <w:p w14:paraId="730FB51F">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类比法</w:t>
            </w:r>
          </w:p>
        </w:tc>
        <w:tc>
          <w:tcPr>
            <w:tcW w:w="0" w:type="auto"/>
            <w:vAlign w:val="center"/>
          </w:tcPr>
          <w:p w14:paraId="3CA457B5">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0.003</w:t>
            </w:r>
          </w:p>
        </w:tc>
        <w:tc>
          <w:tcPr>
            <w:tcW w:w="0" w:type="auto"/>
            <w:vAlign w:val="center"/>
          </w:tcPr>
          <w:p w14:paraId="07C58576">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0.0005</w:t>
            </w:r>
          </w:p>
        </w:tc>
        <w:tc>
          <w:tcPr>
            <w:tcW w:w="0" w:type="auto"/>
            <w:vAlign w:val="center"/>
          </w:tcPr>
          <w:p w14:paraId="3F9DB704">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有组织</w:t>
            </w:r>
          </w:p>
        </w:tc>
        <w:tc>
          <w:tcPr>
            <w:tcW w:w="0" w:type="auto"/>
            <w:vAlign w:val="center"/>
          </w:tcPr>
          <w:p w14:paraId="2082E24E">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密闭管道</w:t>
            </w:r>
          </w:p>
        </w:tc>
        <w:tc>
          <w:tcPr>
            <w:tcW w:w="0" w:type="auto"/>
            <w:vMerge w:val="continue"/>
            <w:vAlign w:val="center"/>
          </w:tcPr>
          <w:p w14:paraId="59996082">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5830999C">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100</w:t>
            </w:r>
          </w:p>
        </w:tc>
        <w:tc>
          <w:tcPr>
            <w:tcW w:w="410" w:type="dxa"/>
            <w:vMerge w:val="restart"/>
            <w:vAlign w:val="center"/>
          </w:tcPr>
          <w:p w14:paraId="5B81D641">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60</w:t>
            </w:r>
          </w:p>
        </w:tc>
        <w:tc>
          <w:tcPr>
            <w:tcW w:w="559" w:type="dxa"/>
            <w:vMerge w:val="continue"/>
            <w:vAlign w:val="center"/>
          </w:tcPr>
          <w:p w14:paraId="1F055AA0">
            <w:pPr>
              <w:widowControl/>
              <w:jc w:val="center"/>
              <w:textAlignment w:val="center"/>
              <w:rPr>
                <w:color w:val="000000" w:themeColor="text1"/>
                <w:kern w:val="0"/>
                <w:lang w:bidi="ar"/>
                <w14:textFill>
                  <w14:solidFill>
                    <w14:schemeClr w14:val="tx1"/>
                  </w14:solidFill>
                </w14:textFill>
              </w:rPr>
            </w:pPr>
          </w:p>
        </w:tc>
        <w:tc>
          <w:tcPr>
            <w:tcW w:w="696" w:type="dxa"/>
            <w:vMerge w:val="restart"/>
            <w:vAlign w:val="center"/>
          </w:tcPr>
          <w:p w14:paraId="2B726BE4">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类比法</w:t>
            </w:r>
          </w:p>
        </w:tc>
        <w:tc>
          <w:tcPr>
            <w:tcW w:w="1063" w:type="dxa"/>
            <w:vAlign w:val="center"/>
          </w:tcPr>
          <w:p w14:paraId="5FA1D368">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0.0012</w:t>
            </w:r>
          </w:p>
        </w:tc>
        <w:tc>
          <w:tcPr>
            <w:tcW w:w="1023" w:type="dxa"/>
            <w:vAlign w:val="center"/>
          </w:tcPr>
          <w:p w14:paraId="5E3824DB">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0.00003</w:t>
            </w:r>
          </w:p>
        </w:tc>
        <w:tc>
          <w:tcPr>
            <w:tcW w:w="1050" w:type="dxa"/>
            <w:vAlign w:val="center"/>
          </w:tcPr>
          <w:p w14:paraId="2AEACADD">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0.00021</w:t>
            </w:r>
          </w:p>
        </w:tc>
        <w:tc>
          <w:tcPr>
            <w:tcW w:w="2509" w:type="dxa"/>
            <w:vMerge w:val="continue"/>
            <w:vAlign w:val="center"/>
          </w:tcPr>
          <w:p w14:paraId="0C7549F1">
            <w:pPr>
              <w:widowControl/>
              <w:jc w:val="center"/>
              <w:textAlignment w:val="center"/>
              <w:rPr>
                <w:color w:val="000000" w:themeColor="text1"/>
                <w:kern w:val="0"/>
                <w:lang w:bidi="ar"/>
                <w14:textFill>
                  <w14:solidFill>
                    <w14:schemeClr w14:val="tx1"/>
                  </w14:solidFill>
                </w14:textFill>
              </w:rPr>
            </w:pPr>
          </w:p>
        </w:tc>
      </w:tr>
      <w:tr w14:paraId="52B1AF0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862" w:hRule="exact"/>
          <w:jc w:val="center"/>
        </w:trPr>
        <w:tc>
          <w:tcPr>
            <w:tcW w:w="0" w:type="auto"/>
            <w:vMerge w:val="continue"/>
            <w:vAlign w:val="center"/>
          </w:tcPr>
          <w:p w14:paraId="13F8979E">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42DD526E">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硫化氢</w:t>
            </w:r>
          </w:p>
        </w:tc>
        <w:tc>
          <w:tcPr>
            <w:tcW w:w="0" w:type="auto"/>
            <w:vMerge w:val="continue"/>
            <w:vAlign w:val="center"/>
          </w:tcPr>
          <w:p w14:paraId="3FB00B1F">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5FA770D6">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0.0001</w:t>
            </w:r>
          </w:p>
        </w:tc>
        <w:tc>
          <w:tcPr>
            <w:tcW w:w="0" w:type="auto"/>
            <w:vAlign w:val="center"/>
          </w:tcPr>
          <w:p w14:paraId="35A0B402">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0.00002</w:t>
            </w:r>
          </w:p>
        </w:tc>
        <w:tc>
          <w:tcPr>
            <w:tcW w:w="0" w:type="auto"/>
            <w:vAlign w:val="center"/>
          </w:tcPr>
          <w:p w14:paraId="71268AA3">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有组织</w:t>
            </w:r>
          </w:p>
        </w:tc>
        <w:tc>
          <w:tcPr>
            <w:tcW w:w="0" w:type="auto"/>
            <w:vAlign w:val="center"/>
          </w:tcPr>
          <w:p w14:paraId="6EA18E37">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密闭管道</w:t>
            </w:r>
          </w:p>
        </w:tc>
        <w:tc>
          <w:tcPr>
            <w:tcW w:w="0" w:type="auto"/>
            <w:vMerge w:val="continue"/>
            <w:vAlign w:val="center"/>
          </w:tcPr>
          <w:p w14:paraId="560D325E">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46D9CFB0">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100</w:t>
            </w:r>
          </w:p>
        </w:tc>
        <w:tc>
          <w:tcPr>
            <w:tcW w:w="410" w:type="dxa"/>
            <w:vMerge w:val="continue"/>
            <w:vAlign w:val="center"/>
          </w:tcPr>
          <w:p w14:paraId="2D016895">
            <w:pPr>
              <w:widowControl/>
              <w:jc w:val="center"/>
              <w:textAlignment w:val="center"/>
              <w:rPr>
                <w:color w:val="000000" w:themeColor="text1"/>
                <w:kern w:val="0"/>
                <w:lang w:bidi="ar"/>
                <w14:textFill>
                  <w14:solidFill>
                    <w14:schemeClr w14:val="tx1"/>
                  </w14:solidFill>
                </w14:textFill>
              </w:rPr>
            </w:pPr>
          </w:p>
        </w:tc>
        <w:tc>
          <w:tcPr>
            <w:tcW w:w="559" w:type="dxa"/>
            <w:vMerge w:val="continue"/>
            <w:vAlign w:val="center"/>
          </w:tcPr>
          <w:p w14:paraId="2A15E735">
            <w:pPr>
              <w:widowControl/>
              <w:jc w:val="center"/>
              <w:textAlignment w:val="center"/>
              <w:rPr>
                <w:color w:val="000000" w:themeColor="text1"/>
                <w:kern w:val="0"/>
                <w:lang w:bidi="ar"/>
                <w14:textFill>
                  <w14:solidFill>
                    <w14:schemeClr w14:val="tx1"/>
                  </w14:solidFill>
                </w14:textFill>
              </w:rPr>
            </w:pPr>
          </w:p>
        </w:tc>
        <w:tc>
          <w:tcPr>
            <w:tcW w:w="696" w:type="dxa"/>
            <w:vMerge w:val="continue"/>
            <w:vAlign w:val="center"/>
          </w:tcPr>
          <w:p w14:paraId="2553B63F">
            <w:pPr>
              <w:widowControl/>
              <w:jc w:val="center"/>
              <w:textAlignment w:val="center"/>
              <w:rPr>
                <w:color w:val="000000" w:themeColor="text1"/>
                <w:kern w:val="0"/>
                <w:lang w:bidi="ar"/>
                <w14:textFill>
                  <w14:solidFill>
                    <w14:schemeClr w14:val="tx1"/>
                  </w14:solidFill>
                </w14:textFill>
              </w:rPr>
            </w:pPr>
          </w:p>
        </w:tc>
        <w:tc>
          <w:tcPr>
            <w:tcW w:w="1063" w:type="dxa"/>
            <w:vAlign w:val="center"/>
          </w:tcPr>
          <w:p w14:paraId="17834822">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0.00004</w:t>
            </w:r>
          </w:p>
        </w:tc>
        <w:tc>
          <w:tcPr>
            <w:tcW w:w="1023" w:type="dxa"/>
            <w:vAlign w:val="center"/>
          </w:tcPr>
          <w:p w14:paraId="22731180">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0.000001</w:t>
            </w:r>
          </w:p>
        </w:tc>
        <w:tc>
          <w:tcPr>
            <w:tcW w:w="1050" w:type="dxa"/>
            <w:vAlign w:val="center"/>
          </w:tcPr>
          <w:p w14:paraId="33732A7A">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0.000008</w:t>
            </w:r>
          </w:p>
        </w:tc>
        <w:tc>
          <w:tcPr>
            <w:tcW w:w="2509" w:type="dxa"/>
            <w:vMerge w:val="continue"/>
            <w:vAlign w:val="center"/>
          </w:tcPr>
          <w:p w14:paraId="64314F07">
            <w:pPr>
              <w:widowControl/>
              <w:jc w:val="center"/>
              <w:textAlignment w:val="center"/>
              <w:rPr>
                <w:color w:val="000000" w:themeColor="text1"/>
                <w:kern w:val="0"/>
                <w:lang w:bidi="ar"/>
                <w14:textFill>
                  <w14:solidFill>
                    <w14:schemeClr w14:val="tx1"/>
                  </w14:solidFill>
                </w14:textFill>
              </w:rPr>
            </w:pPr>
          </w:p>
        </w:tc>
      </w:tr>
      <w:tr w14:paraId="4EE3D9B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862" w:hRule="exact"/>
          <w:jc w:val="center"/>
        </w:trPr>
        <w:tc>
          <w:tcPr>
            <w:tcW w:w="0" w:type="auto"/>
            <w:vMerge w:val="continue"/>
            <w:vAlign w:val="center"/>
          </w:tcPr>
          <w:p w14:paraId="0594D0E7">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391EDF39">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臭气浓度</w:t>
            </w:r>
          </w:p>
        </w:tc>
        <w:tc>
          <w:tcPr>
            <w:tcW w:w="0" w:type="auto"/>
            <w:vMerge w:val="continue"/>
            <w:vAlign w:val="center"/>
          </w:tcPr>
          <w:p w14:paraId="7066551C">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20DC1759">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0" w:type="auto"/>
            <w:vAlign w:val="center"/>
          </w:tcPr>
          <w:p w14:paraId="367874B2">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0" w:type="auto"/>
            <w:vAlign w:val="center"/>
          </w:tcPr>
          <w:p w14:paraId="46218F74">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有组织</w:t>
            </w:r>
          </w:p>
        </w:tc>
        <w:tc>
          <w:tcPr>
            <w:tcW w:w="0" w:type="auto"/>
            <w:vAlign w:val="center"/>
          </w:tcPr>
          <w:p w14:paraId="1089373A">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密闭管道</w:t>
            </w:r>
          </w:p>
        </w:tc>
        <w:tc>
          <w:tcPr>
            <w:tcW w:w="0" w:type="auto"/>
            <w:vMerge w:val="continue"/>
            <w:vAlign w:val="center"/>
          </w:tcPr>
          <w:p w14:paraId="0DBE177B">
            <w:pPr>
              <w:widowControl/>
              <w:jc w:val="center"/>
              <w:textAlignment w:val="center"/>
              <w:rPr>
                <w:color w:val="000000" w:themeColor="text1"/>
                <w:kern w:val="0"/>
                <w:lang w:bidi="ar"/>
                <w14:textFill>
                  <w14:solidFill>
                    <w14:schemeClr w14:val="tx1"/>
                  </w14:solidFill>
                </w14:textFill>
              </w:rPr>
            </w:pPr>
          </w:p>
        </w:tc>
        <w:tc>
          <w:tcPr>
            <w:tcW w:w="0" w:type="auto"/>
            <w:vAlign w:val="center"/>
          </w:tcPr>
          <w:p w14:paraId="7B1856A0">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100</w:t>
            </w:r>
          </w:p>
        </w:tc>
        <w:tc>
          <w:tcPr>
            <w:tcW w:w="410" w:type="dxa"/>
            <w:vMerge w:val="continue"/>
            <w:vAlign w:val="center"/>
          </w:tcPr>
          <w:p w14:paraId="6FC03EEB">
            <w:pPr>
              <w:widowControl/>
              <w:jc w:val="center"/>
              <w:textAlignment w:val="center"/>
              <w:rPr>
                <w:color w:val="000000" w:themeColor="text1"/>
                <w:kern w:val="0"/>
                <w:lang w:bidi="ar"/>
                <w14:textFill>
                  <w14:solidFill>
                    <w14:schemeClr w14:val="tx1"/>
                  </w14:solidFill>
                </w14:textFill>
              </w:rPr>
            </w:pPr>
          </w:p>
        </w:tc>
        <w:tc>
          <w:tcPr>
            <w:tcW w:w="559" w:type="dxa"/>
            <w:vMerge w:val="continue"/>
            <w:vAlign w:val="center"/>
          </w:tcPr>
          <w:p w14:paraId="3D3AB4E2">
            <w:pPr>
              <w:widowControl/>
              <w:jc w:val="center"/>
              <w:textAlignment w:val="center"/>
              <w:rPr>
                <w:color w:val="000000" w:themeColor="text1"/>
                <w:kern w:val="0"/>
                <w:lang w:bidi="ar"/>
                <w14:textFill>
                  <w14:solidFill>
                    <w14:schemeClr w14:val="tx1"/>
                  </w14:solidFill>
                </w14:textFill>
              </w:rPr>
            </w:pPr>
          </w:p>
        </w:tc>
        <w:tc>
          <w:tcPr>
            <w:tcW w:w="696" w:type="dxa"/>
            <w:vMerge w:val="continue"/>
            <w:vAlign w:val="center"/>
          </w:tcPr>
          <w:p w14:paraId="103A1127">
            <w:pPr>
              <w:widowControl/>
              <w:jc w:val="center"/>
              <w:textAlignment w:val="center"/>
              <w:rPr>
                <w:color w:val="000000" w:themeColor="text1"/>
                <w:kern w:val="0"/>
                <w:lang w:bidi="ar"/>
                <w14:textFill>
                  <w14:solidFill>
                    <w14:schemeClr w14:val="tx1"/>
                  </w14:solidFill>
                </w14:textFill>
              </w:rPr>
            </w:pPr>
          </w:p>
        </w:tc>
        <w:tc>
          <w:tcPr>
            <w:tcW w:w="1063" w:type="dxa"/>
            <w:vAlign w:val="center"/>
          </w:tcPr>
          <w:p w14:paraId="1EB0D0D9">
            <w:pPr>
              <w:widowControl/>
              <w:jc w:val="center"/>
              <w:textAlignment w:val="center"/>
              <w:rPr>
                <w:kern w:val="0"/>
                <w:szCs w:val="21"/>
                <w:lang w:bidi="ar"/>
              </w:rPr>
            </w:pPr>
            <w:r>
              <w:rPr>
                <w:rFonts w:hint="eastAsia"/>
                <w:kern w:val="0"/>
                <w:szCs w:val="21"/>
                <w:lang w:bidi="ar"/>
              </w:rPr>
              <w:t>＜2000</w:t>
            </w:r>
          </w:p>
          <w:p w14:paraId="0048D9D8">
            <w:pPr>
              <w:widowControl/>
              <w:jc w:val="center"/>
              <w:textAlignment w:val="center"/>
              <w:rPr>
                <w:color w:val="000000" w:themeColor="text1"/>
                <w:kern w:val="0"/>
                <w:lang w:bidi="ar"/>
                <w14:textFill>
                  <w14:solidFill>
                    <w14:schemeClr w14:val="tx1"/>
                  </w14:solidFill>
                </w14:textFill>
              </w:rPr>
            </w:pPr>
            <w:r>
              <w:rPr>
                <w:rFonts w:hint="eastAsia"/>
                <w:kern w:val="0"/>
                <w:szCs w:val="21"/>
                <w:lang w:bidi="ar"/>
              </w:rPr>
              <w:t>（无量纲）</w:t>
            </w:r>
          </w:p>
        </w:tc>
        <w:tc>
          <w:tcPr>
            <w:tcW w:w="1023" w:type="dxa"/>
            <w:vAlign w:val="center"/>
          </w:tcPr>
          <w:p w14:paraId="05D9F21D">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1050" w:type="dxa"/>
            <w:vAlign w:val="center"/>
          </w:tcPr>
          <w:p w14:paraId="1529F052">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2509" w:type="dxa"/>
            <w:vMerge w:val="continue"/>
            <w:vAlign w:val="center"/>
          </w:tcPr>
          <w:p w14:paraId="04F53AF7">
            <w:pPr>
              <w:widowControl/>
              <w:jc w:val="center"/>
              <w:textAlignment w:val="center"/>
              <w:rPr>
                <w:color w:val="000000" w:themeColor="text1"/>
                <w:kern w:val="0"/>
                <w:lang w:bidi="ar"/>
                <w14:textFill>
                  <w14:solidFill>
                    <w14:schemeClr w14:val="tx1"/>
                  </w14:solidFill>
                </w14:textFill>
              </w:rPr>
            </w:pPr>
          </w:p>
        </w:tc>
      </w:tr>
      <w:tr w14:paraId="5944163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1452" w:hRule="exact"/>
          <w:jc w:val="center"/>
        </w:trPr>
        <w:tc>
          <w:tcPr>
            <w:tcW w:w="0" w:type="auto"/>
            <w:vAlign w:val="center"/>
          </w:tcPr>
          <w:p w14:paraId="16249B6A">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装置动静密封点废气</w:t>
            </w:r>
          </w:p>
        </w:tc>
        <w:tc>
          <w:tcPr>
            <w:tcW w:w="0" w:type="auto"/>
            <w:vAlign w:val="center"/>
          </w:tcPr>
          <w:p w14:paraId="156ADD6B">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非甲烷总烃</w:t>
            </w:r>
          </w:p>
        </w:tc>
        <w:tc>
          <w:tcPr>
            <w:tcW w:w="0" w:type="auto"/>
            <w:vAlign w:val="center"/>
          </w:tcPr>
          <w:p w14:paraId="3FBD1648">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物料衡算法</w:t>
            </w:r>
          </w:p>
        </w:tc>
        <w:tc>
          <w:tcPr>
            <w:tcW w:w="0" w:type="auto"/>
            <w:vAlign w:val="center"/>
          </w:tcPr>
          <w:p w14:paraId="540C9BC6">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0" w:type="auto"/>
            <w:vAlign w:val="center"/>
          </w:tcPr>
          <w:p w14:paraId="02C0F00C">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0.60</w:t>
            </w:r>
          </w:p>
        </w:tc>
        <w:tc>
          <w:tcPr>
            <w:tcW w:w="0" w:type="auto"/>
            <w:vAlign w:val="center"/>
          </w:tcPr>
          <w:p w14:paraId="3EC5AC2A">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无组织</w:t>
            </w:r>
          </w:p>
        </w:tc>
        <w:tc>
          <w:tcPr>
            <w:tcW w:w="0" w:type="auto"/>
            <w:vAlign w:val="center"/>
          </w:tcPr>
          <w:p w14:paraId="6ABFD5C0">
            <w:pPr>
              <w:widowControl/>
              <w:jc w:val="center"/>
              <w:textAlignment w:val="center"/>
              <w:rPr>
                <w:rFonts w:hint="default"/>
                <w:color w:val="000000" w:themeColor="text1"/>
                <w:kern w:val="0"/>
                <w:lang w:val="en-US" w:eastAsia="zh-CN"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w:t>
            </w:r>
          </w:p>
        </w:tc>
        <w:tc>
          <w:tcPr>
            <w:tcW w:w="0" w:type="auto"/>
            <w:vAlign w:val="center"/>
          </w:tcPr>
          <w:p w14:paraId="406A9CC1">
            <w:pPr>
              <w:widowControl/>
              <w:jc w:val="center"/>
              <w:textAlignment w:val="center"/>
              <w:rPr>
                <w:rFonts w:hint="eastAsia" w:eastAsia="宋体"/>
                <w:color w:val="000000" w:themeColor="text1"/>
                <w:kern w:val="0"/>
                <w:lang w:val="en-US" w:eastAsia="zh-CN"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w:t>
            </w:r>
          </w:p>
        </w:tc>
        <w:tc>
          <w:tcPr>
            <w:tcW w:w="0" w:type="auto"/>
            <w:vAlign w:val="center"/>
          </w:tcPr>
          <w:p w14:paraId="550C6C42">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410" w:type="dxa"/>
            <w:vAlign w:val="center"/>
          </w:tcPr>
          <w:p w14:paraId="58A1F924">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559" w:type="dxa"/>
            <w:vAlign w:val="center"/>
          </w:tcPr>
          <w:p w14:paraId="58DFB9C3">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696" w:type="dxa"/>
            <w:vAlign w:val="center"/>
          </w:tcPr>
          <w:p w14:paraId="19E645F5">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1063" w:type="dxa"/>
            <w:vAlign w:val="center"/>
          </w:tcPr>
          <w:p w14:paraId="321692DC">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1023" w:type="dxa"/>
            <w:vAlign w:val="center"/>
          </w:tcPr>
          <w:p w14:paraId="270CC702">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1050" w:type="dxa"/>
            <w:vAlign w:val="center"/>
          </w:tcPr>
          <w:p w14:paraId="303B5D56">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w:t>
            </w:r>
          </w:p>
        </w:tc>
        <w:tc>
          <w:tcPr>
            <w:tcW w:w="2509" w:type="dxa"/>
            <w:vMerge w:val="continue"/>
            <w:vAlign w:val="center"/>
          </w:tcPr>
          <w:p w14:paraId="70787C43">
            <w:pPr>
              <w:widowControl/>
              <w:jc w:val="center"/>
              <w:textAlignment w:val="center"/>
              <w:rPr>
                <w:color w:val="000000" w:themeColor="text1"/>
                <w:kern w:val="0"/>
                <w:lang w:bidi="ar"/>
                <w14:textFill>
                  <w14:solidFill>
                    <w14:schemeClr w14:val="tx1"/>
                  </w14:solidFill>
                </w14:textFill>
              </w:rPr>
            </w:pPr>
          </w:p>
        </w:tc>
      </w:tr>
      <w:tr w14:paraId="7B35694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1441" w:hRule="exact"/>
          <w:jc w:val="center"/>
        </w:trPr>
        <w:tc>
          <w:tcPr>
            <w:tcW w:w="0" w:type="auto"/>
            <w:vAlign w:val="center"/>
          </w:tcPr>
          <w:p w14:paraId="241624C3">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质检楼试验</w:t>
            </w:r>
          </w:p>
        </w:tc>
        <w:tc>
          <w:tcPr>
            <w:tcW w:w="0" w:type="auto"/>
            <w:vAlign w:val="center"/>
          </w:tcPr>
          <w:p w14:paraId="008D1753">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非甲烷总烃</w:t>
            </w:r>
          </w:p>
        </w:tc>
        <w:tc>
          <w:tcPr>
            <w:tcW w:w="0" w:type="auto"/>
            <w:vAlign w:val="center"/>
          </w:tcPr>
          <w:p w14:paraId="3FC46D65">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物料衡算法</w:t>
            </w:r>
          </w:p>
        </w:tc>
        <w:tc>
          <w:tcPr>
            <w:tcW w:w="0" w:type="auto"/>
            <w:vAlign w:val="center"/>
          </w:tcPr>
          <w:p w14:paraId="6DA595E7">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7.94</w:t>
            </w:r>
          </w:p>
        </w:tc>
        <w:tc>
          <w:tcPr>
            <w:tcW w:w="0" w:type="auto"/>
            <w:vAlign w:val="center"/>
          </w:tcPr>
          <w:p w14:paraId="0474BEE6">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0.04</w:t>
            </w:r>
          </w:p>
        </w:tc>
        <w:tc>
          <w:tcPr>
            <w:tcW w:w="0" w:type="auto"/>
            <w:vAlign w:val="center"/>
          </w:tcPr>
          <w:p w14:paraId="0DCC3A53">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有组织</w:t>
            </w:r>
          </w:p>
        </w:tc>
        <w:tc>
          <w:tcPr>
            <w:tcW w:w="0" w:type="auto"/>
            <w:vAlign w:val="center"/>
          </w:tcPr>
          <w:p w14:paraId="73CB5F7F">
            <w:pPr>
              <w:widowControl/>
              <w:jc w:val="center"/>
              <w:textAlignment w:val="center"/>
              <w:rPr>
                <w:rFonts w:hint="default" w:eastAsia="宋体"/>
                <w:color w:val="000000" w:themeColor="text1"/>
                <w:kern w:val="0"/>
                <w:lang w:val="en-US" w:eastAsia="zh-CN" w:bidi="ar"/>
                <w14:textFill>
                  <w14:solidFill>
                    <w14:schemeClr w14:val="tx1"/>
                  </w14:solidFill>
                </w14:textFill>
              </w:rPr>
            </w:pPr>
            <w:r>
              <w:rPr>
                <w:rFonts w:hint="eastAsia"/>
                <w:color w:val="000000" w:themeColor="text1"/>
                <w:kern w:val="0"/>
                <w:lang w:val="en-US" w:eastAsia="zh-CN" w:bidi="ar"/>
                <w14:textFill>
                  <w14:solidFill>
                    <w14:schemeClr w14:val="tx1"/>
                  </w14:solidFill>
                </w14:textFill>
              </w:rPr>
              <w:t>通风橱</w:t>
            </w:r>
          </w:p>
        </w:tc>
        <w:tc>
          <w:tcPr>
            <w:tcW w:w="0" w:type="auto"/>
            <w:vAlign w:val="center"/>
          </w:tcPr>
          <w:p w14:paraId="6EE6418A">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两级活性炭吸附</w:t>
            </w:r>
          </w:p>
        </w:tc>
        <w:tc>
          <w:tcPr>
            <w:tcW w:w="0" w:type="auto"/>
            <w:vAlign w:val="center"/>
          </w:tcPr>
          <w:p w14:paraId="126D3E9A">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95</w:t>
            </w:r>
          </w:p>
        </w:tc>
        <w:tc>
          <w:tcPr>
            <w:tcW w:w="410" w:type="dxa"/>
            <w:vAlign w:val="center"/>
          </w:tcPr>
          <w:p w14:paraId="040749FA">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90</w:t>
            </w:r>
          </w:p>
        </w:tc>
        <w:tc>
          <w:tcPr>
            <w:tcW w:w="559" w:type="dxa"/>
            <w:vAlign w:val="center"/>
          </w:tcPr>
          <w:p w14:paraId="26ADBFDB">
            <w:pPr>
              <w:widowControl/>
              <w:jc w:val="center"/>
              <w:textAlignment w:val="center"/>
              <w:rPr>
                <w:color w:val="000000" w:themeColor="text1"/>
                <w:kern w:val="0"/>
                <w:lang w:bidi="ar"/>
                <w14:textFill>
                  <w14:solidFill>
                    <w14:schemeClr w14:val="tx1"/>
                  </w14:solidFill>
                </w14:textFill>
              </w:rPr>
            </w:pPr>
            <w:r>
              <w:rPr>
                <w:color w:val="000000" w:themeColor="text1"/>
                <w:kern w:val="0"/>
                <w:lang w:bidi="ar"/>
                <w14:textFill>
                  <w14:solidFill>
                    <w14:schemeClr w14:val="tx1"/>
                  </w14:solidFill>
                </w14:textFill>
              </w:rPr>
              <w:t>是</w:t>
            </w:r>
          </w:p>
        </w:tc>
        <w:tc>
          <w:tcPr>
            <w:tcW w:w="696" w:type="dxa"/>
            <w:vAlign w:val="center"/>
          </w:tcPr>
          <w:p w14:paraId="72A60BB3">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物料衡算法</w:t>
            </w:r>
          </w:p>
        </w:tc>
        <w:tc>
          <w:tcPr>
            <w:tcW w:w="1063" w:type="dxa"/>
            <w:vAlign w:val="center"/>
          </w:tcPr>
          <w:p w14:paraId="671BB561">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0.75</w:t>
            </w:r>
          </w:p>
        </w:tc>
        <w:tc>
          <w:tcPr>
            <w:tcW w:w="1023" w:type="dxa"/>
            <w:vAlign w:val="center"/>
          </w:tcPr>
          <w:p w14:paraId="2D0A450C">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0.013</w:t>
            </w:r>
          </w:p>
        </w:tc>
        <w:tc>
          <w:tcPr>
            <w:tcW w:w="1050" w:type="dxa"/>
            <w:vAlign w:val="center"/>
          </w:tcPr>
          <w:p w14:paraId="7E07AC08">
            <w:pPr>
              <w:widowControl/>
              <w:jc w:val="center"/>
              <w:textAlignment w:val="center"/>
              <w:rPr>
                <w:color w:val="000000" w:themeColor="text1"/>
                <w:kern w:val="0"/>
                <w:lang w:bidi="ar"/>
                <w14:textFill>
                  <w14:solidFill>
                    <w14:schemeClr w14:val="tx1"/>
                  </w14:solidFill>
                </w14:textFill>
              </w:rPr>
            </w:pPr>
            <w:r>
              <w:rPr>
                <w:rFonts w:hint="eastAsia"/>
                <w:color w:val="000000" w:themeColor="text1"/>
                <w:kern w:val="0"/>
                <w:lang w:bidi="ar"/>
                <w14:textFill>
                  <w14:solidFill>
                    <w14:schemeClr w14:val="tx1"/>
                  </w14:solidFill>
                </w14:textFill>
              </w:rPr>
              <w:t>0.0038</w:t>
            </w:r>
          </w:p>
        </w:tc>
        <w:tc>
          <w:tcPr>
            <w:tcW w:w="2509" w:type="dxa"/>
            <w:vMerge w:val="continue"/>
            <w:vAlign w:val="center"/>
          </w:tcPr>
          <w:p w14:paraId="075FA479">
            <w:pPr>
              <w:widowControl/>
              <w:jc w:val="center"/>
              <w:textAlignment w:val="center"/>
              <w:rPr>
                <w:color w:val="000000" w:themeColor="text1"/>
                <w:kern w:val="0"/>
                <w:lang w:bidi="ar"/>
                <w14:textFill>
                  <w14:solidFill>
                    <w14:schemeClr w14:val="tx1"/>
                  </w14:solidFill>
                </w14:textFill>
              </w:rPr>
            </w:pPr>
          </w:p>
        </w:tc>
      </w:tr>
    </w:tbl>
    <w:p w14:paraId="05913577">
      <w:pPr>
        <w:adjustRightInd w:val="0"/>
        <w:snapToGrid w:val="0"/>
        <w:spacing w:line="360" w:lineRule="auto"/>
        <w:ind w:firstLine="480" w:firstLineChars="200"/>
        <w:rPr>
          <w:bCs/>
          <w:kern w:val="0"/>
          <w:sz w:val="24"/>
          <w:szCs w:val="20"/>
        </w:rPr>
      </w:pPr>
      <w:r>
        <w:rPr>
          <w:bCs/>
          <w:kern w:val="0"/>
          <w:sz w:val="24"/>
          <w:szCs w:val="20"/>
        </w:rPr>
        <w:t>废气影响评价结论</w:t>
      </w:r>
    </w:p>
    <w:p w14:paraId="2EBCC669">
      <w:pPr>
        <w:adjustRightInd w:val="0"/>
        <w:snapToGrid w:val="0"/>
        <w:spacing w:line="360" w:lineRule="auto"/>
        <w:ind w:firstLine="480" w:firstLineChars="200"/>
        <w:rPr>
          <w:sz w:val="24"/>
        </w:rPr>
      </w:pPr>
      <w:bookmarkStart w:id="2" w:name="OLE_LINK13"/>
      <w:r>
        <w:rPr>
          <w:rFonts w:hint="eastAsia"/>
          <w:sz w:val="24"/>
        </w:rPr>
        <w:t>本次废气污染物VOCs中主要为乙醇和异丙醇</w:t>
      </w:r>
      <w:bookmarkEnd w:id="2"/>
      <w:r>
        <w:rPr>
          <w:rFonts w:hint="eastAsia"/>
          <w:sz w:val="24"/>
        </w:rPr>
        <w:t>，乙醇：与水无限互溶（任意比例混合），20℃时溶解度无上限，亨利系数极低（约5.5×10</w:t>
      </w:r>
      <w:r>
        <w:rPr>
          <w:rFonts w:hint="eastAsia"/>
          <w:sz w:val="24"/>
          <w:vertAlign w:val="superscript"/>
        </w:rPr>
        <w:t>-6</w:t>
      </w:r>
      <w:r>
        <w:rPr>
          <w:rFonts w:hint="eastAsia"/>
          <w:sz w:val="24"/>
        </w:rPr>
        <w:t>atm・m³/mol），极易被水吸收；异丙醇：20℃时溶解度约800g/L（接近与水互溶），亨利系数约1.2×10</w:t>
      </w:r>
      <w:r>
        <w:rPr>
          <w:rFonts w:hint="eastAsia"/>
          <w:sz w:val="24"/>
          <w:vertAlign w:val="superscript"/>
        </w:rPr>
        <w:t>-5</w:t>
      </w:r>
      <w:r>
        <w:rPr>
          <w:rFonts w:hint="eastAsia"/>
          <w:sz w:val="24"/>
        </w:rPr>
        <w:t>atm・m³/mol，水溶性略低于乙醇，但仍属于易被水吸收的物质。根据《有机废气治理技术指南》，对于高水溶性VOCs（如甲醛），单级喷淋效率通常为70%~80%，两级串联后效率可提升至85%~95%；中等水溶性VOCs（如丙酮）单级效率50%~60%，两级可达70%~85%。根据《环境工程学报》（2018年第12卷）中《两级水喷淋处理医药行业甲醛废气的实验研究》，水喷淋处理甲醛废气，第一级效率75%~80%，第二级（新鲜水）效率60%~70%，总效率88%~93%。根据《化学手册》及《工业废气处理技术手册》，甲醛溶解度约550g/L（易溶于水），远低于乙醇和异丙醇。因此本次去除效率按90%计。</w:t>
      </w:r>
    </w:p>
    <w:p w14:paraId="1B147C1E">
      <w:pPr>
        <w:adjustRightInd w:val="0"/>
        <w:snapToGrid w:val="0"/>
        <w:spacing w:line="360" w:lineRule="auto"/>
        <w:ind w:firstLine="480" w:firstLineChars="200"/>
        <w:rPr>
          <w:sz w:val="24"/>
        </w:rPr>
      </w:pPr>
      <w:bookmarkStart w:id="3" w:name="_Hlk205534385"/>
      <w:r>
        <w:rPr>
          <w:rFonts w:hint="eastAsia"/>
          <w:sz w:val="24"/>
        </w:rPr>
        <w:t>本项目产生的非甲烷总烃废气主要为乙醇和异丙醇，易溶于水，根据《排污许可证申请与核发技术规范 专用化学产品制造工业》（HJ 1103-2020）</w:t>
      </w:r>
      <w:r>
        <w:rPr>
          <w:rFonts w:hint="eastAsia"/>
          <w:bCs/>
          <w:kern w:val="0"/>
          <w:sz w:val="24"/>
          <w:szCs w:val="20"/>
        </w:rPr>
        <w:t>，</w:t>
      </w:r>
      <w:r>
        <w:rPr>
          <w:sz w:val="24"/>
        </w:rPr>
        <w:t>本项目</w:t>
      </w:r>
      <w:r>
        <w:rPr>
          <w:rFonts w:hint="eastAsia"/>
          <w:sz w:val="24"/>
        </w:rPr>
        <w:t>“碱喷淋塔+水喷淋塔”属于吸收，属于可行性技术。</w:t>
      </w:r>
    </w:p>
    <w:bookmarkEnd w:id="3"/>
    <w:p w14:paraId="0CDD87D3">
      <w:pPr>
        <w:rPr>
          <w:rFonts w:hint="eastAsia"/>
          <w:bCs/>
          <w:kern w:val="0"/>
          <w:sz w:val="24"/>
          <w:szCs w:val="20"/>
        </w:rPr>
      </w:pPr>
      <w:r>
        <w:rPr>
          <w:sz w:val="24"/>
        </w:rPr>
        <w:t>本项目</w:t>
      </w:r>
      <w:r>
        <w:rPr>
          <w:rFonts w:hint="eastAsia"/>
          <w:sz w:val="24"/>
        </w:rPr>
        <w:t>有组织</w:t>
      </w:r>
      <w:r>
        <w:rPr>
          <w:sz w:val="24"/>
        </w:rPr>
        <w:t>废气</w:t>
      </w:r>
      <w:r>
        <w:rPr>
          <w:bCs/>
          <w:kern w:val="0"/>
          <w:sz w:val="24"/>
          <w:lang w:val="zh-CN"/>
        </w:rPr>
        <w:t>经</w:t>
      </w:r>
      <w:r>
        <w:rPr>
          <w:rFonts w:hint="eastAsia"/>
          <w:bCs/>
          <w:kern w:val="0"/>
          <w:sz w:val="24"/>
        </w:rPr>
        <w:t>废气设施</w:t>
      </w:r>
      <w:r>
        <w:rPr>
          <w:bCs/>
          <w:kern w:val="0"/>
          <w:sz w:val="24"/>
          <w:lang w:val="zh-CN"/>
        </w:rPr>
        <w:t>处理后</w:t>
      </w:r>
      <w:r>
        <w:rPr>
          <w:rFonts w:hint="eastAsia"/>
          <w:bCs/>
          <w:kern w:val="0"/>
          <w:sz w:val="24"/>
          <w:lang w:val="zh-CN"/>
        </w:rPr>
        <w:t>，</w:t>
      </w:r>
      <w:r>
        <w:rPr>
          <w:rFonts w:hint="eastAsia"/>
          <w:sz w:val="24"/>
        </w:rPr>
        <w:t>非</w:t>
      </w:r>
      <w:r>
        <w:rPr>
          <w:rFonts w:hint="eastAsia"/>
          <w:sz w:val="24"/>
          <w:highlight w:val="none"/>
        </w:rPr>
        <w:t>甲烷总烃</w:t>
      </w:r>
      <w:r>
        <w:rPr>
          <w:sz w:val="24"/>
          <w:highlight w:val="none"/>
        </w:rPr>
        <w:t>满足</w:t>
      </w:r>
      <w:r>
        <w:rPr>
          <w:bCs/>
          <w:kern w:val="0"/>
          <w:sz w:val="24"/>
          <w:szCs w:val="20"/>
          <w:highlight w:val="none"/>
        </w:rPr>
        <w:t>《</w:t>
      </w:r>
      <w:r>
        <w:rPr>
          <w:rFonts w:ascii="宋体" w:hAnsi="宋体" w:cs="宋体"/>
          <w:sz w:val="24"/>
          <w:highlight w:val="none"/>
        </w:rPr>
        <w:t>工业企业挥发性有机物排放控制标准</w:t>
      </w:r>
      <w:r>
        <w:rPr>
          <w:bCs/>
          <w:kern w:val="0"/>
          <w:sz w:val="24"/>
          <w:szCs w:val="20"/>
          <w:highlight w:val="none"/>
        </w:rPr>
        <w:t>》</w:t>
      </w:r>
      <w:r>
        <w:rPr>
          <w:rFonts w:hint="eastAsia"/>
          <w:bCs/>
          <w:kern w:val="0"/>
          <w:sz w:val="24"/>
          <w:szCs w:val="20"/>
          <w:highlight w:val="none"/>
        </w:rPr>
        <w:t>（D</w:t>
      </w:r>
      <w:r>
        <w:rPr>
          <w:bCs/>
          <w:kern w:val="0"/>
          <w:sz w:val="24"/>
          <w:szCs w:val="20"/>
          <w:highlight w:val="none"/>
        </w:rPr>
        <w:t>B</w:t>
      </w:r>
      <w:r>
        <w:rPr>
          <w:rFonts w:hint="eastAsia"/>
          <w:bCs/>
          <w:kern w:val="0"/>
          <w:sz w:val="24"/>
          <w:szCs w:val="20"/>
          <w:highlight w:val="none"/>
        </w:rPr>
        <w:t>13/2322</w:t>
      </w:r>
      <w:r>
        <w:rPr>
          <w:bCs/>
          <w:kern w:val="0"/>
          <w:sz w:val="24"/>
          <w:szCs w:val="20"/>
          <w:highlight w:val="none"/>
        </w:rPr>
        <w:t>-201</w:t>
      </w:r>
      <w:r>
        <w:rPr>
          <w:rFonts w:hint="eastAsia"/>
          <w:bCs/>
          <w:kern w:val="0"/>
          <w:sz w:val="24"/>
          <w:szCs w:val="20"/>
          <w:highlight w:val="none"/>
        </w:rPr>
        <w:t>6）表1</w:t>
      </w:r>
      <w:r>
        <w:rPr>
          <w:bCs/>
          <w:kern w:val="0"/>
          <w:sz w:val="24"/>
          <w:szCs w:val="20"/>
          <w:highlight w:val="none"/>
        </w:rPr>
        <w:t>大气污染物排放限值要求</w:t>
      </w:r>
      <w:r>
        <w:rPr>
          <w:rFonts w:hint="eastAsia"/>
          <w:bCs/>
          <w:kern w:val="0"/>
          <w:sz w:val="24"/>
          <w:szCs w:val="20"/>
          <w:highlight w:val="none"/>
          <w:lang w:eastAsia="zh-CN"/>
        </w:rPr>
        <w:t>，</w:t>
      </w:r>
      <w:r>
        <w:rPr>
          <w:rFonts w:hint="eastAsia"/>
          <w:bCs/>
          <w:kern w:val="0"/>
          <w:sz w:val="24"/>
          <w:szCs w:val="20"/>
          <w:highlight w:val="none"/>
          <w:lang w:val="en-US" w:eastAsia="zh-CN"/>
        </w:rPr>
        <w:t>氨、硫化氢和臭气浓度</w:t>
      </w:r>
      <w:r>
        <w:rPr>
          <w:sz w:val="24"/>
          <w:highlight w:val="none"/>
        </w:rPr>
        <w:t>满足</w:t>
      </w:r>
      <w:r>
        <w:rPr>
          <w:rFonts w:hint="eastAsia"/>
          <w:bCs/>
          <w:kern w:val="0"/>
          <w:sz w:val="24"/>
          <w:szCs w:val="20"/>
          <w:highlight w:val="none"/>
        </w:rPr>
        <w:t>《恶臭污染物排放标准》（GB14554-93）中表2限值要求。无组</w:t>
      </w:r>
      <w:r>
        <w:rPr>
          <w:rFonts w:hint="eastAsia"/>
          <w:bCs/>
          <w:kern w:val="0"/>
          <w:sz w:val="24"/>
          <w:szCs w:val="20"/>
        </w:rPr>
        <w:t>织废气</w:t>
      </w:r>
      <w:r>
        <w:rPr>
          <w:rFonts w:hint="eastAsia"/>
          <w:sz w:val="24"/>
        </w:rPr>
        <w:t>非甲烷总烃满足《工业企业挥发性有机物排放控制标准》(DB13/2322-2016)表2中其他企业浓度限值要求，厂区内非甲烷总烃满足《挥发性有机物无组织排放控制标准》（GB 37822—2019）附录A中表A.1排放限值；</w:t>
      </w:r>
      <w:r>
        <w:rPr>
          <w:rFonts w:hint="eastAsia"/>
          <w:bCs/>
          <w:kern w:val="0"/>
          <w:sz w:val="24"/>
          <w:szCs w:val="20"/>
        </w:rPr>
        <w:t>废水处理无组织废气中氨、硫化氢和臭气浓度满足《恶臭污染物排放标准》（GB14554-93）中表</w:t>
      </w:r>
      <w:r>
        <w:rPr>
          <w:rFonts w:hint="eastAsia"/>
          <w:bCs/>
          <w:kern w:val="0"/>
          <w:sz w:val="24"/>
          <w:szCs w:val="20"/>
          <w:lang w:val="en-US" w:eastAsia="zh-CN"/>
        </w:rPr>
        <w:t>1</w:t>
      </w:r>
      <w:r>
        <w:rPr>
          <w:rFonts w:hint="eastAsia"/>
          <w:bCs/>
          <w:kern w:val="0"/>
          <w:sz w:val="24"/>
          <w:szCs w:val="20"/>
        </w:rPr>
        <w:t>限值要求。综上，本项目对大气环境产生影响较小。</w:t>
      </w:r>
    </w:p>
    <w:p w14:paraId="751DEA10">
      <w:pPr>
        <w:spacing w:line="480" w:lineRule="atLeast"/>
        <w:ind w:firstLine="480" w:firstLineChars="200"/>
        <w:rPr>
          <w:kern w:val="0"/>
          <w:sz w:val="24"/>
        </w:rPr>
      </w:pPr>
      <w:r>
        <w:rPr>
          <w:rFonts w:hint="eastAsia"/>
          <w:kern w:val="0"/>
          <w:sz w:val="24"/>
        </w:rPr>
        <w:t>2、废水</w:t>
      </w:r>
    </w:p>
    <w:p w14:paraId="17A9536A">
      <w:pPr>
        <w:adjustRightInd w:val="0"/>
        <w:snapToGrid w:val="0"/>
        <w:spacing w:line="480" w:lineRule="atLeast"/>
        <w:ind w:firstLine="480" w:firstLineChars="200"/>
        <w:rPr>
          <w:sz w:val="24"/>
        </w:rPr>
      </w:pPr>
      <w:r>
        <w:rPr>
          <w:rFonts w:hint="eastAsia"/>
          <w:sz w:val="24"/>
        </w:rPr>
        <w:t>（1）各类废水污染物种类及产生量</w:t>
      </w:r>
    </w:p>
    <w:p w14:paraId="0616A95D">
      <w:pPr>
        <w:rPr>
          <w:rFonts w:hint="eastAsia"/>
          <w:sz w:val="24"/>
        </w:rPr>
      </w:pPr>
      <w:r>
        <w:rPr>
          <w:rFonts w:hint="eastAsia"/>
          <w:sz w:val="24"/>
        </w:rPr>
        <w:t>拟建项目废水产生主要为纯水制备浓水、设备清洗废水（该清洗水量考虑为每周对储罐区储罐或中间储罐进行清洗1次）、车间冲洗废水、试验废水、喷淋塔循环废水和生活污水。其中，生活污水经化粪池处理后送入</w:t>
      </w:r>
      <w:r>
        <w:rPr>
          <w:rFonts w:hint="eastAsia"/>
          <w:sz w:val="24"/>
          <w:lang w:val="en-US" w:eastAsia="zh-CN"/>
        </w:rPr>
        <w:t>石家庄良村南污水处理厂</w:t>
      </w:r>
      <w:r>
        <w:rPr>
          <w:rFonts w:hint="eastAsia"/>
          <w:sz w:val="24"/>
        </w:rPr>
        <w:t>；设备清洗废水、车间清洗废水、试验废水和喷淋塔循环废水进入污水处理系统处理后送入</w:t>
      </w:r>
      <w:r>
        <w:rPr>
          <w:rFonts w:hint="eastAsia"/>
          <w:sz w:val="24"/>
          <w:lang w:val="en-US" w:eastAsia="zh-CN"/>
        </w:rPr>
        <w:t>石家庄良村南污水处理厂</w:t>
      </w:r>
      <w:r>
        <w:rPr>
          <w:rFonts w:hint="eastAsia"/>
          <w:sz w:val="24"/>
        </w:rPr>
        <w:t>；纯水制备浓水直接排入</w:t>
      </w:r>
      <w:r>
        <w:rPr>
          <w:rFonts w:hint="eastAsia"/>
          <w:sz w:val="24"/>
          <w:lang w:val="en-US" w:eastAsia="zh-CN"/>
        </w:rPr>
        <w:t>石家庄良村南污水处理厂</w:t>
      </w:r>
      <w:r>
        <w:rPr>
          <w:rFonts w:hint="eastAsia"/>
          <w:sz w:val="24"/>
        </w:rPr>
        <w:t>。</w:t>
      </w:r>
    </w:p>
    <w:p w14:paraId="4946DC22">
      <w:pPr>
        <w:pStyle w:val="11"/>
        <w:spacing w:line="460" w:lineRule="exact"/>
        <w:ind w:firstLine="480"/>
        <w:rPr>
          <w:rFonts w:ascii="Times New Roman" w:hAnsi="Times New Roman" w:cs="Times New Roman"/>
        </w:rPr>
      </w:pPr>
      <w:r>
        <w:rPr>
          <w:rFonts w:hint="eastAsia" w:ascii="Times New Roman" w:hAnsi="Times New Roman" w:cs="Times New Roman"/>
        </w:rPr>
        <w:t>（2）</w:t>
      </w:r>
      <w:r>
        <w:rPr>
          <w:rFonts w:ascii="Times New Roman" w:hAnsi="Times New Roman" w:cs="Times New Roman"/>
        </w:rPr>
        <w:t>废水</w:t>
      </w:r>
      <w:r>
        <w:rPr>
          <w:rFonts w:hint="eastAsia" w:ascii="Times New Roman" w:hAnsi="Times New Roman" w:cs="Times New Roman"/>
        </w:rPr>
        <w:t>处理措施可行性分析</w:t>
      </w:r>
    </w:p>
    <w:p w14:paraId="11731A68">
      <w:pPr>
        <w:rPr>
          <w:rFonts w:hint="eastAsia" w:ascii="Times New Roman" w:hAnsi="Times New Roman" w:cs="Times New Roman"/>
        </w:rPr>
      </w:pPr>
      <w:r>
        <w:rPr>
          <w:rFonts w:hint="eastAsia" w:ascii="Times New Roman" w:hAnsi="Times New Roman" w:cs="Times New Roman"/>
        </w:rPr>
        <w:t>本项目废水先经过污水处理系统处理后排入</w:t>
      </w:r>
      <w:r>
        <w:rPr>
          <w:rFonts w:hint="eastAsia"/>
          <w:lang w:val="en-US" w:eastAsia="zh-CN"/>
        </w:rPr>
        <w:t>石家庄良村南污水处理厂</w:t>
      </w:r>
      <w:r>
        <w:rPr>
          <w:rFonts w:hint="eastAsia" w:ascii="Times New Roman" w:hAnsi="Times New Roman" w:cs="Times New Roman"/>
        </w:rPr>
        <w:t>。</w:t>
      </w:r>
    </w:p>
    <w:p w14:paraId="5E8B384B">
      <w:pPr>
        <w:pStyle w:val="11"/>
        <w:spacing w:line="460" w:lineRule="exact"/>
        <w:ind w:firstLine="480"/>
        <w:rPr>
          <w:rFonts w:ascii="Times New Roman" w:hAnsi="Times New Roman" w:cs="Times New Roman"/>
        </w:rPr>
      </w:pPr>
      <w:r>
        <w:rPr>
          <w:rFonts w:ascii="Times New Roman" w:hAnsi="Times New Roman" w:cs="Times New Roman"/>
        </w:rPr>
        <w:t>（</w:t>
      </w:r>
      <w:r>
        <w:rPr>
          <w:rFonts w:hint="eastAsia" w:ascii="Times New Roman" w:hAnsi="Times New Roman" w:cs="Times New Roman"/>
        </w:rPr>
        <w:t>3</w:t>
      </w:r>
      <w:r>
        <w:rPr>
          <w:rFonts w:ascii="Times New Roman" w:hAnsi="Times New Roman" w:cs="Times New Roman"/>
        </w:rPr>
        <w:t>）废</w:t>
      </w:r>
      <w:r>
        <w:rPr>
          <w:rFonts w:hint="eastAsia" w:ascii="Times New Roman" w:hAnsi="Times New Roman" w:cs="Times New Roman"/>
        </w:rPr>
        <w:t>水</w:t>
      </w:r>
      <w:r>
        <w:rPr>
          <w:rFonts w:ascii="Times New Roman" w:hAnsi="Times New Roman" w:cs="Times New Roman"/>
        </w:rPr>
        <w:t>影响评价结论</w:t>
      </w:r>
    </w:p>
    <w:p w14:paraId="1DFB887D">
      <w:pPr>
        <w:pStyle w:val="11"/>
        <w:spacing w:line="460" w:lineRule="exact"/>
        <w:ind w:firstLine="480"/>
        <w:rPr>
          <w:rFonts w:ascii="Times New Roman" w:hAnsi="Times New Roman" w:cs="Times New Roman"/>
        </w:rPr>
      </w:pPr>
      <w:r>
        <w:rPr>
          <w:rFonts w:hint="eastAsia" w:ascii="Times New Roman" w:hAnsi="Times New Roman" w:cs="Times New Roman"/>
        </w:rPr>
        <w:t>根据《排污许可证申请与核发技术规范 专用化学产品制造工业》（HJ 1103-2020）表16专用化学产品制造工业排污单位废水产排污节点、污染物及对应排放口类型一览表中，本项目涉及的</w:t>
      </w:r>
      <w:r>
        <w:rPr>
          <w:rFonts w:ascii="Times New Roman" w:hAnsi="Times New Roman" w:cs="Times New Roman"/>
        </w:rPr>
        <w:t>“</w:t>
      </w:r>
      <w:r>
        <w:rPr>
          <w:rFonts w:hint="eastAsia" w:ascii="Times New Roman" w:hAnsi="Times New Roman" w:cs="Times New Roman"/>
        </w:rPr>
        <w:t>综合调节池+水解酸化池+接触氧化池+沉淀池</w:t>
      </w:r>
      <w:r>
        <w:rPr>
          <w:rFonts w:ascii="Times New Roman" w:hAnsi="Times New Roman" w:cs="Times New Roman"/>
        </w:rPr>
        <w:t>”</w:t>
      </w:r>
      <w:r>
        <w:rPr>
          <w:rFonts w:hint="eastAsia" w:ascii="Times New Roman" w:hAnsi="Times New Roman" w:cs="Times New Roman"/>
        </w:rPr>
        <w:t>工艺属于可行技术。</w:t>
      </w:r>
    </w:p>
    <w:p w14:paraId="064F17E1">
      <w:pPr>
        <w:rPr>
          <w:rFonts w:hint="eastAsia" w:ascii="Times New Roman" w:hAnsi="Times New Roman" w:cs="Times New Roman"/>
        </w:rPr>
      </w:pPr>
      <w:r>
        <w:rPr>
          <w:rFonts w:hint="eastAsia" w:ascii="Times New Roman" w:hAnsi="Times New Roman" w:cs="Times New Roman"/>
        </w:rPr>
        <w:t>本项目生产生活废水排入污水处理系统处理后，排入园区污水处理站处理，各污染物排放浓度满足</w:t>
      </w:r>
      <w:r>
        <w:rPr>
          <w:rFonts w:hint="eastAsia" w:ascii="Times New Roman" w:hAnsi="Times New Roman"/>
          <w:kern w:val="0"/>
          <w:szCs w:val="21"/>
          <w:lang w:val="en-GB"/>
        </w:rPr>
        <w:t>《污水综合排放标准》(GB8978-1996)中三级标准及石家庄良村南污水处理厂进水水质要求</w:t>
      </w:r>
      <w:r>
        <w:rPr>
          <w:rFonts w:hint="eastAsia" w:ascii="Times New Roman" w:hAnsi="Times New Roman" w:cs="Times New Roman"/>
        </w:rPr>
        <w:t>。</w:t>
      </w:r>
    </w:p>
    <w:p w14:paraId="3C549ED8">
      <w:pPr>
        <w:pStyle w:val="3"/>
        <w:spacing w:line="360" w:lineRule="auto"/>
        <w:ind w:firstLine="480"/>
        <w:rPr>
          <w:kern w:val="2"/>
          <w:sz w:val="24"/>
          <w:szCs w:val="24"/>
        </w:rPr>
      </w:pPr>
      <w:r>
        <w:rPr>
          <w:rFonts w:hint="eastAsia"/>
          <w:kern w:val="2"/>
          <w:sz w:val="24"/>
          <w:szCs w:val="24"/>
        </w:rPr>
        <w:t>3、</w:t>
      </w:r>
      <w:r>
        <w:rPr>
          <w:kern w:val="2"/>
          <w:sz w:val="24"/>
          <w:szCs w:val="24"/>
        </w:rPr>
        <w:t>噪声</w:t>
      </w:r>
    </w:p>
    <w:p w14:paraId="155EA102">
      <w:pPr>
        <w:adjustRightInd w:val="0"/>
        <w:snapToGrid w:val="0"/>
        <w:spacing w:line="360" w:lineRule="auto"/>
        <w:ind w:firstLine="480" w:firstLineChars="200"/>
        <w:rPr>
          <w:sz w:val="24"/>
        </w:rPr>
      </w:pPr>
      <w:r>
        <w:rPr>
          <w:sz w:val="24"/>
        </w:rPr>
        <w:t>（1）噪声</w:t>
      </w:r>
      <w:r>
        <w:rPr>
          <w:bCs/>
          <w:sz w:val="24"/>
        </w:rPr>
        <w:t>排放情况</w:t>
      </w:r>
    </w:p>
    <w:p w14:paraId="7365A8F3">
      <w:pPr>
        <w:adjustRightInd w:val="0"/>
        <w:snapToGrid w:val="0"/>
        <w:spacing w:line="360" w:lineRule="auto"/>
        <w:ind w:firstLine="480" w:firstLineChars="200"/>
        <w:rPr>
          <w:sz w:val="24"/>
        </w:rPr>
      </w:pPr>
      <w:bookmarkStart w:id="4" w:name="_Hlk205534743"/>
      <w:r>
        <w:rPr>
          <w:sz w:val="24"/>
        </w:rPr>
        <w:t>项目</w:t>
      </w:r>
      <w:r>
        <w:rPr>
          <w:rFonts w:hint="eastAsia"/>
          <w:sz w:val="24"/>
        </w:rPr>
        <w:t>运营期噪声主要来源于搅拌罐、过滤离心泵及过滤器等设备，</w:t>
      </w:r>
      <w:r>
        <w:rPr>
          <w:sz w:val="24"/>
        </w:rPr>
        <w:t>项目厂界50m范围内无声环境保护目标。</w:t>
      </w:r>
      <w:bookmarkEnd w:id="4"/>
      <w:r>
        <w:rPr>
          <w:rFonts w:hint="eastAsia"/>
          <w:sz w:val="24"/>
          <w:lang w:val="en-US" w:eastAsia="zh-CN"/>
        </w:rPr>
        <w:t>项目通过基础减振、厂房隔声、选用低噪声设备等措施降低噪声影响。</w:t>
      </w:r>
    </w:p>
    <w:p w14:paraId="30226B01">
      <w:pPr>
        <w:adjustRightInd w:val="0"/>
        <w:snapToGrid w:val="0"/>
        <w:spacing w:line="480" w:lineRule="exact"/>
        <w:ind w:firstLine="480" w:firstLineChars="200"/>
        <w:rPr>
          <w:bCs/>
          <w:sz w:val="24"/>
        </w:rPr>
      </w:pPr>
      <w:r>
        <w:rPr>
          <w:bCs/>
          <w:sz w:val="24"/>
        </w:rPr>
        <w:t>根据现场勘查，</w:t>
      </w:r>
      <w:bookmarkStart w:id="5" w:name="_Hlk205534836"/>
      <w:r>
        <w:rPr>
          <w:bCs/>
          <w:sz w:val="24"/>
        </w:rPr>
        <w:t>项目50m内无现状环境敏感点。</w:t>
      </w:r>
      <w:bookmarkEnd w:id="5"/>
      <w:r>
        <w:rPr>
          <w:bCs/>
          <w:sz w:val="24"/>
        </w:rPr>
        <w:t>根据以上预测结果，</w:t>
      </w:r>
      <w:bookmarkStart w:id="6" w:name="_Hlk205534826"/>
      <w:r>
        <w:rPr>
          <w:bCs/>
          <w:sz w:val="24"/>
        </w:rPr>
        <w:t>厂界最大</w:t>
      </w:r>
      <w:r>
        <w:rPr>
          <w:rFonts w:hint="eastAsia"/>
          <w:bCs/>
          <w:sz w:val="24"/>
        </w:rPr>
        <w:t>贡献</w:t>
      </w:r>
      <w:r>
        <w:rPr>
          <w:bCs/>
          <w:sz w:val="24"/>
        </w:rPr>
        <w:t>值为：昼间</w:t>
      </w:r>
      <w:r>
        <w:rPr>
          <w:rFonts w:hint="eastAsia"/>
          <w:bCs/>
          <w:sz w:val="24"/>
        </w:rPr>
        <w:t>49.91</w:t>
      </w:r>
      <w:r>
        <w:rPr>
          <w:bCs/>
          <w:sz w:val="24"/>
        </w:rPr>
        <w:t>dB(A)，夜间</w:t>
      </w:r>
      <w:r>
        <w:rPr>
          <w:rFonts w:hint="eastAsia"/>
          <w:bCs/>
          <w:sz w:val="24"/>
        </w:rPr>
        <w:t>49.91</w:t>
      </w:r>
      <w:r>
        <w:rPr>
          <w:bCs/>
          <w:sz w:val="24"/>
        </w:rPr>
        <w:t>dB(A)，</w:t>
      </w:r>
      <w:r>
        <w:rPr>
          <w:rFonts w:hint="eastAsia"/>
          <w:sz w:val="24"/>
        </w:rPr>
        <w:t>项目实施后噪声贡献值东、北、西、南厂界满足《工业企业厂界环境噪声排放标准》(GB12348-2008)3类区标准。</w:t>
      </w:r>
      <w:bookmarkEnd w:id="6"/>
      <w:r>
        <w:rPr>
          <w:rFonts w:hint="eastAsia"/>
          <w:sz w:val="24"/>
        </w:rPr>
        <w:t>因此，本项目实施后</w:t>
      </w:r>
      <w:r>
        <w:rPr>
          <w:bCs/>
          <w:sz w:val="24"/>
        </w:rPr>
        <w:t>对周围声环境影响不大</w:t>
      </w:r>
      <w:r>
        <w:rPr>
          <w:rFonts w:hint="eastAsia"/>
          <w:sz w:val="24"/>
        </w:rPr>
        <w:t>。</w:t>
      </w:r>
    </w:p>
    <w:p w14:paraId="16CDC2F9">
      <w:pPr>
        <w:adjustRightInd w:val="0"/>
        <w:snapToGrid w:val="0"/>
        <w:spacing w:line="480" w:lineRule="exact"/>
        <w:ind w:firstLine="480" w:firstLineChars="200"/>
        <w:rPr>
          <w:bCs/>
          <w:sz w:val="24"/>
        </w:rPr>
      </w:pPr>
      <w:r>
        <w:rPr>
          <w:rFonts w:hint="eastAsia"/>
          <w:bCs/>
          <w:sz w:val="24"/>
        </w:rPr>
        <w:t>4、固体废物</w:t>
      </w:r>
    </w:p>
    <w:p w14:paraId="6EBD8858">
      <w:pPr>
        <w:adjustRightInd w:val="0"/>
        <w:snapToGrid w:val="0"/>
        <w:spacing w:line="480" w:lineRule="exact"/>
        <w:ind w:firstLine="480" w:firstLineChars="200"/>
        <w:rPr>
          <w:bCs/>
          <w:sz w:val="24"/>
        </w:rPr>
      </w:pPr>
      <w:bookmarkStart w:id="7" w:name="_Hlk205534874"/>
      <w:r>
        <w:rPr>
          <w:rFonts w:hint="eastAsia"/>
          <w:bCs/>
          <w:sz w:val="24"/>
        </w:rPr>
        <w:t>本项目产生的固体废物主要为生活垃圾、废包装材料、废离子交换树脂、废RO膜、废手套、废活性炭、废试剂瓶、废危险化学品包装物、废润滑油、废润滑油桶、废过滤芯、废分子筛</w:t>
      </w:r>
      <w:r>
        <w:rPr>
          <w:rFonts w:hint="eastAsia"/>
          <w:bCs/>
          <w:sz w:val="24"/>
          <w:lang w:eastAsia="zh-CN"/>
        </w:rPr>
        <w:t>、实验废液、不合格产品、</w:t>
      </w:r>
      <w:r>
        <w:rPr>
          <w:rFonts w:hint="eastAsia"/>
          <w:bCs/>
          <w:sz w:val="24"/>
        </w:rPr>
        <w:t>和污水处理系统污泥。</w:t>
      </w:r>
    </w:p>
    <w:bookmarkEnd w:id="7"/>
    <w:p w14:paraId="7BDF58B5">
      <w:pPr>
        <w:adjustRightInd w:val="0"/>
        <w:snapToGrid w:val="0"/>
        <w:spacing w:line="480" w:lineRule="exact"/>
        <w:ind w:firstLine="480" w:firstLineChars="200"/>
        <w:rPr>
          <w:rFonts w:hint="eastAsia" w:eastAsia="宋体"/>
          <w:bCs/>
          <w:sz w:val="24"/>
          <w:lang w:val="en-US" w:eastAsia="zh-CN"/>
        </w:rPr>
      </w:pPr>
      <w:r>
        <w:rPr>
          <w:rFonts w:hint="eastAsia"/>
          <w:bCs/>
          <w:sz w:val="24"/>
        </w:rPr>
        <w:t>一般固废：</w:t>
      </w:r>
      <w:bookmarkStart w:id="8" w:name="_Hlk205535001"/>
      <w:r>
        <w:rPr>
          <w:rFonts w:hint="eastAsia"/>
          <w:bCs/>
          <w:sz w:val="24"/>
        </w:rPr>
        <w:t>生活垃圾产生量</w:t>
      </w:r>
      <w:r>
        <w:rPr>
          <w:sz w:val="24"/>
        </w:rPr>
        <w:t>按0.5kg/人·天计</w:t>
      </w:r>
      <w:r>
        <w:rPr>
          <w:rFonts w:hint="eastAsia"/>
          <w:sz w:val="24"/>
        </w:rPr>
        <w:t>，则垃圾产生量为</w:t>
      </w:r>
      <w:r>
        <w:rPr>
          <w:rFonts w:hint="eastAsia"/>
          <w:bCs/>
          <w:sz w:val="24"/>
        </w:rPr>
        <w:t>10.5t/a，交由环卫部门统一收集处理；废包装材料产生量为0.5t/a，外售给物资部门回收；废离子交换树脂产生量为0.1t/a，废RO膜产生量为0.05t/a，废分子筛产生量为0.003t/a，厂家回收利用。污水处理系统污泥产生量为0.27t/a，</w:t>
      </w:r>
      <w:r>
        <w:rPr>
          <w:rFonts w:hint="eastAsia"/>
          <w:bCs/>
          <w:sz w:val="24"/>
          <w:lang w:val="en-US" w:eastAsia="zh-CN"/>
        </w:rPr>
        <w:t>暂存于一般固废暂存间，进行定期委托处置</w:t>
      </w:r>
      <w:r>
        <w:rPr>
          <w:rFonts w:hint="eastAsia"/>
          <w:bCs/>
          <w:sz w:val="24"/>
        </w:rPr>
        <w:t>（本项目污泥为生化处理所产生的污泥，不含《危险废物鉴别标准 浸出毒性鉴别》（GB 5085.3—2007）中表1“浸出毒性鉴别标准值”中所涉及的特征污染物，因此，类比同类型项目，本项目污泥按一般固废进行管理。）</w:t>
      </w:r>
      <w:bookmarkEnd w:id="8"/>
      <w:r>
        <w:rPr>
          <w:rFonts w:hint="eastAsia"/>
          <w:bCs/>
          <w:sz w:val="24"/>
        </w:rPr>
        <w:t>。</w:t>
      </w:r>
      <w:r>
        <w:rPr>
          <w:rFonts w:hint="eastAsia"/>
          <w:bCs/>
          <w:sz w:val="24"/>
          <w:lang w:val="en-US" w:eastAsia="zh-CN"/>
        </w:rPr>
        <w:t>一般固废暂存间位于丙类库房东南角，可做到防扬散、防流失、防渗漏，满足《一般工业固体废物贮存和填埋污染控制标准》(GB18599-2020)要求。</w:t>
      </w:r>
    </w:p>
    <w:p w14:paraId="00EA0F98">
      <w:pPr>
        <w:rPr>
          <w:rFonts w:hint="eastAsia"/>
          <w:bCs/>
          <w:sz w:val="24"/>
        </w:rPr>
      </w:pPr>
      <w:r>
        <w:rPr>
          <w:rFonts w:hint="eastAsia"/>
          <w:bCs/>
          <w:sz w:val="24"/>
        </w:rPr>
        <w:t>危险废物：</w:t>
      </w:r>
      <w:bookmarkStart w:id="9" w:name="_Hlk205535068"/>
      <w:r>
        <w:rPr>
          <w:rFonts w:hint="eastAsia"/>
          <w:bCs/>
          <w:sz w:val="24"/>
        </w:rPr>
        <w:t>废手套产生量为0.06t/a，废活性炭产生量为</w:t>
      </w:r>
      <w:r>
        <w:t xml:space="preserve"> </w:t>
      </w:r>
      <w:r>
        <w:rPr>
          <w:bCs/>
          <w:sz w:val="24"/>
        </w:rPr>
        <w:t>4.0</w:t>
      </w:r>
      <w:r>
        <w:rPr>
          <w:rFonts w:hint="eastAsia"/>
          <w:bCs/>
          <w:sz w:val="24"/>
        </w:rPr>
        <w:t>66 t/a，废试剂瓶产生量为0.01t/a，废危险化学品包装物产生量为0.04t/a，废润滑油产生量为0.05t/a，废润滑油桶产生量为0.05t/a，废过滤芯</w:t>
      </w:r>
      <w:bookmarkStart w:id="10" w:name="OLE_LINK9"/>
      <w:r>
        <w:rPr>
          <w:rFonts w:hint="eastAsia"/>
          <w:bCs/>
          <w:sz w:val="24"/>
        </w:rPr>
        <w:t>产生量为1.5t/a，</w:t>
      </w:r>
      <w:bookmarkEnd w:id="10"/>
      <w:r>
        <w:rPr>
          <w:rFonts w:hint="eastAsia"/>
          <w:bCs/>
          <w:sz w:val="24"/>
        </w:rPr>
        <w:t>试验废液（包含试验器材初次清洗水）产生量为0.68t/a，不合格产品产生量为1.94t/a，暂存于危废暂存间后送有资质单位处置。</w:t>
      </w:r>
      <w:bookmarkEnd w:id="9"/>
    </w:p>
    <w:p w14:paraId="564F4D17">
      <w:pPr>
        <w:rPr>
          <w:rFonts w:hint="eastAsia"/>
          <w:bCs/>
          <w:sz w:val="24"/>
          <w:lang w:val="en-US" w:eastAsia="zh-CN"/>
        </w:rPr>
      </w:pPr>
      <w:r>
        <w:rPr>
          <w:color w:val="000000" w:themeColor="text1"/>
          <w:sz w:val="24"/>
          <w14:textFill>
            <w14:solidFill>
              <w14:schemeClr w14:val="tx1"/>
            </w14:solidFill>
          </w14:textFill>
        </w:rPr>
        <w:t>工程建设符合国家产业政策和“三线一单”及环境管控要求；</w:t>
      </w:r>
      <w:r>
        <w:rPr>
          <w:rFonts w:hint="eastAsia"/>
          <w:color w:val="000000" w:themeColor="text1"/>
          <w:sz w:val="24"/>
          <w14:textFill>
            <w14:solidFill>
              <w14:schemeClr w14:val="tx1"/>
            </w14:solidFill>
          </w14:textFill>
        </w:rPr>
        <w:t>建设项目采取的措施满足防止生态破坏和污染物达标排放要求。</w:t>
      </w:r>
      <w:r>
        <w:rPr>
          <w:color w:val="000000" w:themeColor="text1"/>
          <w:sz w:val="24"/>
          <w14:textFill>
            <w14:solidFill>
              <w14:schemeClr w14:val="tx1"/>
            </w14:solidFill>
          </w14:textFill>
        </w:rPr>
        <w:t>项目运营期采取了有效的污染防治措施，对周围环境影响较小，满足区域环境质量改善目标管理要求；环境风险可防控，从环境保护的角度分析，本项目环境影响可行。</w:t>
      </w:r>
      <w:bookmarkStart w:id="11" w:name="_GoBack"/>
      <w:bookmarkEnd w:id="1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S PGothic">
    <w:panose1 w:val="020B0600070205080204"/>
    <w:charset w:val="80"/>
    <w:family w:val="auto"/>
    <w:pitch w:val="default"/>
    <w:sig w:usb0="E00002FF" w:usb1="6AC7FDFB" w:usb2="08000012" w:usb3="00000000" w:csb0="4002009F" w:csb1="DFD70000"/>
  </w:font>
  <w:font w:name="等线 Light">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334046"/>
    <w:multiLevelType w:val="multilevel"/>
    <w:tmpl w:val="2D334046"/>
    <w:lvl w:ilvl="0" w:tentative="0">
      <w:start w:val="1"/>
      <w:numFmt w:val="decimal"/>
      <w:pStyle w:val="9"/>
      <w:lvlText w:val="表2-%1"/>
      <w:lvlJc w:val="center"/>
      <w:pPr>
        <w:ind w:left="420" w:hanging="420"/>
      </w:pPr>
      <w:rPr>
        <w:rFonts w:hint="eastAsia"/>
        <w:b/>
        <w:bCs w:val="0"/>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5260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qFormat/>
    <w:uiPriority w:val="0"/>
    <w:pPr>
      <w:keepNext/>
      <w:keepLines/>
      <w:spacing w:before="280" w:after="290" w:line="376" w:lineRule="auto"/>
      <w:outlineLvl w:val="3"/>
    </w:pPr>
    <w:rPr>
      <w:rFonts w:ascii="等线 Light" w:hAnsi="等线 Light" w:eastAsia="等线 Light"/>
      <w:b/>
      <w:bCs/>
      <w:sz w:val="28"/>
      <w:szCs w:val="28"/>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Indent"/>
    <w:basedOn w:val="1"/>
    <w:next w:val="2"/>
    <w:qFormat/>
    <w:uiPriority w:val="99"/>
    <w:pPr>
      <w:adjustRightInd w:val="0"/>
      <w:spacing w:line="480" w:lineRule="atLeast"/>
      <w:ind w:firstLine="595"/>
      <w:textAlignment w:val="baseline"/>
    </w:pPr>
    <w:rPr>
      <w:kern w:val="0"/>
      <w:szCs w:val="20"/>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annotation reference"/>
    <w:basedOn w:val="6"/>
    <w:qFormat/>
    <w:uiPriority w:val="0"/>
    <w:rPr>
      <w:rFonts w:ascii="Times New Roman" w:hAnsi="Times New Roman" w:eastAsia="宋体" w:cs="Times New Roman"/>
      <w:sz w:val="21"/>
    </w:rPr>
  </w:style>
  <w:style w:type="paragraph" w:customStyle="1" w:styleId="8">
    <w:name w:val="样式1"/>
    <w:basedOn w:val="9"/>
    <w:qFormat/>
    <w:uiPriority w:val="0"/>
    <w:rPr>
      <w:rFonts w:hAnsi="Times New Roman"/>
      <w:b/>
      <w:kern w:val="0"/>
    </w:rPr>
  </w:style>
  <w:style w:type="paragraph" w:customStyle="1" w:styleId="9">
    <w:name w:val="表格标题"/>
    <w:basedOn w:val="1"/>
    <w:qFormat/>
    <w:uiPriority w:val="0"/>
    <w:pPr>
      <w:numPr>
        <w:ilvl w:val="0"/>
        <w:numId w:val="1"/>
      </w:numPr>
      <w:spacing w:line="360" w:lineRule="auto"/>
      <w:jc w:val="center"/>
    </w:pPr>
    <w:rPr>
      <w:rFonts w:hAnsi="宋体"/>
      <w:bCs/>
      <w:sz w:val="24"/>
    </w:rPr>
  </w:style>
  <w:style w:type="paragraph" w:customStyle="1" w:styleId="10">
    <w:name w:val="Aaaa正文"/>
    <w:basedOn w:val="1"/>
    <w:qFormat/>
    <w:uiPriority w:val="0"/>
    <w:pPr>
      <w:widowControl/>
      <w:overflowPunct w:val="0"/>
      <w:autoSpaceDE w:val="0"/>
      <w:autoSpaceDN w:val="0"/>
      <w:spacing w:line="360" w:lineRule="auto"/>
      <w:ind w:firstLine="480" w:firstLineChars="200"/>
      <w:textAlignment w:val="baseline"/>
    </w:pPr>
    <w:rPr>
      <w:kern w:val="0"/>
      <w:sz w:val="24"/>
      <w:lang w:val="zh-CN" w:bidi="en-US"/>
    </w:rPr>
  </w:style>
  <w:style w:type="paragraph" w:customStyle="1" w:styleId="11">
    <w:name w:val="样式 样式 样式 样式 正文@ + 首行缩进:  2 字符 字距调整小四 紧缩量  0.2 磅 + 首行缩进:  2 字符 + ...1"/>
    <w:basedOn w:val="1"/>
    <w:qFormat/>
    <w:uiPriority w:val="0"/>
    <w:pPr>
      <w:spacing w:line="312" w:lineRule="auto"/>
      <w:ind w:firstLine="438" w:firstLineChars="200"/>
    </w:pPr>
    <w:rPr>
      <w:rFonts w:ascii="宋体" w:hAnsi="宋体" w:cs="宋体"/>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2025-10-17T05:15:32Z</dcterms:created>
  <dc:creator>X.L.Schillor</dc:creator>
  <cp:lastModifiedBy>席绍添</cp:lastModifiedBy>
  <dcterms:modified xsi:type="dcterms:W3CDTF">2025-10-17T05:21:37Z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eyJoZGlkIjoiNjRkODU1MDMwNjdhNTM4YTAzMzliOGJiZmY0YTI3YjgiLCJ1c2VySWQiOiIxNzEwNjc5MTU1In0=</vt:lpwstr>
  </property>
  <property fmtid="{D5CDD505-2E9C-101B-9397-08002B2CF9AE}" pid="4" name="ICV">
    <vt:lpwstr>42D698834D4B4EA496D74ECD9723F023_12</vt:lpwstr>
  </property>
</Properties>
</file>