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D27B9D">
      <w:pPr>
        <w:spacing w:line="600" w:lineRule="exact"/>
        <w:jc w:val="center"/>
        <w:rPr>
          <w:rFonts w:hint="eastAsia" w:ascii="宋体" w:hAnsi="宋体" w:eastAsia="宋体" w:cs="宋体"/>
          <w:b/>
          <w:sz w:val="44"/>
          <w:szCs w:val="44"/>
          <w:lang w:eastAsia="zh-CN"/>
        </w:rPr>
      </w:pPr>
      <w:r>
        <w:rPr>
          <w:rFonts w:hint="eastAsia" w:ascii="宋体" w:hAnsi="宋体" w:eastAsia="宋体" w:cs="宋体"/>
          <w:b/>
          <w:sz w:val="44"/>
          <w:szCs w:val="44"/>
        </w:rPr>
        <w:t>拟批准</w:t>
      </w:r>
      <w:r>
        <w:rPr>
          <w:rFonts w:hint="eastAsia" w:ascii="宋体" w:hAnsi="宋体" w:eastAsia="宋体" w:cs="宋体"/>
          <w:b/>
          <w:sz w:val="44"/>
          <w:szCs w:val="44"/>
          <w:lang w:eastAsia="zh-CN"/>
        </w:rPr>
        <w:t>石家庄通合电子科技股份有限公司</w:t>
      </w:r>
    </w:p>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lang w:eastAsia="zh-CN"/>
        </w:rPr>
        <w:t>数据中心用供配电系统及模块研发生产项目</w:t>
      </w:r>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0A461BF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石家庄通合电子科技股份有限公司数据中心用供配电系统及模块研发生产项目</w:t>
      </w:r>
      <w:r>
        <w:rPr>
          <w:rFonts w:hint="eastAsia" w:ascii="仿宋_GB2312" w:hAnsi="Times New Roman" w:eastAsia="仿宋_GB2312" w:cs="Times New Roman"/>
          <w:sz w:val="32"/>
          <w:szCs w:val="32"/>
        </w:rPr>
        <w:t>位于</w:t>
      </w:r>
      <w:r>
        <w:rPr>
          <w:rFonts w:hint="eastAsia" w:ascii="仿宋_GB2312" w:hAnsi="Times New Roman" w:eastAsia="仿宋_GB2312" w:cs="Times New Roman"/>
          <w:sz w:val="32"/>
          <w:szCs w:val="32"/>
          <w:lang w:val="en-US" w:eastAsia="zh-CN"/>
        </w:rPr>
        <w:t>石家庄高新区黄山街以东、裕华东路以北</w:t>
      </w:r>
      <w:r>
        <w:rPr>
          <w:rFonts w:hint="eastAsia" w:ascii="仿宋_GB2312" w:hAnsi="Times New Roman" w:eastAsia="仿宋_GB2312" w:cs="Times New Roman"/>
          <w:sz w:val="32"/>
          <w:szCs w:val="32"/>
        </w:rPr>
        <w:t>。项目总投资</w:t>
      </w:r>
      <w:r>
        <w:rPr>
          <w:rFonts w:hint="eastAsia" w:ascii="仿宋_GB2312" w:hAnsi="Times New Roman" w:eastAsia="仿宋_GB2312" w:cs="Times New Roman"/>
          <w:sz w:val="32"/>
          <w:szCs w:val="32"/>
          <w:lang w:val="en-US" w:eastAsia="zh-CN"/>
        </w:rPr>
        <w:t>33197.89</w:t>
      </w:r>
      <w:r>
        <w:rPr>
          <w:rFonts w:hint="eastAsia" w:ascii="仿宋_GB2312" w:hAnsi="Times New Roman" w:eastAsia="仿宋_GB2312" w:cs="Times New Roman"/>
          <w:sz w:val="32"/>
          <w:szCs w:val="32"/>
        </w:rPr>
        <w:t>万元</w:t>
      </w: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rPr>
        <w:t>其中环保投资</w:t>
      </w:r>
      <w:r>
        <w:rPr>
          <w:rFonts w:hint="eastAsia" w:ascii="仿宋_GB2312" w:hAnsi="Times New Roman" w:eastAsia="仿宋_GB2312" w:cs="Times New Roman"/>
          <w:sz w:val="32"/>
          <w:szCs w:val="32"/>
          <w:lang w:val="en-US" w:eastAsia="zh-CN"/>
        </w:rPr>
        <w:t>200</w:t>
      </w:r>
      <w:r>
        <w:rPr>
          <w:rFonts w:hint="eastAsia" w:ascii="仿宋_GB2312" w:hAnsi="Times New Roman" w:eastAsia="仿宋_GB2312" w:cs="Times New Roman"/>
          <w:sz w:val="32"/>
          <w:szCs w:val="32"/>
        </w:rPr>
        <w:t>万元。项目主要建设内容：</w:t>
      </w:r>
      <w:r>
        <w:rPr>
          <w:rFonts w:hint="eastAsia" w:ascii="仿宋_GB2312" w:hAnsi="Times New Roman" w:eastAsia="仿宋_GB2312" w:cs="Times New Roman"/>
          <w:sz w:val="32"/>
          <w:szCs w:val="32"/>
          <w:lang w:val="en-US" w:eastAsia="zh-CN"/>
        </w:rPr>
        <w:t>拟新建生产厂房、配套设施等建筑，总建筑面积 41973.05平方米，并购进模块化贴片机、全自动锡膏印刷机、热风回流焊、三维锡膏检测设备等生产、研发、检测软硬件设备626台（套）。项目建成后，可实现年产数据中心用供配电系统6240套、数据中心用供配电模块57000套的生产能力。</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767DC4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施工期：</w:t>
      </w:r>
    </w:p>
    <w:p w14:paraId="22300A79">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施工期扬尘满足《施工场地扬尘排放标准》(DB13/2934-2019)表1扬尘排放浓度限值。</w:t>
      </w:r>
    </w:p>
    <w:p w14:paraId="11330CB9">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施工噪声执行《建筑施工噪声排放标准》（GB12523-2025）。</w:t>
      </w:r>
    </w:p>
    <w:p w14:paraId="20D8D659">
      <w:pPr>
        <w:keepNext w:val="0"/>
        <w:keepLines w:val="0"/>
        <w:pageBreakBefore w:val="0"/>
        <w:widowControl w:val="0"/>
        <w:numPr>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运营期：</w:t>
      </w:r>
    </w:p>
    <w:p w14:paraId="001449E4">
      <w:pPr>
        <w:keepNext w:val="0"/>
        <w:keepLines w:val="0"/>
        <w:pageBreakBefore w:val="0"/>
        <w:widowControl w:val="0"/>
        <w:numPr>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 xml:space="preserve">1、二维码雕刻和回流焊工序、波峰焊、手工焊接和维修工序产生的颗粒物、锡及其化合物以及二保焊产生的颗粒物有组织排放执行《大气污染物综合排放标准》（GB16297-1996）表2二级排放限值（其它）；二维码雕刻和回流焊工序、波峰焊、手工焊接和维修工序产生的非甲烷总烃有组织排放执行《工业企业挥发性有机物排放控制标准》（DB13/2322-2025）表1中其他工业行业标准；三防漆涂敷、灌封胶和固化产生的非甲烷总烃有组织排放执行《表面涂装工序大气污染物排放标准》（DB13/6187-2025）表1大气污染物有组织排放限值（金属制品业）；三防漆涂敷、 打磨和喷粉产生的颗粒物有组织排放《表面涂装工序大气污染物排放标准》（DB13/6187-2025） 表1大气污染物有组织排放限值（金属制品业）。 </w:t>
      </w:r>
    </w:p>
    <w:p w14:paraId="7C55E46E">
      <w:pPr>
        <w:keepNext w:val="0"/>
        <w:keepLines w:val="0"/>
        <w:pageBreakBefore w:val="0"/>
        <w:widowControl w:val="0"/>
        <w:numPr>
          <w:numId w:val="0"/>
        </w:numPr>
        <w:kinsoku/>
        <w:wordWrap/>
        <w:overflowPunct/>
        <w:topLinePunct w:val="0"/>
        <w:autoSpaceDE/>
        <w:autoSpaceDN/>
        <w:bidi w:val="0"/>
        <w:adjustRightInd/>
        <w:snapToGrid/>
        <w:spacing w:line="580" w:lineRule="exact"/>
        <w:ind w:firstLine="640" w:firstLineChars="200"/>
        <w:textAlignment w:val="auto"/>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颗粒物无组织排放执行《大气污染物综合排放标准》（GB16297-1996）表2无组织排放监控浓度限值（碳黑尘、染料尘）；锡及其化合物无组织排放执行《大气污染物综合排放标准》（GB16297-1996）表2无组织排放监控浓度限值；非甲烷总烃无组织排放执行《工业企业挥发性有机物排放控制标准》（DB13/2322-2025）表2厂区内挥发性有机物无组织排放限值和《表面涂装工序大气污染物排放标准》（DB13/6187-2025）表2厂区内挥发性有机物无组织排放限值。</w:t>
      </w:r>
    </w:p>
    <w:p w14:paraId="3C2E7D7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w:t>
      </w:r>
      <w:bookmarkStart w:id="0" w:name="OLE_LINK3"/>
      <w:bookmarkStart w:id="1" w:name="OLE_LINK2"/>
      <w:r>
        <w:rPr>
          <w:rFonts w:hint="eastAsia" w:ascii="仿宋_GB2312" w:hAnsi="Times New Roman" w:eastAsia="仿宋_GB2312" w:cs="Times New Roman"/>
          <w:kern w:val="2"/>
          <w:sz w:val="32"/>
          <w:szCs w:val="32"/>
          <w:lang w:val="en-US" w:eastAsia="zh-CN" w:bidi="ar-SA"/>
        </w:rPr>
        <w:t>废水排放执行《污水综合排放标准》（GB8978-1996）表4中的三级标准与企业和石家庄高新污水处理服务有限公司（石家庄高新第一污水处理厂）签订d的污水排放协议标准。</w:t>
      </w:r>
      <w:bookmarkEnd w:id="0"/>
    </w:p>
    <w:bookmarkEnd w:id="1"/>
    <w:p w14:paraId="1EE869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3、厂界噪声满足《工业企业厂界环境噪声排放标准》（GB12348-2008）3类标准。</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4、一般固体废弃物贮存、处置参照执行《一般工业固体废物贮存和填埋污染控制标准》（GB18599-2020）中的相关要求；危险废物贮存执行《危险废物贮存污染控制标准》 （GB18597-2023）；生活垃圾参照执行《河北省固体废物污染环境防治条例》“第四章生活垃圾”中相关要求。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2659BC0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施工期：</w:t>
      </w:r>
    </w:p>
    <w:p w14:paraId="6311E465">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工程四周设置围挡；道路硬化；不设大型废土石方堆存 场，少量土方临时存放苫布遮盖；对于装运含尘物料车辆遮盖，控制物料洒落；洒水湿法抑尘；建筑材料用篷布遮挡；粉状材料不散装运输；文明施工等。</w:t>
      </w:r>
    </w:p>
    <w:p w14:paraId="0C1D2B88">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firstLine="640" w:firstLineChars="200"/>
        <w:textAlignment w:val="auto"/>
        <w:outlineLvl w:val="9"/>
        <w:rPr>
          <w:rFonts w:hint="default" w:ascii="仿宋_GB2312" w:eastAsia="仿宋_GB2312" w:cs="Times New Roman"/>
          <w:sz w:val="32"/>
          <w:szCs w:val="32"/>
          <w:lang w:val="en-US" w:eastAsia="zh-CN"/>
        </w:rPr>
      </w:pPr>
      <w:r>
        <w:rPr>
          <w:rFonts w:hint="default" w:ascii="仿宋_GB2312" w:eastAsia="仿宋_GB2312" w:cs="Times New Roman"/>
          <w:sz w:val="32"/>
          <w:szCs w:val="32"/>
          <w:lang w:val="en-US" w:eastAsia="zh-CN"/>
        </w:rPr>
        <w:t>建筑施工废水经临时性集水池收集后，用于建筑场地的洒水降尘及周边植被的绿化使用，不外排。施工人员生活污水经厂区化粪池处理后排入园区污水管网，进入高新区污水处理厂。</w:t>
      </w:r>
    </w:p>
    <w:p w14:paraId="0B2D8D9B">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firstLine="640" w:firstLineChars="200"/>
        <w:textAlignment w:val="auto"/>
        <w:outlineLvl w:val="9"/>
        <w:rPr>
          <w:rFonts w:hint="default" w:ascii="仿宋_GB2312" w:eastAsia="仿宋_GB2312" w:cs="Times New Roman"/>
          <w:sz w:val="32"/>
          <w:szCs w:val="32"/>
          <w:lang w:val="en-US" w:eastAsia="zh-CN"/>
        </w:rPr>
      </w:pPr>
      <w:r>
        <w:rPr>
          <w:rFonts w:hint="default" w:ascii="仿宋_GB2312" w:eastAsia="仿宋_GB2312" w:cs="Times New Roman"/>
          <w:sz w:val="32"/>
          <w:szCs w:val="32"/>
          <w:lang w:val="en-US" w:eastAsia="zh-CN"/>
        </w:rPr>
        <w:t>夜间不施工；闲置设备及时关闭、设备及时检修，项目 地址施工场地距离周边保护目标较远，通过距离衰减，降低噪声的影响。</w:t>
      </w:r>
    </w:p>
    <w:p w14:paraId="134F3A7E">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firstLine="640" w:firstLineChars="200"/>
        <w:textAlignment w:val="auto"/>
        <w:outlineLvl w:val="9"/>
        <w:rPr>
          <w:rFonts w:hint="default" w:ascii="仿宋_GB2312" w:eastAsia="仿宋_GB2312" w:cs="Times New Roman"/>
          <w:sz w:val="32"/>
          <w:szCs w:val="32"/>
          <w:lang w:val="en-US" w:eastAsia="zh-CN"/>
        </w:rPr>
      </w:pPr>
      <w:r>
        <w:rPr>
          <w:rFonts w:hint="default" w:ascii="仿宋_GB2312" w:eastAsia="仿宋_GB2312" w:cs="Times New Roman"/>
          <w:sz w:val="32"/>
          <w:szCs w:val="32"/>
          <w:lang w:val="en-US" w:eastAsia="zh-CN"/>
        </w:rPr>
        <w:t>弃土、弃渣、建筑垃圾等指定地点堆存，优先进行回用，剩余部分及时清运，运至区域指定建筑垃圾场堆存处置。生活垃圾集中收集，交由环卫部门统一清运处理。</w:t>
      </w:r>
    </w:p>
    <w:p w14:paraId="09ADCC9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运营期：</w:t>
      </w:r>
    </w:p>
    <w:p w14:paraId="270E4348">
      <w:pPr>
        <w:pStyle w:val="5"/>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二维码雕刻废气和回流焊废气经1套“滤筒除尘+二级活性炭吸附装置”处理后通过1根30m高排气筒（DA001）排放。波峰焊废气、手工焊废气和维修废气经1套“滤筒除尘+二级活性炭吸附装置”处理后，通过1根30m高排气筒（DA002）排放。三防漆涂敷废气经1套“漆雾高效干式过滤器+二级活性炭吸附装置”处理后，通过1根30m高排气筒（DA003）处理后排放。灌封胶生产线废气经1套“二级活性炭吸附装置”处理后，通过1根30m高排气筒（DA004）排放。二氧化碳焊接生产线废气经1 套“滤筒除尘器”处理后，通过1根30m高排气筒（DA005）排放。打磨生产线废气经1套“滤筒除尘器”处理后，通过1根30m高排气筒（DA006）排放。喷粉废气经“旋风回收+滤筒除尘”处理后，通过1根30m高排气筒（DA007）排放。固化废气废气经“干式过滤+二级活性炭吸附装置”处理后，通过1根30m高排气筒（DA008）排放。</w:t>
      </w:r>
    </w:p>
    <w:p w14:paraId="46EAFDF8">
      <w:pPr>
        <w:pStyle w:val="4"/>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w:t>
      </w:r>
      <w:bookmarkStart w:id="2" w:name="OLE_LINK5"/>
      <w:r>
        <w:rPr>
          <w:rFonts w:hint="eastAsia" w:ascii="仿宋_GB2312" w:eastAsia="仿宋_GB2312" w:cs="Times New Roman"/>
          <w:sz w:val="32"/>
          <w:szCs w:val="32"/>
          <w:lang w:val="en-US" w:eastAsia="zh-CN"/>
        </w:rPr>
        <w:t>职工生活污水经化粪池处理，然后和中央空调废水（软水制备废水和中央空调排水）汇合后排入市政污水管网，最后经市政管网排入石家庄高新污水处理服务有限公司（石家庄高新第一污水处理厂）进一步处理。</w:t>
      </w:r>
      <w:bookmarkEnd w:id="2"/>
    </w:p>
    <w:p w14:paraId="4C11B984">
      <w:pPr>
        <w:pStyle w:val="4"/>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w:t>
      </w:r>
      <w:r>
        <w:rPr>
          <w:rFonts w:hint="eastAsia" w:ascii="仿宋_GB2312" w:eastAsia="仿宋_GB2312" w:cs="Times New Roman"/>
          <w:sz w:val="32"/>
          <w:szCs w:val="32"/>
          <w:lang w:val="en-US" w:eastAsia="zh-CN"/>
        </w:rPr>
        <w:t>产生噪声的主要设备为生产设备和风机等，采取选购低噪设备、基础减振、厂房隔声</w:t>
      </w:r>
      <w:r>
        <w:rPr>
          <w:rFonts w:hint="eastAsia" w:ascii="仿宋_GB2312" w:eastAsia="仿宋_GB2312" w:cs="Times New Roman"/>
          <w:sz w:val="32"/>
          <w:szCs w:val="32"/>
          <w:lang w:eastAsia="zh-CN"/>
        </w:rPr>
        <w:t>等措施</w:t>
      </w:r>
      <w:r>
        <w:rPr>
          <w:rFonts w:hint="eastAsia" w:ascii="仿宋_GB2312" w:hAnsi="Times New Roman" w:eastAsia="仿宋_GB2312" w:cs="Times New Roman"/>
          <w:sz w:val="32"/>
          <w:szCs w:val="32"/>
        </w:rPr>
        <w:t>。</w:t>
      </w:r>
    </w:p>
    <w:p w14:paraId="307330C1">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4、固废：废包装物（无铅锡膏废包装、灌封胶和围坝胶废包装）、废元器件、元器件切脚、铜线外壳、废引脚、铜排边角料、锡渣、废原料、打磨废物统一收集后外售。废离子交换树脂厂家回收。助焊剂废包装、废活性炭、废电路板、废漆桶、废漆雾过滤器、废胶桶、废机油、废切削液和除尘灰</w:t>
      </w:r>
      <w:bookmarkStart w:id="3" w:name="_GoBack"/>
      <w:bookmarkEnd w:id="3"/>
      <w:r>
        <w:rPr>
          <w:rFonts w:hint="eastAsia" w:ascii="仿宋_GB2312" w:eastAsia="仿宋_GB2312" w:cs="Times New Roman"/>
          <w:sz w:val="32"/>
          <w:szCs w:val="32"/>
          <w:lang w:val="en-US" w:eastAsia="zh-CN"/>
        </w:rPr>
        <w:t>分类收集后暂存危废间，委托有相关处理资质单位处理。</w:t>
      </w:r>
    </w:p>
    <w:p w14:paraId="12CA3000">
      <w:pPr>
        <w:ind w:firstLine="640" w:firstLineChars="200"/>
        <w:rPr>
          <w:rFonts w:hint="eastAsia" w:ascii="仿宋_GB2312" w:eastAsia="仿宋_GB2312" w:cs="Times New Roman"/>
          <w:sz w:val="32"/>
          <w:szCs w:val="32"/>
          <w:lang w:val="en-US" w:eastAsia="zh-CN"/>
        </w:rPr>
      </w:pPr>
    </w:p>
    <w:p w14:paraId="5B21F597">
      <w:pPr>
        <w:ind w:firstLine="640" w:firstLineChars="200"/>
        <w:rPr>
          <w:rFonts w:hint="eastAsia" w:ascii="仿宋_GB2312" w:eastAsia="仿宋_GB2312" w:cs="Times New Roman"/>
          <w:sz w:val="32"/>
          <w:szCs w:val="32"/>
          <w:lang w:val="en-US" w:eastAsia="zh-CN"/>
        </w:rPr>
      </w:pPr>
    </w:p>
    <w:p w14:paraId="6875DDC3">
      <w:pPr>
        <w:ind w:firstLine="640" w:firstLineChars="200"/>
        <w:rPr>
          <w:rFonts w:hint="eastAsia" w:ascii="仿宋_GB2312" w:eastAsia="仿宋_GB2312" w:cs="Times New Roman"/>
          <w:sz w:val="32"/>
          <w:szCs w:val="32"/>
          <w:lang w:val="en-US" w:eastAsia="zh-CN"/>
        </w:rPr>
      </w:pPr>
    </w:p>
    <w:p w14:paraId="3DE1A0BB">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w:t>
      </w:r>
    </w:p>
    <w:p w14:paraId="4F350B0C">
      <w:pPr>
        <w:ind w:firstLine="640" w:firstLineChars="200"/>
        <w:rPr>
          <w:rFonts w:hint="eastAsia" w:ascii="仿宋_GB2312" w:eastAsia="仿宋_GB2312" w:cs="Times New Roman"/>
          <w:sz w:val="32"/>
          <w:szCs w:val="32"/>
          <w:lang w:val="en-US" w:eastAsia="zh-CN"/>
        </w:rPr>
      </w:pPr>
    </w:p>
    <w:p w14:paraId="6C8345F1">
      <w:pPr>
        <w:pStyle w:val="4"/>
        <w:numPr>
          <w:ilvl w:val="0"/>
          <w:numId w:val="0"/>
        </w:numPr>
        <w:ind w:firstLine="640" w:firstLineChars="200"/>
        <w:jc w:val="both"/>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1C5082"/>
    <w:multiLevelType w:val="singleLevel"/>
    <w:tmpl w:val="B41C5082"/>
    <w:lvl w:ilvl="0" w:tentative="0">
      <w:start w:val="1"/>
      <w:numFmt w:val="decimal"/>
      <w:suff w:val="nothing"/>
      <w:lvlText w:val="%1、"/>
      <w:lvlJc w:val="left"/>
    </w:lvl>
  </w:abstractNum>
  <w:abstractNum w:abstractNumId="1">
    <w:nsid w:val="FB739CA7"/>
    <w:multiLevelType w:val="singleLevel"/>
    <w:tmpl w:val="FB739CA7"/>
    <w:lvl w:ilvl="0" w:tentative="0">
      <w:start w:val="1"/>
      <w:numFmt w:val="decimal"/>
      <w:suff w:val="nothing"/>
      <w:lvlText w:val="%1、"/>
      <w:lvlJc w:val="left"/>
    </w:lvl>
  </w:abstractNum>
  <w:abstractNum w:abstractNumId="2">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3">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A931E1"/>
    <w:rsid w:val="25BB6910"/>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C91A68"/>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89E7B3A"/>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9106A"/>
    <w:rsid w:val="6E6C2864"/>
    <w:rsid w:val="6EAD142D"/>
    <w:rsid w:val="6EE22D4E"/>
    <w:rsid w:val="6F1D1AF9"/>
    <w:rsid w:val="6F6C7A2E"/>
    <w:rsid w:val="70940320"/>
    <w:rsid w:val="70A83C51"/>
    <w:rsid w:val="714123C2"/>
    <w:rsid w:val="717D44A9"/>
    <w:rsid w:val="71E340F8"/>
    <w:rsid w:val="71F53485"/>
    <w:rsid w:val="72253E83"/>
    <w:rsid w:val="726D7F49"/>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BE23D6"/>
    <w:rsid w:val="7ABF1C82"/>
    <w:rsid w:val="7AEE0661"/>
    <w:rsid w:val="7B053770"/>
    <w:rsid w:val="7B5467AB"/>
    <w:rsid w:val="7B7C6467"/>
    <w:rsid w:val="7B8A15B0"/>
    <w:rsid w:val="7CDD44D5"/>
    <w:rsid w:val="7CED5108"/>
    <w:rsid w:val="7D4D0564"/>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pageBreakBefore/>
      <w:spacing w:line="480" w:lineRule="exact"/>
      <w:outlineLvl w:val="0"/>
    </w:pPr>
    <w:rPr>
      <w:b/>
      <w:spacing w:val="4"/>
      <w:kern w:val="28"/>
      <w:sz w:val="30"/>
    </w:rPr>
  </w:style>
  <w:style w:type="paragraph" w:styleId="3">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4">
    <w:name w:val="Note Heading"/>
    <w:basedOn w:val="1"/>
    <w:next w:val="1"/>
    <w:qFormat/>
    <w:uiPriority w:val="0"/>
    <w:pPr>
      <w:jc w:val="center"/>
    </w:pPr>
    <w:rPr>
      <w:rFonts w:hint="eastAsia" w:ascii="宋体"/>
    </w:rPr>
  </w:style>
  <w:style w:type="paragraph" w:styleId="5">
    <w:name w:val="Normal Indent"/>
    <w:basedOn w:val="1"/>
    <w:next w:val="4"/>
    <w:qFormat/>
    <w:uiPriority w:val="0"/>
    <w:pPr>
      <w:ind w:firstLine="420"/>
    </w:p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952</Words>
  <Characters>1041</Characters>
  <Lines>41</Lines>
  <Paragraphs>11</Paragraphs>
  <TotalTime>6</TotalTime>
  <ScaleCrop>false</ScaleCrop>
  <LinksUpToDate>false</LinksUpToDate>
  <CharactersWithSpaces>5663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2025-12-30T01:20:01Z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BA696A9AA7264D0787AEF629B0120A63</vt:lpwstr>
  </property>
  <property fmtid="{D5CDD505-2E9C-101B-9397-08002B2CF9AE}" pid="4" name="KSOTemplateDocerSaveRecord">
    <vt:lpwstr>eyJoZGlkIjoiMTk0NzViNGY4MjI0NGIxYjBlMGY5MmMyODllMmNlZGUiLCJ1c2VySWQiOiIxNzExOTQzNzU1In0=</vt:lpwstr>
  </property>
</Properties>
</file>