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24"/>
    </w:p>
    <w:p>
      <w:pPr>
        <w:keepNext w:val="0"/>
        <w:keepLines w:val="0"/>
        <w:pageBreakBefore w:val="0"/>
        <w:widowControl/>
        <w:kinsoku/>
        <w:wordWrap/>
        <w:overflowPunct/>
        <w:topLinePunct w:val="0"/>
        <w:autoSpaceDE/>
        <w:autoSpaceDN/>
        <w:bidi w:val="0"/>
        <w:adjustRightInd/>
        <w:snapToGrid w:val="0"/>
        <w:spacing w:line="600" w:lineRule="exact"/>
        <w:ind w:firstLine="880" w:firstLineChars="200"/>
        <w:jc w:val="both"/>
        <w:textAlignment w:val="auto"/>
        <w:rPr>
          <w:rFonts w:hint="eastAsia" w:ascii="黑体" w:hAnsi="黑体" w:eastAsia="黑体" w:cs="黑体"/>
          <w:sz w:val="44"/>
          <w:szCs w:val="44"/>
        </w:rPr>
      </w:pPr>
      <w:bookmarkStart w:id="1" w:name="_Toc_4_4_0000000001"/>
    </w:p>
    <w:p>
      <w:pPr>
        <w:keepNext w:val="0"/>
        <w:keepLines w:val="0"/>
        <w:pageBreakBefore w:val="0"/>
        <w:widowControl/>
        <w:kinsoku/>
        <w:wordWrap/>
        <w:overflowPunct/>
        <w:topLinePunct w:val="0"/>
        <w:autoSpaceDE/>
        <w:autoSpaceDN/>
        <w:bidi w:val="0"/>
        <w:adjustRightInd/>
        <w:snapToGrid w:val="0"/>
        <w:spacing w:line="600" w:lineRule="exact"/>
        <w:ind w:firstLine="880" w:firstLineChars="200"/>
        <w:jc w:val="both"/>
        <w:textAlignment w:val="auto"/>
        <w:rPr>
          <w:rFonts w:hint="eastAsia" w:ascii="黑体" w:hAnsi="黑体" w:eastAsia="黑体" w:cs="黑体"/>
          <w:b w:val="0"/>
          <w:bCs w:val="0"/>
          <w:sz w:val="44"/>
          <w:szCs w:val="44"/>
        </w:rPr>
      </w:pPr>
      <w:r>
        <w:rPr>
          <w:rFonts w:hint="eastAsia" w:ascii="黑体" w:hAnsi="黑体" w:eastAsia="黑体" w:cs="黑体"/>
          <w:sz w:val="44"/>
          <w:szCs w:val="44"/>
        </w:rPr>
        <w:t>河北石家庄循环化工园区环境监控中心</w:t>
      </w:r>
      <w:r>
        <w:rPr>
          <w:rFonts w:hint="eastAsia" w:ascii="黑体" w:hAnsi="黑体" w:eastAsia="黑体" w:cs="黑体"/>
          <w:b w:val="0"/>
          <w:bCs w:val="0"/>
          <w:color w:val="000000"/>
          <w:sz w:val="44"/>
          <w:szCs w:val="44"/>
        </w:rPr>
        <w:t>202</w:t>
      </w:r>
      <w:r>
        <w:rPr>
          <w:rFonts w:hint="eastAsia" w:ascii="黑体" w:hAnsi="黑体" w:eastAsia="黑体" w:cs="黑体"/>
          <w:b w:val="0"/>
          <w:bCs w:val="0"/>
          <w:color w:val="000000"/>
          <w:sz w:val="44"/>
          <w:szCs w:val="44"/>
          <w:lang w:val="en-US" w:eastAsia="zh-CN"/>
        </w:rPr>
        <w:t>6</w:t>
      </w:r>
      <w:r>
        <w:rPr>
          <w:rFonts w:hint="eastAsia" w:ascii="黑体" w:hAnsi="黑体" w:eastAsia="黑体" w:cs="黑体"/>
          <w:b w:val="0"/>
          <w:bCs w:val="0"/>
          <w:color w:val="000000"/>
          <w:sz w:val="44"/>
          <w:szCs w:val="44"/>
        </w:rPr>
        <w:t>年单位预算信息公开目录</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 xml:space="preserve"> </w:t>
      </w:r>
    </w:p>
    <w:p>
      <w:pPr>
        <w:keepNext w:val="0"/>
        <w:keepLines w:val="0"/>
        <w:pageBreakBefore w:val="0"/>
        <w:widowControl/>
        <w:kinsoku/>
        <w:wordWrap/>
        <w:overflowPunct/>
        <w:topLinePunct w:val="0"/>
        <w:autoSpaceDE/>
        <w:autoSpaceDN/>
        <w:bidi w:val="0"/>
        <w:adjustRightInd/>
        <w:spacing w:line="600" w:lineRule="exact"/>
        <w:ind w:firstLine="720" w:firstLineChars="200"/>
        <w:jc w:val="left"/>
        <w:textAlignment w:val="auto"/>
        <w:rPr>
          <w:rFonts w:ascii="黑体" w:hAnsi="黑体" w:eastAsia="黑体"/>
          <w:sz w:val="36"/>
          <w:szCs w:val="36"/>
        </w:rPr>
      </w:pPr>
      <w:r>
        <w:rPr>
          <w:rFonts w:hint="eastAsia" w:ascii="黑体" w:hAnsi="黑体" w:eastAsia="黑体" w:cs="黑体"/>
          <w:sz w:val="36"/>
          <w:szCs w:val="36"/>
          <w:lang w:eastAsia="zh-CN"/>
        </w:rPr>
        <w:t>单位</w:t>
      </w:r>
      <w:r>
        <w:rPr>
          <w:rFonts w:hint="eastAsia" w:ascii="黑体" w:hAnsi="黑体" w:eastAsia="黑体" w:cs="黑体"/>
          <w:sz w:val="36"/>
          <w:szCs w:val="36"/>
        </w:rPr>
        <w:t>预算公开表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一、</w:t>
      </w:r>
      <w:r>
        <w:rPr>
          <w:rFonts w:hint="eastAsia" w:ascii="宋体" w:hAnsi="宋体" w:eastAsia="宋体" w:cs="宋体"/>
          <w:sz w:val="32"/>
          <w:szCs w:val="32"/>
          <w:lang w:eastAsia="zh-CN"/>
        </w:rPr>
        <w:t>单位</w:t>
      </w:r>
      <w:r>
        <w:rPr>
          <w:rFonts w:hint="eastAsia" w:ascii="宋体" w:hAnsi="宋体" w:cs="宋体"/>
          <w:sz w:val="32"/>
          <w:szCs w:val="32"/>
        </w:rPr>
        <w:t>预算收支总表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二、</w:t>
      </w:r>
      <w:r>
        <w:rPr>
          <w:rFonts w:hint="eastAsia" w:ascii="宋体" w:hAnsi="宋体" w:eastAsia="宋体" w:cs="宋体"/>
          <w:sz w:val="32"/>
          <w:szCs w:val="32"/>
          <w:lang w:eastAsia="zh-CN"/>
        </w:rPr>
        <w:t>单位</w:t>
      </w:r>
      <w:r>
        <w:rPr>
          <w:rFonts w:hint="eastAsia" w:ascii="宋体" w:hAnsi="宋体" w:cs="宋体"/>
          <w:sz w:val="32"/>
          <w:szCs w:val="32"/>
        </w:rPr>
        <w:t>预算收入总表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三、</w:t>
      </w:r>
      <w:r>
        <w:rPr>
          <w:rFonts w:hint="eastAsia" w:ascii="宋体" w:hAnsi="宋体" w:eastAsia="宋体" w:cs="宋体"/>
          <w:sz w:val="32"/>
          <w:szCs w:val="32"/>
          <w:lang w:eastAsia="zh-CN"/>
        </w:rPr>
        <w:t>单位</w:t>
      </w:r>
      <w:r>
        <w:rPr>
          <w:rFonts w:hint="eastAsia" w:ascii="宋体" w:hAnsi="宋体" w:cs="宋体"/>
          <w:sz w:val="32"/>
          <w:szCs w:val="32"/>
        </w:rPr>
        <w:t>预算支出总表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四、</w:t>
      </w:r>
      <w:r>
        <w:rPr>
          <w:rFonts w:hint="eastAsia" w:ascii="宋体" w:hAnsi="宋体" w:eastAsia="宋体" w:cs="宋体"/>
          <w:sz w:val="32"/>
          <w:szCs w:val="32"/>
          <w:lang w:eastAsia="zh-CN"/>
        </w:rPr>
        <w:t>单位</w:t>
      </w:r>
      <w:r>
        <w:rPr>
          <w:rFonts w:hint="eastAsia" w:ascii="宋体" w:hAnsi="宋体" w:cs="宋体"/>
          <w:sz w:val="32"/>
          <w:szCs w:val="32"/>
        </w:rPr>
        <w:t>预算财政拨款收支总表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五、</w:t>
      </w:r>
      <w:r>
        <w:rPr>
          <w:rFonts w:hint="eastAsia" w:ascii="宋体" w:hAnsi="宋体" w:eastAsia="宋体" w:cs="宋体"/>
          <w:sz w:val="32"/>
          <w:szCs w:val="32"/>
          <w:lang w:eastAsia="zh-CN"/>
        </w:rPr>
        <w:t>单位</w:t>
      </w:r>
      <w:r>
        <w:rPr>
          <w:rFonts w:hint="eastAsia" w:ascii="宋体" w:hAnsi="宋体" w:cs="宋体"/>
          <w:sz w:val="32"/>
          <w:szCs w:val="32"/>
        </w:rPr>
        <w:t>预算一般公共预算财政拨款支出表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六、</w:t>
      </w:r>
      <w:r>
        <w:rPr>
          <w:rFonts w:hint="eastAsia" w:ascii="宋体" w:hAnsi="宋体" w:eastAsia="宋体" w:cs="宋体"/>
          <w:sz w:val="32"/>
          <w:szCs w:val="32"/>
          <w:lang w:eastAsia="zh-CN"/>
        </w:rPr>
        <w:t>单位</w:t>
      </w:r>
      <w:r>
        <w:rPr>
          <w:rFonts w:hint="eastAsia" w:ascii="宋体" w:hAnsi="宋体" w:cs="宋体"/>
          <w:sz w:val="32"/>
          <w:szCs w:val="32"/>
        </w:rPr>
        <w:t>预算一般公共预算财政拨款基本支出表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七、</w:t>
      </w:r>
      <w:r>
        <w:rPr>
          <w:rFonts w:hint="eastAsia" w:ascii="宋体" w:hAnsi="宋体" w:eastAsia="宋体" w:cs="宋体"/>
          <w:sz w:val="32"/>
          <w:szCs w:val="32"/>
          <w:lang w:eastAsia="zh-CN"/>
        </w:rPr>
        <w:t>单位</w:t>
      </w:r>
      <w:r>
        <w:rPr>
          <w:rFonts w:hint="eastAsia" w:ascii="宋体" w:hAnsi="宋体" w:cs="宋体"/>
          <w:sz w:val="32"/>
          <w:szCs w:val="32"/>
        </w:rPr>
        <w:t>预算政府基金预算财政拨款支出表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八、</w:t>
      </w:r>
      <w:r>
        <w:rPr>
          <w:rFonts w:hint="eastAsia" w:ascii="宋体" w:hAnsi="宋体" w:eastAsia="宋体" w:cs="宋体"/>
          <w:sz w:val="32"/>
          <w:szCs w:val="32"/>
          <w:lang w:eastAsia="zh-CN"/>
        </w:rPr>
        <w:t>单位</w:t>
      </w:r>
      <w:r>
        <w:rPr>
          <w:rFonts w:hint="eastAsia" w:ascii="宋体" w:hAnsi="宋体" w:cs="宋体"/>
          <w:sz w:val="32"/>
          <w:szCs w:val="32"/>
        </w:rPr>
        <w:t>预算国有资本经营预算财政拨款支出表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outlineLvl w:val="0"/>
        <w:rPr>
          <w:rFonts w:hint="eastAsia" w:ascii="黑体" w:hAnsi="黑体" w:eastAsia="黑体" w:cs="黑体"/>
          <w:color w:val="000000"/>
          <w:sz w:val="44"/>
          <w:szCs w:val="44"/>
        </w:rPr>
      </w:pPr>
      <w:r>
        <w:rPr>
          <w:rFonts w:hint="eastAsia" w:ascii="宋体" w:hAnsi="宋体" w:cs="宋体"/>
          <w:sz w:val="32"/>
          <w:szCs w:val="32"/>
        </w:rPr>
        <w:t>九、</w:t>
      </w:r>
      <w:r>
        <w:rPr>
          <w:rFonts w:hint="eastAsia" w:ascii="宋体" w:hAnsi="宋体" w:eastAsia="宋体" w:cs="宋体"/>
          <w:sz w:val="32"/>
          <w:szCs w:val="32"/>
          <w:lang w:eastAsia="zh-CN"/>
        </w:rPr>
        <w:t>单位</w:t>
      </w:r>
      <w:r>
        <w:rPr>
          <w:rFonts w:hint="eastAsia" w:ascii="宋体" w:hAnsi="宋体" w:cs="宋体"/>
          <w:sz w:val="32"/>
          <w:szCs w:val="32"/>
        </w:rPr>
        <w:t>预算财政拨款“三公”经费支出</w:t>
      </w:r>
      <w:r>
        <w:rPr>
          <w:rFonts w:hint="eastAsia" w:ascii="宋体" w:hAnsi="宋体" w:eastAsia="宋体" w:cs="宋体"/>
          <w:sz w:val="32"/>
          <w:szCs w:val="32"/>
          <w:lang w:eastAsia="zh-CN"/>
        </w:rPr>
        <w:t>表</w:t>
      </w:r>
    </w:p>
    <w:p>
      <w:pPr>
        <w:keepNext w:val="0"/>
        <w:keepLines w:val="0"/>
        <w:pageBreakBefore w:val="0"/>
        <w:widowControl/>
        <w:kinsoku/>
        <w:wordWrap/>
        <w:overflowPunct/>
        <w:topLinePunct w:val="0"/>
        <w:autoSpaceDE/>
        <w:autoSpaceDN/>
        <w:bidi w:val="0"/>
        <w:adjustRightInd/>
        <w:spacing w:line="600" w:lineRule="exact"/>
        <w:ind w:firstLine="880" w:firstLineChars="200"/>
        <w:jc w:val="left"/>
        <w:textAlignment w:val="auto"/>
        <w:rPr>
          <w:rFonts w:hint="eastAsia" w:ascii="黑体" w:hAnsi="黑体" w:eastAsia="黑体" w:cs="黑体"/>
          <w:color w:val="000000"/>
          <w:sz w:val="44"/>
          <w:szCs w:val="44"/>
          <w:lang w:eastAsia="zh-CN"/>
        </w:rPr>
      </w:pPr>
    </w:p>
    <w:p>
      <w:pPr>
        <w:keepNext w:val="0"/>
        <w:keepLines w:val="0"/>
        <w:pageBreakBefore w:val="0"/>
        <w:widowControl/>
        <w:kinsoku/>
        <w:wordWrap/>
        <w:overflowPunct/>
        <w:topLinePunct w:val="0"/>
        <w:autoSpaceDE/>
        <w:autoSpaceDN/>
        <w:bidi w:val="0"/>
        <w:adjustRightInd/>
        <w:spacing w:line="600" w:lineRule="exact"/>
        <w:ind w:firstLine="880" w:firstLineChars="200"/>
        <w:jc w:val="left"/>
        <w:textAlignment w:val="auto"/>
        <w:rPr>
          <w:rFonts w:hint="eastAsia" w:ascii="宋体" w:hAnsi="宋体" w:cs="宋体"/>
          <w:color w:val="000000"/>
          <w:kern w:val="0"/>
          <w:sz w:val="32"/>
          <w:szCs w:val="32"/>
        </w:rPr>
      </w:pP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预算</w:t>
      </w:r>
      <w:r>
        <w:rPr>
          <w:rFonts w:hint="eastAsia" w:ascii="黑体" w:hAnsi="黑体" w:eastAsia="黑体" w:cs="黑体"/>
          <w:color w:val="000000"/>
          <w:sz w:val="44"/>
          <w:szCs w:val="44"/>
          <w:lang w:eastAsia="zh-CN"/>
        </w:rPr>
        <w:t>信息</w:t>
      </w:r>
      <w:r>
        <w:rPr>
          <w:rFonts w:hint="eastAsia" w:ascii="黑体" w:hAnsi="黑体" w:eastAsia="黑体" w:cs="黑体"/>
          <w:color w:val="000000"/>
          <w:sz w:val="44"/>
          <w:szCs w:val="44"/>
        </w:rPr>
        <w:t>公开</w:t>
      </w:r>
      <w:r>
        <w:rPr>
          <w:rFonts w:hint="eastAsia" w:ascii="黑体" w:hAnsi="黑体" w:eastAsia="黑体" w:cs="黑体"/>
          <w:color w:val="000000"/>
          <w:sz w:val="44"/>
          <w:szCs w:val="44"/>
          <w:lang w:eastAsia="zh-CN"/>
        </w:rPr>
        <w:t>情况</w:t>
      </w:r>
      <w:r>
        <w:rPr>
          <w:rFonts w:hint="eastAsia" w:ascii="黑体" w:hAnsi="黑体" w:eastAsia="黑体" w:cs="黑体"/>
          <w:color w:val="000000"/>
          <w:sz w:val="44"/>
          <w:szCs w:val="44"/>
        </w:rPr>
        <w:t>说明</w:t>
      </w:r>
    </w:p>
    <w:p>
      <w:pPr>
        <w:pStyle w:val="32"/>
        <w:keepNext w:val="0"/>
        <w:keepLines w:val="0"/>
        <w:pageBreakBefore w:val="0"/>
        <w:widowControl/>
        <w:shd w:val="clear" w:color="auto" w:fill="FFFFFF"/>
        <w:kinsoku/>
        <w:wordWrap/>
        <w:overflowPunct/>
        <w:topLinePunct w:val="0"/>
        <w:autoSpaceDE/>
        <w:autoSpaceDN/>
        <w:bidi w:val="0"/>
        <w:adjustRightInd/>
        <w:spacing w:line="600" w:lineRule="exact"/>
        <w:ind w:left="0" w:leftChars="0" w:firstLine="960" w:firstLineChars="300"/>
        <w:jc w:val="left"/>
        <w:textAlignment w:val="auto"/>
        <w:rPr>
          <w:rFonts w:hint="eastAsia" w:ascii="宋体" w:hAnsi="宋体" w:cs="宋体"/>
          <w:color w:val="000000"/>
          <w:kern w:val="0"/>
          <w:sz w:val="32"/>
          <w:szCs w:val="32"/>
        </w:rPr>
      </w:pPr>
    </w:p>
    <w:p>
      <w:pPr>
        <w:pStyle w:val="32"/>
        <w:keepNext w:val="0"/>
        <w:keepLines w:val="0"/>
        <w:pageBreakBefore w:val="0"/>
        <w:widowControl/>
        <w:shd w:val="clear" w:color="auto" w:fill="FFFFFF"/>
        <w:kinsoku/>
        <w:wordWrap/>
        <w:overflowPunct/>
        <w:topLinePunct w:val="0"/>
        <w:autoSpaceDE/>
        <w:autoSpaceDN/>
        <w:bidi w:val="0"/>
        <w:adjustRightInd/>
        <w:spacing w:line="600" w:lineRule="exact"/>
        <w:ind w:left="0" w:leftChars="0" w:firstLine="960" w:firstLineChars="300"/>
        <w:jc w:val="left"/>
        <w:textAlignment w:val="auto"/>
        <w:rPr>
          <w:rFonts w:ascii="宋体" w:cs="Times New Roman"/>
          <w:color w:val="000000"/>
          <w:kern w:val="0"/>
          <w:sz w:val="32"/>
          <w:szCs w:val="32"/>
        </w:rPr>
      </w:pPr>
      <w:r>
        <w:rPr>
          <w:rFonts w:hint="eastAsia" w:ascii="宋体" w:hAnsi="宋体" w:cs="宋体"/>
          <w:color w:val="000000"/>
          <w:kern w:val="0"/>
          <w:sz w:val="32"/>
          <w:szCs w:val="32"/>
        </w:rPr>
        <w:t>一、</w:t>
      </w:r>
      <w:r>
        <w:rPr>
          <w:rFonts w:hint="eastAsia" w:ascii="宋体" w:hAnsi="宋体" w:eastAsia="宋体" w:cs="宋体"/>
          <w:color w:val="000000"/>
          <w:kern w:val="0"/>
          <w:sz w:val="32"/>
          <w:szCs w:val="32"/>
          <w:lang w:eastAsia="zh-CN"/>
        </w:rPr>
        <w:t>单位</w:t>
      </w:r>
      <w:r>
        <w:rPr>
          <w:rFonts w:hint="eastAsia" w:ascii="宋体" w:hAnsi="宋体" w:cs="宋体"/>
          <w:color w:val="000000"/>
          <w:kern w:val="0"/>
          <w:sz w:val="32"/>
          <w:szCs w:val="32"/>
        </w:rPr>
        <w:t>职责机构设置情况</w:t>
      </w:r>
    </w:p>
    <w:p>
      <w:pPr>
        <w:keepNext w:val="0"/>
        <w:keepLines w:val="0"/>
        <w:pageBreakBefore w:val="0"/>
        <w:widowControl/>
        <w:kinsoku/>
        <w:wordWrap/>
        <w:overflowPunct/>
        <w:topLinePunct w:val="0"/>
        <w:autoSpaceDE/>
        <w:autoSpaceDN/>
        <w:bidi w:val="0"/>
        <w:adjustRightInd/>
        <w:snapToGrid w:val="0"/>
        <w:spacing w:line="600" w:lineRule="exact"/>
        <w:ind w:firstLine="960" w:firstLineChars="300"/>
        <w:jc w:val="left"/>
        <w:textAlignment w:val="auto"/>
        <w:rPr>
          <w:rFonts w:ascii="宋体"/>
          <w:sz w:val="32"/>
          <w:szCs w:val="32"/>
        </w:rPr>
      </w:pPr>
      <w:r>
        <w:rPr>
          <w:rFonts w:hint="eastAsia" w:ascii="宋体" w:hAnsi="宋体" w:cs="宋体"/>
          <w:color w:val="000000"/>
          <w:kern w:val="0"/>
          <w:sz w:val="32"/>
          <w:szCs w:val="32"/>
        </w:rPr>
        <w:t>二、</w:t>
      </w:r>
      <w:r>
        <w:rPr>
          <w:rFonts w:hint="eastAsia" w:ascii="宋体" w:hAnsi="宋体" w:eastAsia="宋体" w:cs="宋体"/>
          <w:sz w:val="32"/>
          <w:szCs w:val="32"/>
          <w:lang w:eastAsia="zh-CN"/>
        </w:rPr>
        <w:t>单位</w:t>
      </w:r>
      <w:r>
        <w:rPr>
          <w:rFonts w:hint="eastAsia" w:ascii="宋体" w:hAnsi="宋体" w:cs="宋体"/>
          <w:sz w:val="32"/>
          <w:szCs w:val="32"/>
        </w:rPr>
        <w:t>预算安排总体情况</w:t>
      </w:r>
    </w:p>
    <w:p>
      <w:pPr>
        <w:pStyle w:val="32"/>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cs="Times New Roman"/>
          <w:sz w:val="32"/>
          <w:szCs w:val="32"/>
        </w:rPr>
      </w:pPr>
      <w:r>
        <w:rPr>
          <w:rFonts w:hint="eastAsia" w:ascii="宋体" w:hAnsi="宋体" w:cs="宋体"/>
          <w:sz w:val="32"/>
          <w:szCs w:val="32"/>
        </w:rPr>
        <w:t>三、机关运行经费安排情况</w:t>
      </w:r>
    </w:p>
    <w:p>
      <w:pPr>
        <w:keepNext w:val="0"/>
        <w:keepLines w:val="0"/>
        <w:pageBreakBefore w:val="0"/>
        <w:widowControl/>
        <w:kinsoku/>
        <w:wordWrap/>
        <w:overflowPunct/>
        <w:topLinePunct w:val="0"/>
        <w:autoSpaceDE/>
        <w:autoSpaceDN/>
        <w:bidi w:val="0"/>
        <w:adjustRightInd/>
        <w:snapToGrid w:val="0"/>
        <w:spacing w:line="600" w:lineRule="exact"/>
        <w:ind w:firstLine="960" w:firstLineChars="300"/>
        <w:jc w:val="left"/>
        <w:textAlignment w:val="auto"/>
        <w:outlineLvl w:val="0"/>
        <w:rPr>
          <w:rFonts w:hint="eastAsia" w:ascii="宋体" w:eastAsia="宋体"/>
          <w:sz w:val="32"/>
          <w:szCs w:val="32"/>
          <w:lang w:eastAsia="zh-CN"/>
        </w:rPr>
      </w:pPr>
      <w:r>
        <w:rPr>
          <w:rFonts w:hint="eastAsia" w:ascii="宋体" w:hAnsi="宋体" w:cs="宋体"/>
          <w:sz w:val="32"/>
          <w:szCs w:val="32"/>
        </w:rPr>
        <w:t>四、财政拨款“三公”经费预算情况</w:t>
      </w:r>
      <w:r>
        <w:rPr>
          <w:rFonts w:hint="eastAsia" w:ascii="宋体" w:hAnsi="宋体" w:eastAsia="宋体" w:cs="宋体"/>
          <w:sz w:val="32"/>
          <w:szCs w:val="32"/>
          <w:lang w:eastAsia="zh-CN"/>
        </w:rPr>
        <w:t>及增减变化原因</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cs="宋体"/>
          <w:sz w:val="32"/>
          <w:szCs w:val="32"/>
        </w:rPr>
        <w:t>五、</w:t>
      </w:r>
      <w:r>
        <w:rPr>
          <w:rFonts w:hint="eastAsia" w:ascii="宋体" w:hAnsi="宋体" w:eastAsia="宋体" w:cs="宋体"/>
          <w:sz w:val="32"/>
          <w:szCs w:val="32"/>
          <w:lang w:eastAsia="zh-CN"/>
        </w:rPr>
        <w:t>单位整体绩效目标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lang w:eastAsia="zh-CN"/>
        </w:rPr>
        <w:t>六、单位主管专项资金预算安排情况及绩效目标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lang w:eastAsia="zh-CN"/>
        </w:rPr>
        <w:t>七</w:t>
      </w:r>
      <w:r>
        <w:rPr>
          <w:rFonts w:hint="eastAsia" w:ascii="宋体" w:hAnsi="宋体" w:cs="宋体"/>
          <w:sz w:val="32"/>
          <w:szCs w:val="32"/>
        </w:rPr>
        <w:t>、</w:t>
      </w:r>
      <w:r>
        <w:rPr>
          <w:rFonts w:hint="eastAsia" w:ascii="宋体" w:hAnsi="宋体" w:eastAsia="宋体" w:cs="宋体"/>
          <w:sz w:val="32"/>
          <w:szCs w:val="32"/>
          <w:lang w:eastAsia="zh-CN"/>
        </w:rPr>
        <w:t>单位项目预算安排情况及绩效目标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eastAsia="宋体" w:cs="宋体"/>
          <w:sz w:val="32"/>
          <w:szCs w:val="32"/>
          <w:lang w:eastAsia="zh-CN"/>
        </w:rPr>
        <w:t>八、</w:t>
      </w:r>
      <w:r>
        <w:rPr>
          <w:rFonts w:hint="eastAsia" w:ascii="宋体" w:hAnsi="宋体" w:cs="宋体"/>
          <w:sz w:val="32"/>
          <w:szCs w:val="32"/>
        </w:rPr>
        <w:t>政府采购预算情况</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cs="宋体"/>
          <w:sz w:val="32"/>
          <w:szCs w:val="32"/>
        </w:rPr>
      </w:pPr>
      <w:r>
        <w:rPr>
          <w:rFonts w:hint="eastAsia" w:ascii="宋体" w:hAnsi="宋体" w:eastAsia="宋体" w:cs="宋体"/>
          <w:sz w:val="32"/>
          <w:szCs w:val="32"/>
          <w:lang w:eastAsia="zh-CN"/>
        </w:rPr>
        <w:t>九</w:t>
      </w:r>
      <w:r>
        <w:rPr>
          <w:rFonts w:hint="eastAsia" w:ascii="宋体" w:hAnsi="宋体" w:cs="宋体"/>
          <w:sz w:val="32"/>
          <w:szCs w:val="32"/>
        </w:rPr>
        <w:t>、国有资产信息</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eastAsia="宋体" w:cs="宋体"/>
          <w:sz w:val="32"/>
          <w:szCs w:val="32"/>
          <w:lang w:eastAsia="zh-CN"/>
        </w:rPr>
        <w:t>十</w:t>
      </w:r>
      <w:r>
        <w:rPr>
          <w:rFonts w:hint="eastAsia" w:ascii="宋体" w:hAnsi="宋体" w:cs="宋体"/>
          <w:sz w:val="32"/>
          <w:szCs w:val="32"/>
        </w:rPr>
        <w:t>、名词解释</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eastAsia="宋体" w:cs="宋体"/>
          <w:sz w:val="32"/>
          <w:szCs w:val="32"/>
          <w:lang w:eastAsia="zh-CN"/>
        </w:rPr>
        <w:t>十一</w:t>
      </w:r>
      <w:r>
        <w:rPr>
          <w:rFonts w:hint="eastAsia" w:ascii="宋体" w:hAnsi="宋体" w:cs="宋体"/>
          <w:sz w:val="32"/>
          <w:szCs w:val="32"/>
        </w:rPr>
        <w:t>、其他需要说明的事项</w:t>
      </w:r>
    </w:p>
    <w:bookmarkEnd w:id="1"/>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rPr>
          <w:rFonts w:ascii="方正小标宋_GBK" w:hAnsi="方正小标宋_GBK" w:eastAsia="方正小标宋_GBK" w:cs="方正小标宋_GBK"/>
          <w:color w:val="000000"/>
          <w:sz w:val="36"/>
        </w:rPr>
      </w:pPr>
    </w:p>
    <w:p>
      <w:pPr>
        <w:pStyle w:val="2"/>
        <w:rPr>
          <w:rFonts w:ascii="方正小标宋_GBK" w:hAnsi="方正小标宋_GBK" w:eastAsia="方正小标宋_GBK" w:cs="方正小标宋_GBK"/>
          <w:color w:val="000000"/>
          <w:sz w:val="36"/>
        </w:rPr>
      </w:pPr>
    </w:p>
    <w:p/>
    <w:p/>
    <w:p>
      <w:pPr>
        <w:keepNext w:val="0"/>
        <w:keepLines w:val="0"/>
        <w:pageBreakBefore w:val="0"/>
        <w:widowControl/>
        <w:kinsoku/>
        <w:wordWrap/>
        <w:overflowPunct/>
        <w:topLinePunct w:val="0"/>
        <w:autoSpaceDE/>
        <w:autoSpaceDN/>
        <w:bidi w:val="0"/>
        <w:adjustRightInd/>
        <w:spacing w:line="600" w:lineRule="exact"/>
        <w:ind w:firstLine="4859" w:firstLineChars="1100"/>
        <w:jc w:val="left"/>
        <w:textAlignment w:val="auto"/>
        <w:rPr>
          <w:rFonts w:ascii="黑体" w:hAnsi="黑体" w:eastAsia="黑体"/>
          <w:sz w:val="44"/>
          <w:szCs w:val="44"/>
        </w:rPr>
      </w:pPr>
      <w:r>
        <w:rPr>
          <w:rFonts w:hint="eastAsia" w:ascii="宋体" w:hAnsi="宋体" w:eastAsia="宋体" w:cs="宋体"/>
          <w:b/>
          <w:color w:val="000000"/>
          <w:kern w:val="2"/>
          <w:sz w:val="44"/>
          <w:szCs w:val="44"/>
          <w:lang w:eastAsia="zh-CN" w:bidi="ar"/>
        </w:rPr>
        <w:t>202</w:t>
      </w:r>
      <w:r>
        <w:rPr>
          <w:rFonts w:hint="eastAsia" w:ascii="宋体" w:hAnsi="宋体" w:eastAsia="宋体" w:cs="宋体"/>
          <w:b/>
          <w:color w:val="000000"/>
          <w:kern w:val="2"/>
          <w:sz w:val="44"/>
          <w:szCs w:val="44"/>
          <w:lang w:val="en-US" w:eastAsia="zh-CN" w:bidi="ar"/>
        </w:rPr>
        <w:t>6</w:t>
      </w:r>
      <w:r>
        <w:rPr>
          <w:rFonts w:hint="eastAsia" w:ascii="宋体" w:hAnsi="宋体" w:eastAsia="宋体" w:cs="宋体"/>
          <w:b/>
          <w:color w:val="000000"/>
          <w:kern w:val="2"/>
          <w:sz w:val="44"/>
          <w:szCs w:val="44"/>
          <w:lang w:eastAsia="zh-CN" w:bidi="ar"/>
        </w:rPr>
        <w:t>年度</w:t>
      </w:r>
      <w:r>
        <w:rPr>
          <w:rFonts w:hint="eastAsia" w:ascii="黑体" w:hAnsi="黑体" w:eastAsia="黑体" w:cs="黑体"/>
          <w:sz w:val="44"/>
          <w:szCs w:val="44"/>
          <w:lang w:eastAsia="zh-CN"/>
        </w:rPr>
        <w:t>单位</w:t>
      </w:r>
      <w:r>
        <w:rPr>
          <w:rFonts w:hint="eastAsia" w:ascii="黑体" w:hAnsi="黑体" w:eastAsia="黑体" w:cs="黑体"/>
          <w:sz w:val="44"/>
          <w:szCs w:val="44"/>
        </w:rPr>
        <w:t>预算公开表</w:t>
      </w: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pStyle w:val="2"/>
        <w:rPr>
          <w:rFonts w:ascii="方正小标宋_GBK" w:hAnsi="方正小标宋_GBK" w:eastAsia="方正小标宋_GBK" w:cs="方正小标宋_GBK"/>
          <w:color w:val="000000"/>
          <w:sz w:val="36"/>
        </w:rPr>
      </w:pPr>
    </w:p>
    <w:p>
      <w:pPr>
        <w:rPr>
          <w:rFonts w:ascii="方正小标宋_GBK" w:hAnsi="方正小标宋_GBK" w:eastAsia="方正小标宋_GBK" w:cs="方正小标宋_GBK"/>
          <w:color w:val="000000"/>
          <w:sz w:val="36"/>
        </w:rPr>
      </w:pPr>
    </w:p>
    <w:p>
      <w:pPr>
        <w:spacing w:before="0" w:after="0"/>
        <w:ind w:firstLine="0"/>
        <w:jc w:val="center"/>
        <w:outlineLvl w:val="3"/>
        <w:rPr>
          <w:rFonts w:ascii="方正小标宋_GBK" w:hAnsi="方正小标宋_GBK" w:eastAsia="方正小标宋_GBK" w:cs="方正小标宋_GBK"/>
          <w:b w:val="0"/>
          <w:color w:val="000000"/>
          <w:sz w:val="44"/>
        </w:rPr>
      </w:pPr>
    </w:p>
    <w:p>
      <w:pPr>
        <w:pStyle w:val="2"/>
        <w:rPr>
          <w:rFonts w:ascii="方正小标宋_GBK" w:hAnsi="方正小标宋_GBK" w:eastAsia="方正小标宋_GBK" w:cs="方正小标宋_GBK"/>
          <w:b w:val="0"/>
          <w:color w:val="000000"/>
          <w:sz w:val="44"/>
        </w:rPr>
      </w:pPr>
    </w:p>
    <w:p>
      <w:pPr>
        <w:rPr>
          <w:rFonts w:ascii="方正小标宋_GBK" w:hAnsi="方正小标宋_GBK" w:eastAsia="方正小标宋_GBK" w:cs="方正小标宋_GBK"/>
          <w:b w:val="0"/>
          <w:color w:val="000000"/>
          <w:sz w:val="44"/>
        </w:rPr>
      </w:pPr>
    </w:p>
    <w:p>
      <w:pPr>
        <w:pStyle w:val="2"/>
        <w:rPr>
          <w:rFonts w:ascii="方正小标宋_GBK" w:hAnsi="方正小标宋_GBK" w:eastAsia="方正小标宋_GBK" w:cs="方正小标宋_GBK"/>
          <w:b w:val="0"/>
          <w:color w:val="000000"/>
          <w:sz w:val="44"/>
        </w:rPr>
      </w:pPr>
    </w:p>
    <w:p/>
    <w:bookmarkEnd w:id="0"/>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44.87</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29.85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44.87</w:t>
            </w:r>
          </w:p>
        </w:tc>
        <w:tc>
          <w:tcPr>
            <w:tcW w:w="4535" w:type="dxa"/>
            <w:vAlign w:val="center"/>
          </w:tcPr>
          <w:p>
            <w:pPr>
              <w:pStyle w:val="17"/>
            </w:pPr>
            <w:r>
              <w:t>本年支出合计</w:t>
            </w:r>
          </w:p>
        </w:tc>
        <w:tc>
          <w:tcPr>
            <w:tcW w:w="2126" w:type="dxa"/>
            <w:vAlign w:val="center"/>
          </w:tcPr>
          <w:p>
            <w:pPr>
              <w:pStyle w:val="18"/>
            </w:pPr>
            <w:r>
              <w:t>44.87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44.87</w:t>
            </w:r>
          </w:p>
        </w:tc>
        <w:tc>
          <w:tcPr>
            <w:tcW w:w="4535" w:type="dxa"/>
            <w:vAlign w:val="center"/>
          </w:tcPr>
          <w:p>
            <w:pPr>
              <w:pStyle w:val="17"/>
            </w:pPr>
            <w:r>
              <w:t>支出总计</w:t>
            </w:r>
          </w:p>
        </w:tc>
        <w:tc>
          <w:tcPr>
            <w:tcW w:w="2126" w:type="dxa"/>
            <w:vAlign w:val="center"/>
          </w:tcPr>
          <w:p>
            <w:pPr>
              <w:pStyle w:val="18"/>
            </w:pPr>
            <w:r>
              <w:t>44.87</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44.87</w:t>
            </w:r>
          </w:p>
        </w:tc>
        <w:tc>
          <w:tcPr>
            <w:tcW w:w="1134" w:type="dxa"/>
            <w:vAlign w:val="center"/>
          </w:tcPr>
          <w:p>
            <w:pPr>
              <w:pStyle w:val="18"/>
            </w:pPr>
            <w:r>
              <w:t>44.87</w:t>
            </w:r>
          </w:p>
        </w:tc>
        <w:tc>
          <w:tcPr>
            <w:tcW w:w="1134" w:type="dxa"/>
            <w:vAlign w:val="center"/>
          </w:tcPr>
          <w:p>
            <w:pPr>
              <w:pStyle w:val="18"/>
            </w:pPr>
            <w:r>
              <w:t>44.87</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4.31</w:t>
            </w:r>
          </w:p>
        </w:tc>
        <w:tc>
          <w:tcPr>
            <w:tcW w:w="1134" w:type="dxa"/>
            <w:vAlign w:val="center"/>
          </w:tcPr>
          <w:p>
            <w:pPr>
              <w:pStyle w:val="14"/>
            </w:pPr>
            <w:r>
              <w:t>4.31</w:t>
            </w:r>
          </w:p>
        </w:tc>
        <w:tc>
          <w:tcPr>
            <w:tcW w:w="1134" w:type="dxa"/>
            <w:vAlign w:val="center"/>
          </w:tcPr>
          <w:p>
            <w:pPr>
              <w:pStyle w:val="14"/>
            </w:pPr>
            <w:r>
              <w:t>4.31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4.31</w:t>
            </w:r>
          </w:p>
        </w:tc>
        <w:tc>
          <w:tcPr>
            <w:tcW w:w="1134" w:type="dxa"/>
            <w:vAlign w:val="center"/>
          </w:tcPr>
          <w:p>
            <w:pPr>
              <w:pStyle w:val="14"/>
            </w:pPr>
            <w:r>
              <w:t>4.31</w:t>
            </w:r>
          </w:p>
        </w:tc>
        <w:tc>
          <w:tcPr>
            <w:tcW w:w="1134" w:type="dxa"/>
            <w:vAlign w:val="center"/>
          </w:tcPr>
          <w:p>
            <w:pPr>
              <w:pStyle w:val="14"/>
            </w:pPr>
            <w:r>
              <w:t>4.31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4.31</w:t>
            </w:r>
          </w:p>
        </w:tc>
        <w:tc>
          <w:tcPr>
            <w:tcW w:w="1134" w:type="dxa"/>
            <w:vAlign w:val="center"/>
          </w:tcPr>
          <w:p>
            <w:pPr>
              <w:pStyle w:val="14"/>
            </w:pPr>
            <w:r>
              <w:t>4.31</w:t>
            </w:r>
          </w:p>
        </w:tc>
        <w:tc>
          <w:tcPr>
            <w:tcW w:w="1134" w:type="dxa"/>
            <w:vAlign w:val="center"/>
          </w:tcPr>
          <w:p>
            <w:pPr>
              <w:pStyle w:val="14"/>
            </w:pPr>
            <w:r>
              <w:t>4.31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2.64</w:t>
            </w:r>
          </w:p>
        </w:tc>
        <w:tc>
          <w:tcPr>
            <w:tcW w:w="1134" w:type="dxa"/>
            <w:vAlign w:val="center"/>
          </w:tcPr>
          <w:p>
            <w:pPr>
              <w:pStyle w:val="14"/>
            </w:pPr>
            <w:r>
              <w:t>2.64</w:t>
            </w:r>
          </w:p>
        </w:tc>
        <w:tc>
          <w:tcPr>
            <w:tcW w:w="1134" w:type="dxa"/>
            <w:vAlign w:val="center"/>
          </w:tcPr>
          <w:p>
            <w:pPr>
              <w:pStyle w:val="14"/>
            </w:pPr>
            <w:r>
              <w:t>2.64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2.64</w:t>
            </w:r>
          </w:p>
        </w:tc>
        <w:tc>
          <w:tcPr>
            <w:tcW w:w="1134" w:type="dxa"/>
            <w:vAlign w:val="center"/>
          </w:tcPr>
          <w:p>
            <w:pPr>
              <w:pStyle w:val="14"/>
            </w:pPr>
            <w:r>
              <w:t>2.64</w:t>
            </w:r>
          </w:p>
        </w:tc>
        <w:tc>
          <w:tcPr>
            <w:tcW w:w="1134" w:type="dxa"/>
            <w:vAlign w:val="center"/>
          </w:tcPr>
          <w:p>
            <w:pPr>
              <w:pStyle w:val="14"/>
            </w:pPr>
            <w:r>
              <w:t>2.64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2101102</w:t>
            </w:r>
          </w:p>
        </w:tc>
        <w:tc>
          <w:tcPr>
            <w:tcW w:w="1559" w:type="dxa"/>
            <w:vAlign w:val="center"/>
          </w:tcPr>
          <w:p>
            <w:pPr>
              <w:pStyle w:val="15"/>
            </w:pPr>
            <w:r>
              <w:t>事业单位医疗</w:t>
            </w:r>
          </w:p>
        </w:tc>
        <w:tc>
          <w:tcPr>
            <w:tcW w:w="1134" w:type="dxa"/>
            <w:vAlign w:val="center"/>
          </w:tcPr>
          <w:p>
            <w:pPr>
              <w:pStyle w:val="14"/>
            </w:pPr>
            <w:r>
              <w:t>2.64</w:t>
            </w:r>
          </w:p>
        </w:tc>
        <w:tc>
          <w:tcPr>
            <w:tcW w:w="1134" w:type="dxa"/>
            <w:vAlign w:val="center"/>
          </w:tcPr>
          <w:p>
            <w:pPr>
              <w:pStyle w:val="14"/>
            </w:pPr>
            <w:r>
              <w:t>2.64</w:t>
            </w:r>
          </w:p>
        </w:tc>
        <w:tc>
          <w:tcPr>
            <w:tcW w:w="1134" w:type="dxa"/>
            <w:vAlign w:val="center"/>
          </w:tcPr>
          <w:p>
            <w:pPr>
              <w:pStyle w:val="14"/>
            </w:pPr>
            <w:r>
              <w:t>2.64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29.85</w:t>
            </w:r>
          </w:p>
        </w:tc>
        <w:tc>
          <w:tcPr>
            <w:tcW w:w="1134" w:type="dxa"/>
            <w:vAlign w:val="center"/>
          </w:tcPr>
          <w:p>
            <w:pPr>
              <w:pStyle w:val="14"/>
            </w:pPr>
            <w:r>
              <w:t>29.85</w:t>
            </w:r>
          </w:p>
        </w:tc>
        <w:tc>
          <w:tcPr>
            <w:tcW w:w="1134" w:type="dxa"/>
            <w:vAlign w:val="center"/>
          </w:tcPr>
          <w:p>
            <w:pPr>
              <w:pStyle w:val="14"/>
            </w:pPr>
            <w:r>
              <w:t>29.85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21102</w:t>
            </w:r>
          </w:p>
        </w:tc>
        <w:tc>
          <w:tcPr>
            <w:tcW w:w="1559" w:type="dxa"/>
            <w:vAlign w:val="center"/>
          </w:tcPr>
          <w:p>
            <w:pPr>
              <w:pStyle w:val="15"/>
            </w:pPr>
            <w:r>
              <w:t>环境监测与监察</w:t>
            </w:r>
          </w:p>
        </w:tc>
        <w:tc>
          <w:tcPr>
            <w:tcW w:w="1134" w:type="dxa"/>
            <w:vAlign w:val="center"/>
          </w:tcPr>
          <w:p>
            <w:pPr>
              <w:pStyle w:val="14"/>
            </w:pPr>
            <w:r>
              <w:t>29.85</w:t>
            </w:r>
          </w:p>
        </w:tc>
        <w:tc>
          <w:tcPr>
            <w:tcW w:w="1134" w:type="dxa"/>
            <w:vAlign w:val="center"/>
          </w:tcPr>
          <w:p>
            <w:pPr>
              <w:pStyle w:val="14"/>
            </w:pPr>
            <w:r>
              <w:t>29.85</w:t>
            </w:r>
          </w:p>
        </w:tc>
        <w:tc>
          <w:tcPr>
            <w:tcW w:w="1134" w:type="dxa"/>
            <w:vAlign w:val="center"/>
          </w:tcPr>
          <w:p>
            <w:pPr>
              <w:pStyle w:val="14"/>
            </w:pPr>
            <w:r>
              <w:t>29.85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2110299</w:t>
            </w:r>
          </w:p>
        </w:tc>
        <w:tc>
          <w:tcPr>
            <w:tcW w:w="1559" w:type="dxa"/>
            <w:vAlign w:val="center"/>
          </w:tcPr>
          <w:p>
            <w:pPr>
              <w:pStyle w:val="15"/>
            </w:pPr>
            <w:r>
              <w:t>其他环境监测与监察支出</w:t>
            </w:r>
          </w:p>
        </w:tc>
        <w:tc>
          <w:tcPr>
            <w:tcW w:w="1134" w:type="dxa"/>
            <w:vAlign w:val="center"/>
          </w:tcPr>
          <w:p>
            <w:pPr>
              <w:pStyle w:val="14"/>
            </w:pPr>
            <w:r>
              <w:t>29.85</w:t>
            </w:r>
          </w:p>
        </w:tc>
        <w:tc>
          <w:tcPr>
            <w:tcW w:w="1134" w:type="dxa"/>
            <w:vAlign w:val="center"/>
          </w:tcPr>
          <w:p>
            <w:pPr>
              <w:pStyle w:val="14"/>
            </w:pPr>
            <w:r>
              <w:t>29.85</w:t>
            </w:r>
          </w:p>
        </w:tc>
        <w:tc>
          <w:tcPr>
            <w:tcW w:w="1134" w:type="dxa"/>
            <w:vAlign w:val="center"/>
          </w:tcPr>
          <w:p>
            <w:pPr>
              <w:pStyle w:val="14"/>
            </w:pPr>
            <w:r>
              <w:t>29.85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8.07</w:t>
            </w:r>
          </w:p>
        </w:tc>
        <w:tc>
          <w:tcPr>
            <w:tcW w:w="1134" w:type="dxa"/>
            <w:vAlign w:val="center"/>
          </w:tcPr>
          <w:p>
            <w:pPr>
              <w:pStyle w:val="14"/>
            </w:pPr>
            <w:r>
              <w:t>8.07</w:t>
            </w:r>
          </w:p>
        </w:tc>
        <w:tc>
          <w:tcPr>
            <w:tcW w:w="1134" w:type="dxa"/>
            <w:vAlign w:val="center"/>
          </w:tcPr>
          <w:p>
            <w:pPr>
              <w:pStyle w:val="14"/>
            </w:pPr>
            <w:r>
              <w:t>8.07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8.07</w:t>
            </w:r>
          </w:p>
        </w:tc>
        <w:tc>
          <w:tcPr>
            <w:tcW w:w="1134" w:type="dxa"/>
            <w:vAlign w:val="center"/>
          </w:tcPr>
          <w:p>
            <w:pPr>
              <w:pStyle w:val="14"/>
            </w:pPr>
            <w:r>
              <w:t>8.07</w:t>
            </w:r>
          </w:p>
        </w:tc>
        <w:tc>
          <w:tcPr>
            <w:tcW w:w="1134" w:type="dxa"/>
            <w:vAlign w:val="center"/>
          </w:tcPr>
          <w:p>
            <w:pPr>
              <w:pStyle w:val="14"/>
            </w:pPr>
            <w:r>
              <w:t>8.07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8.07</w:t>
            </w:r>
          </w:p>
        </w:tc>
        <w:tc>
          <w:tcPr>
            <w:tcW w:w="1134" w:type="dxa"/>
            <w:vAlign w:val="center"/>
          </w:tcPr>
          <w:p>
            <w:pPr>
              <w:pStyle w:val="14"/>
            </w:pPr>
            <w:r>
              <w:t>8.07</w:t>
            </w:r>
          </w:p>
        </w:tc>
        <w:tc>
          <w:tcPr>
            <w:tcW w:w="1134" w:type="dxa"/>
            <w:vAlign w:val="center"/>
          </w:tcPr>
          <w:p>
            <w:pPr>
              <w:pStyle w:val="14"/>
            </w:pPr>
            <w:r>
              <w:t>8.07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44.87</w:t>
            </w:r>
          </w:p>
        </w:tc>
        <w:tc>
          <w:tcPr>
            <w:tcW w:w="1361" w:type="dxa"/>
            <w:vAlign w:val="center"/>
          </w:tcPr>
          <w:p>
            <w:pPr>
              <w:pStyle w:val="18"/>
            </w:pPr>
            <w:r>
              <w:t>44.87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4.31</w:t>
            </w:r>
          </w:p>
        </w:tc>
        <w:tc>
          <w:tcPr>
            <w:tcW w:w="1361" w:type="dxa"/>
            <w:vAlign w:val="center"/>
          </w:tcPr>
          <w:p>
            <w:pPr>
              <w:pStyle w:val="14"/>
            </w:pPr>
            <w:r>
              <w:t>4.31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4.31</w:t>
            </w:r>
          </w:p>
        </w:tc>
        <w:tc>
          <w:tcPr>
            <w:tcW w:w="1361" w:type="dxa"/>
            <w:vAlign w:val="center"/>
          </w:tcPr>
          <w:p>
            <w:pPr>
              <w:pStyle w:val="14"/>
            </w:pPr>
            <w:r>
              <w:t>4.31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4.31</w:t>
            </w:r>
          </w:p>
        </w:tc>
        <w:tc>
          <w:tcPr>
            <w:tcW w:w="1361" w:type="dxa"/>
            <w:vAlign w:val="center"/>
          </w:tcPr>
          <w:p>
            <w:pPr>
              <w:pStyle w:val="14"/>
            </w:pPr>
            <w:r>
              <w:t>4.31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2.64</w:t>
            </w:r>
          </w:p>
        </w:tc>
        <w:tc>
          <w:tcPr>
            <w:tcW w:w="1361" w:type="dxa"/>
            <w:vAlign w:val="center"/>
          </w:tcPr>
          <w:p>
            <w:pPr>
              <w:pStyle w:val="14"/>
            </w:pPr>
            <w:r>
              <w:t>2.64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2.64</w:t>
            </w:r>
          </w:p>
        </w:tc>
        <w:tc>
          <w:tcPr>
            <w:tcW w:w="1361" w:type="dxa"/>
            <w:vAlign w:val="center"/>
          </w:tcPr>
          <w:p>
            <w:pPr>
              <w:pStyle w:val="14"/>
            </w:pPr>
            <w:r>
              <w:t>2.64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2101102</w:t>
            </w:r>
          </w:p>
        </w:tc>
        <w:tc>
          <w:tcPr>
            <w:tcW w:w="4535" w:type="dxa"/>
            <w:vAlign w:val="center"/>
          </w:tcPr>
          <w:p>
            <w:pPr>
              <w:pStyle w:val="15"/>
            </w:pPr>
            <w:r>
              <w:t>事业单位医疗</w:t>
            </w:r>
          </w:p>
        </w:tc>
        <w:tc>
          <w:tcPr>
            <w:tcW w:w="1361" w:type="dxa"/>
            <w:vAlign w:val="center"/>
          </w:tcPr>
          <w:p>
            <w:pPr>
              <w:pStyle w:val="14"/>
            </w:pPr>
            <w:r>
              <w:t>2.64</w:t>
            </w:r>
          </w:p>
        </w:tc>
        <w:tc>
          <w:tcPr>
            <w:tcW w:w="1361" w:type="dxa"/>
            <w:vAlign w:val="center"/>
          </w:tcPr>
          <w:p>
            <w:pPr>
              <w:pStyle w:val="14"/>
            </w:pPr>
            <w:r>
              <w:t>2.64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29.85</w:t>
            </w:r>
          </w:p>
        </w:tc>
        <w:tc>
          <w:tcPr>
            <w:tcW w:w="1361" w:type="dxa"/>
            <w:vAlign w:val="center"/>
          </w:tcPr>
          <w:p>
            <w:pPr>
              <w:pStyle w:val="14"/>
            </w:pPr>
            <w:r>
              <w:t>29.85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21102</w:t>
            </w:r>
          </w:p>
        </w:tc>
        <w:tc>
          <w:tcPr>
            <w:tcW w:w="4535" w:type="dxa"/>
            <w:vAlign w:val="center"/>
          </w:tcPr>
          <w:p>
            <w:pPr>
              <w:pStyle w:val="15"/>
            </w:pPr>
            <w:r>
              <w:t>环境监测与监察</w:t>
            </w:r>
          </w:p>
        </w:tc>
        <w:tc>
          <w:tcPr>
            <w:tcW w:w="1361" w:type="dxa"/>
            <w:vAlign w:val="center"/>
          </w:tcPr>
          <w:p>
            <w:pPr>
              <w:pStyle w:val="14"/>
            </w:pPr>
            <w:r>
              <w:t>29.85</w:t>
            </w:r>
          </w:p>
        </w:tc>
        <w:tc>
          <w:tcPr>
            <w:tcW w:w="1361" w:type="dxa"/>
            <w:vAlign w:val="center"/>
          </w:tcPr>
          <w:p>
            <w:pPr>
              <w:pStyle w:val="14"/>
            </w:pPr>
            <w:r>
              <w:t>29.85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2110299</w:t>
            </w:r>
          </w:p>
        </w:tc>
        <w:tc>
          <w:tcPr>
            <w:tcW w:w="4535" w:type="dxa"/>
            <w:vAlign w:val="center"/>
          </w:tcPr>
          <w:p>
            <w:pPr>
              <w:pStyle w:val="15"/>
            </w:pPr>
            <w:r>
              <w:t>其他环境监测与监察支出</w:t>
            </w:r>
          </w:p>
        </w:tc>
        <w:tc>
          <w:tcPr>
            <w:tcW w:w="1361" w:type="dxa"/>
            <w:vAlign w:val="center"/>
          </w:tcPr>
          <w:p>
            <w:pPr>
              <w:pStyle w:val="14"/>
            </w:pPr>
            <w:r>
              <w:t>29.85</w:t>
            </w:r>
          </w:p>
        </w:tc>
        <w:tc>
          <w:tcPr>
            <w:tcW w:w="1361" w:type="dxa"/>
            <w:vAlign w:val="center"/>
          </w:tcPr>
          <w:p>
            <w:pPr>
              <w:pStyle w:val="14"/>
            </w:pPr>
            <w:r>
              <w:t>29.85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8.07</w:t>
            </w:r>
          </w:p>
        </w:tc>
        <w:tc>
          <w:tcPr>
            <w:tcW w:w="1361" w:type="dxa"/>
            <w:vAlign w:val="center"/>
          </w:tcPr>
          <w:p>
            <w:pPr>
              <w:pStyle w:val="14"/>
            </w:pPr>
            <w:r>
              <w:t>8.07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8.07</w:t>
            </w:r>
          </w:p>
        </w:tc>
        <w:tc>
          <w:tcPr>
            <w:tcW w:w="1361" w:type="dxa"/>
            <w:vAlign w:val="center"/>
          </w:tcPr>
          <w:p>
            <w:pPr>
              <w:pStyle w:val="14"/>
            </w:pPr>
            <w:r>
              <w:t>8.07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8.07</w:t>
            </w:r>
          </w:p>
        </w:tc>
        <w:tc>
          <w:tcPr>
            <w:tcW w:w="1361" w:type="dxa"/>
            <w:vAlign w:val="center"/>
          </w:tcPr>
          <w:p>
            <w:pPr>
              <w:pStyle w:val="14"/>
            </w:pPr>
            <w:r>
              <w:t>8.07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44.87</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4.31</w:t>
            </w:r>
          </w:p>
        </w:tc>
        <w:tc>
          <w:tcPr>
            <w:tcW w:w="1474" w:type="dxa"/>
            <w:vAlign w:val="center"/>
          </w:tcPr>
          <w:p>
            <w:pPr>
              <w:pStyle w:val="14"/>
            </w:pPr>
            <w:r>
              <w:t>4.31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2.64</w:t>
            </w:r>
          </w:p>
        </w:tc>
        <w:tc>
          <w:tcPr>
            <w:tcW w:w="1474" w:type="dxa"/>
            <w:vAlign w:val="center"/>
          </w:tcPr>
          <w:p>
            <w:pPr>
              <w:pStyle w:val="14"/>
            </w:pPr>
            <w:r>
              <w:t>2.64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29.85</w:t>
            </w:r>
          </w:p>
        </w:tc>
        <w:tc>
          <w:tcPr>
            <w:tcW w:w="1474" w:type="dxa"/>
            <w:vAlign w:val="center"/>
          </w:tcPr>
          <w:p>
            <w:pPr>
              <w:pStyle w:val="14"/>
            </w:pPr>
            <w:r>
              <w:t>29.85</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8.07</w:t>
            </w:r>
          </w:p>
        </w:tc>
        <w:tc>
          <w:tcPr>
            <w:tcW w:w="1474" w:type="dxa"/>
            <w:vAlign w:val="center"/>
          </w:tcPr>
          <w:p>
            <w:pPr>
              <w:pStyle w:val="14"/>
            </w:pPr>
            <w:r>
              <w:t>8.07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44.87</w:t>
            </w:r>
          </w:p>
        </w:tc>
        <w:tc>
          <w:tcPr>
            <w:tcW w:w="3402" w:type="dxa"/>
            <w:vAlign w:val="center"/>
          </w:tcPr>
          <w:p>
            <w:pPr>
              <w:pStyle w:val="17"/>
            </w:pPr>
            <w:r>
              <w:t>本年支出合计</w:t>
            </w:r>
          </w:p>
        </w:tc>
        <w:tc>
          <w:tcPr>
            <w:tcW w:w="1474" w:type="dxa"/>
            <w:vAlign w:val="center"/>
          </w:tcPr>
          <w:p>
            <w:pPr>
              <w:pStyle w:val="18"/>
            </w:pPr>
            <w:r>
              <w:t>44.87</w:t>
            </w:r>
          </w:p>
        </w:tc>
        <w:tc>
          <w:tcPr>
            <w:tcW w:w="1474" w:type="dxa"/>
            <w:vAlign w:val="center"/>
          </w:tcPr>
          <w:p>
            <w:pPr>
              <w:pStyle w:val="18"/>
            </w:pPr>
            <w:r>
              <w:t>44.87</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44.87</w:t>
            </w:r>
          </w:p>
        </w:tc>
        <w:tc>
          <w:tcPr>
            <w:tcW w:w="3402" w:type="dxa"/>
            <w:vAlign w:val="center"/>
          </w:tcPr>
          <w:p>
            <w:pPr>
              <w:pStyle w:val="17"/>
            </w:pPr>
            <w:r>
              <w:t>支出总计</w:t>
            </w:r>
          </w:p>
        </w:tc>
        <w:tc>
          <w:tcPr>
            <w:tcW w:w="1474" w:type="dxa"/>
            <w:vAlign w:val="center"/>
          </w:tcPr>
          <w:p>
            <w:pPr>
              <w:pStyle w:val="18"/>
            </w:pPr>
            <w:r>
              <w:t>44.87</w:t>
            </w:r>
          </w:p>
        </w:tc>
        <w:tc>
          <w:tcPr>
            <w:tcW w:w="1474" w:type="dxa"/>
            <w:vAlign w:val="center"/>
          </w:tcPr>
          <w:p>
            <w:pPr>
              <w:pStyle w:val="18"/>
            </w:pPr>
            <w:r>
              <w:t>44.87</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44.87</w:t>
            </w:r>
          </w:p>
        </w:tc>
        <w:tc>
          <w:tcPr>
            <w:tcW w:w="2551" w:type="dxa"/>
            <w:vAlign w:val="center"/>
          </w:tcPr>
          <w:p>
            <w:pPr>
              <w:pStyle w:val="18"/>
            </w:pPr>
            <w:r>
              <w:t>44.87</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4.31</w:t>
            </w:r>
          </w:p>
        </w:tc>
        <w:tc>
          <w:tcPr>
            <w:tcW w:w="2551" w:type="dxa"/>
            <w:vAlign w:val="center"/>
          </w:tcPr>
          <w:p>
            <w:pPr>
              <w:pStyle w:val="14"/>
            </w:pPr>
            <w:r>
              <w:t>4.31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4.31</w:t>
            </w:r>
          </w:p>
        </w:tc>
        <w:tc>
          <w:tcPr>
            <w:tcW w:w="2551" w:type="dxa"/>
            <w:vAlign w:val="center"/>
          </w:tcPr>
          <w:p>
            <w:pPr>
              <w:pStyle w:val="14"/>
            </w:pPr>
            <w:r>
              <w:t>4.31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4.31</w:t>
            </w:r>
          </w:p>
        </w:tc>
        <w:tc>
          <w:tcPr>
            <w:tcW w:w="2551" w:type="dxa"/>
            <w:vAlign w:val="center"/>
          </w:tcPr>
          <w:p>
            <w:pPr>
              <w:pStyle w:val="14"/>
            </w:pPr>
            <w:r>
              <w:t>4.31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2.64</w:t>
            </w:r>
          </w:p>
        </w:tc>
        <w:tc>
          <w:tcPr>
            <w:tcW w:w="2551" w:type="dxa"/>
            <w:vAlign w:val="center"/>
          </w:tcPr>
          <w:p>
            <w:pPr>
              <w:pStyle w:val="14"/>
            </w:pPr>
            <w:r>
              <w:t>2.64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2.64</w:t>
            </w:r>
          </w:p>
        </w:tc>
        <w:tc>
          <w:tcPr>
            <w:tcW w:w="2551" w:type="dxa"/>
            <w:vAlign w:val="center"/>
          </w:tcPr>
          <w:p>
            <w:pPr>
              <w:pStyle w:val="14"/>
            </w:pPr>
            <w:r>
              <w:t>2.64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2101102</w:t>
            </w:r>
          </w:p>
        </w:tc>
        <w:tc>
          <w:tcPr>
            <w:tcW w:w="4535" w:type="dxa"/>
            <w:vAlign w:val="center"/>
          </w:tcPr>
          <w:p>
            <w:pPr>
              <w:pStyle w:val="15"/>
            </w:pPr>
            <w:r>
              <w:t>事业单位医疗</w:t>
            </w:r>
          </w:p>
        </w:tc>
        <w:tc>
          <w:tcPr>
            <w:tcW w:w="2551" w:type="dxa"/>
            <w:vAlign w:val="center"/>
          </w:tcPr>
          <w:p>
            <w:pPr>
              <w:pStyle w:val="14"/>
            </w:pPr>
            <w:r>
              <w:t>2.64</w:t>
            </w:r>
          </w:p>
        </w:tc>
        <w:tc>
          <w:tcPr>
            <w:tcW w:w="2551" w:type="dxa"/>
            <w:vAlign w:val="center"/>
          </w:tcPr>
          <w:p>
            <w:pPr>
              <w:pStyle w:val="14"/>
            </w:pPr>
            <w:r>
              <w:t>2.64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211</w:t>
            </w:r>
          </w:p>
        </w:tc>
        <w:tc>
          <w:tcPr>
            <w:tcW w:w="4535" w:type="dxa"/>
            <w:vAlign w:val="center"/>
          </w:tcPr>
          <w:p>
            <w:pPr>
              <w:pStyle w:val="15"/>
            </w:pPr>
            <w:r>
              <w:t>节能环保支出</w:t>
            </w:r>
          </w:p>
        </w:tc>
        <w:tc>
          <w:tcPr>
            <w:tcW w:w="2551" w:type="dxa"/>
            <w:vAlign w:val="center"/>
          </w:tcPr>
          <w:p>
            <w:pPr>
              <w:pStyle w:val="14"/>
            </w:pPr>
            <w:r>
              <w:t>29.85</w:t>
            </w:r>
          </w:p>
        </w:tc>
        <w:tc>
          <w:tcPr>
            <w:tcW w:w="2551" w:type="dxa"/>
            <w:vAlign w:val="center"/>
          </w:tcPr>
          <w:p>
            <w:pPr>
              <w:pStyle w:val="14"/>
            </w:pPr>
            <w:r>
              <w:t>29.85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21102</w:t>
            </w:r>
          </w:p>
        </w:tc>
        <w:tc>
          <w:tcPr>
            <w:tcW w:w="4535" w:type="dxa"/>
            <w:vAlign w:val="center"/>
          </w:tcPr>
          <w:p>
            <w:pPr>
              <w:pStyle w:val="15"/>
            </w:pPr>
            <w:r>
              <w:t>环境监测与监察</w:t>
            </w:r>
          </w:p>
        </w:tc>
        <w:tc>
          <w:tcPr>
            <w:tcW w:w="2551" w:type="dxa"/>
            <w:vAlign w:val="center"/>
          </w:tcPr>
          <w:p>
            <w:pPr>
              <w:pStyle w:val="14"/>
            </w:pPr>
            <w:r>
              <w:t>29.85</w:t>
            </w:r>
          </w:p>
        </w:tc>
        <w:tc>
          <w:tcPr>
            <w:tcW w:w="2551" w:type="dxa"/>
            <w:vAlign w:val="center"/>
          </w:tcPr>
          <w:p>
            <w:pPr>
              <w:pStyle w:val="14"/>
            </w:pPr>
            <w:r>
              <w:t>29.85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2110299</w:t>
            </w:r>
          </w:p>
        </w:tc>
        <w:tc>
          <w:tcPr>
            <w:tcW w:w="4535" w:type="dxa"/>
            <w:vAlign w:val="center"/>
          </w:tcPr>
          <w:p>
            <w:pPr>
              <w:pStyle w:val="15"/>
            </w:pPr>
            <w:r>
              <w:t>其他环境监测与监察支出</w:t>
            </w:r>
          </w:p>
        </w:tc>
        <w:tc>
          <w:tcPr>
            <w:tcW w:w="2551" w:type="dxa"/>
            <w:vAlign w:val="center"/>
          </w:tcPr>
          <w:p>
            <w:pPr>
              <w:pStyle w:val="14"/>
            </w:pPr>
            <w:r>
              <w:t>29.85</w:t>
            </w:r>
          </w:p>
        </w:tc>
        <w:tc>
          <w:tcPr>
            <w:tcW w:w="2551" w:type="dxa"/>
            <w:vAlign w:val="center"/>
          </w:tcPr>
          <w:p>
            <w:pPr>
              <w:pStyle w:val="14"/>
            </w:pPr>
            <w:r>
              <w:t>29.85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8.07</w:t>
            </w:r>
          </w:p>
        </w:tc>
        <w:tc>
          <w:tcPr>
            <w:tcW w:w="2551" w:type="dxa"/>
            <w:vAlign w:val="center"/>
          </w:tcPr>
          <w:p>
            <w:pPr>
              <w:pStyle w:val="14"/>
            </w:pPr>
            <w:r>
              <w:t>8.07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8.07</w:t>
            </w:r>
          </w:p>
        </w:tc>
        <w:tc>
          <w:tcPr>
            <w:tcW w:w="2551" w:type="dxa"/>
            <w:vAlign w:val="center"/>
          </w:tcPr>
          <w:p>
            <w:pPr>
              <w:pStyle w:val="14"/>
            </w:pPr>
            <w:r>
              <w:t>8.07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8.07</w:t>
            </w:r>
          </w:p>
        </w:tc>
        <w:tc>
          <w:tcPr>
            <w:tcW w:w="2551" w:type="dxa"/>
            <w:vAlign w:val="center"/>
          </w:tcPr>
          <w:p>
            <w:pPr>
              <w:pStyle w:val="14"/>
            </w:pPr>
            <w:r>
              <w:t>8.07</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44.87</w:t>
            </w:r>
          </w:p>
        </w:tc>
        <w:tc>
          <w:tcPr>
            <w:tcW w:w="2551" w:type="dxa"/>
            <w:vAlign w:val="center"/>
          </w:tcPr>
          <w:p>
            <w:pPr>
              <w:pStyle w:val="18"/>
            </w:pPr>
            <w:r>
              <w:t>43.62</w:t>
            </w:r>
          </w:p>
        </w:tc>
        <w:tc>
          <w:tcPr>
            <w:tcW w:w="2551" w:type="dxa"/>
            <w:vAlign w:val="center"/>
          </w:tcPr>
          <w:p>
            <w:pPr>
              <w:pStyle w:val="18"/>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43.62</w:t>
            </w:r>
          </w:p>
        </w:tc>
        <w:tc>
          <w:tcPr>
            <w:tcW w:w="2551" w:type="dxa"/>
            <w:vAlign w:val="center"/>
          </w:tcPr>
          <w:p>
            <w:pPr>
              <w:pStyle w:val="14"/>
            </w:pPr>
            <w:r>
              <w:t>43.62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11.26</w:t>
            </w:r>
          </w:p>
        </w:tc>
        <w:tc>
          <w:tcPr>
            <w:tcW w:w="2551" w:type="dxa"/>
            <w:vAlign w:val="center"/>
          </w:tcPr>
          <w:p>
            <w:pPr>
              <w:pStyle w:val="14"/>
            </w:pPr>
            <w:r>
              <w:t>11.26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1.94</w:t>
            </w:r>
          </w:p>
        </w:tc>
        <w:tc>
          <w:tcPr>
            <w:tcW w:w="2551" w:type="dxa"/>
            <w:vAlign w:val="center"/>
          </w:tcPr>
          <w:p>
            <w:pPr>
              <w:pStyle w:val="14"/>
            </w:pPr>
            <w:r>
              <w:t>1.94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15.13</w:t>
            </w:r>
          </w:p>
        </w:tc>
        <w:tc>
          <w:tcPr>
            <w:tcW w:w="2551" w:type="dxa"/>
            <w:vAlign w:val="center"/>
          </w:tcPr>
          <w:p>
            <w:pPr>
              <w:pStyle w:val="14"/>
            </w:pPr>
            <w:r>
              <w:t>15.13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4.31</w:t>
            </w:r>
          </w:p>
        </w:tc>
        <w:tc>
          <w:tcPr>
            <w:tcW w:w="2551" w:type="dxa"/>
            <w:vAlign w:val="center"/>
          </w:tcPr>
          <w:p>
            <w:pPr>
              <w:pStyle w:val="14"/>
            </w:pPr>
            <w:r>
              <w:t>4.31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2.64</w:t>
            </w:r>
          </w:p>
        </w:tc>
        <w:tc>
          <w:tcPr>
            <w:tcW w:w="2551" w:type="dxa"/>
            <w:vAlign w:val="center"/>
          </w:tcPr>
          <w:p>
            <w:pPr>
              <w:pStyle w:val="14"/>
            </w:pPr>
            <w:r>
              <w:t>2.64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0.27</w:t>
            </w:r>
          </w:p>
        </w:tc>
        <w:tc>
          <w:tcPr>
            <w:tcW w:w="2551" w:type="dxa"/>
            <w:vAlign w:val="center"/>
          </w:tcPr>
          <w:p>
            <w:pPr>
              <w:pStyle w:val="14"/>
            </w:pPr>
            <w:r>
              <w:t>0.27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8.07</w:t>
            </w:r>
          </w:p>
        </w:tc>
        <w:tc>
          <w:tcPr>
            <w:tcW w:w="2551" w:type="dxa"/>
            <w:vAlign w:val="center"/>
          </w:tcPr>
          <w:p>
            <w:pPr>
              <w:pStyle w:val="14"/>
            </w:pPr>
            <w:r>
              <w:t>8.07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1.25</w:t>
            </w:r>
          </w:p>
        </w:tc>
        <w:tc>
          <w:tcPr>
            <w:tcW w:w="2551" w:type="dxa"/>
            <w:vAlign w:val="center"/>
          </w:tcPr>
          <w:p>
            <w:pPr>
              <w:pStyle w:val="14"/>
            </w:pPr>
          </w:p>
        </w:tc>
        <w:tc>
          <w:tcPr>
            <w:tcW w:w="2551" w:type="dxa"/>
            <w:vAlign w:val="center"/>
          </w:tcPr>
          <w:p>
            <w:pPr>
              <w:pStyle w:val="14"/>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0.43</w:t>
            </w:r>
          </w:p>
        </w:tc>
        <w:tc>
          <w:tcPr>
            <w:tcW w:w="2551" w:type="dxa"/>
            <w:vAlign w:val="center"/>
          </w:tcPr>
          <w:p>
            <w:pPr>
              <w:pStyle w:val="14"/>
            </w:pPr>
          </w:p>
        </w:tc>
        <w:tc>
          <w:tcPr>
            <w:tcW w:w="2551" w:type="dxa"/>
            <w:vAlign w:val="center"/>
          </w:tcPr>
          <w:p>
            <w:pPr>
              <w:pStyle w:val="14"/>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0.82</w:t>
            </w:r>
          </w:p>
        </w:tc>
        <w:tc>
          <w:tcPr>
            <w:tcW w:w="2551" w:type="dxa"/>
            <w:vAlign w:val="center"/>
          </w:tcPr>
          <w:p>
            <w:pPr>
              <w:pStyle w:val="14"/>
            </w:pPr>
          </w:p>
        </w:tc>
        <w:tc>
          <w:tcPr>
            <w:tcW w:w="2551" w:type="dxa"/>
            <w:vAlign w:val="center"/>
          </w:tcPr>
          <w:p>
            <w:pPr>
              <w:pStyle w:val="14"/>
            </w:pPr>
            <w:r>
              <w:t>0.82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3960" w:firstLineChars="900"/>
        <w:jc w:val="both"/>
        <w:outlineLvl w:val="4"/>
        <w:rPr>
          <w:rFonts w:ascii="方正小标宋_GBK" w:hAnsi="方正小标宋_GBK" w:eastAsia="方正小标宋_GBK" w:cs="方正小标宋_GBK"/>
          <w:b w:val="0"/>
          <w:color w:val="000000"/>
          <w:sz w:val="44"/>
        </w:rPr>
      </w:pPr>
    </w:p>
    <w:p>
      <w:pPr>
        <w:spacing w:before="0" w:after="0" w:line="240" w:lineRule="auto"/>
        <w:ind w:firstLine="3960" w:firstLineChars="900"/>
        <w:jc w:val="both"/>
        <w:outlineLvl w:val="4"/>
      </w:pPr>
      <w:r>
        <w:rPr>
          <w:rFonts w:ascii="方正小标宋_GBK" w:hAnsi="方正小标宋_GBK" w:eastAsia="方正小标宋_GBK" w:cs="方正小标宋_GBK"/>
          <w:b w:val="0"/>
          <w:color w:val="000000"/>
          <w:sz w:val="44"/>
        </w:rPr>
        <w:t>202</w:t>
      </w:r>
      <w:r>
        <w:rPr>
          <w:rFonts w:hint="eastAsia" w:ascii="方正小标宋_GBK" w:hAnsi="方正小标宋_GBK" w:eastAsia="方正小标宋_GBK" w:cs="方正小标宋_GBK"/>
          <w:b w:val="0"/>
          <w:color w:val="000000"/>
          <w:sz w:val="44"/>
          <w:lang w:val="en-US" w:eastAsia="zh-CN"/>
        </w:rPr>
        <w:t>6</w:t>
      </w:r>
      <w:bookmarkStart w:id="2" w:name="_GoBack"/>
      <w:bookmarkEnd w:id="2"/>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2"/>
        <w:rPr>
          <w:rFonts w:ascii="Times New Roman" w:hAnsi="Times New Roman" w:eastAsia="方正仿宋_GBK" w:cs="Times New Roman"/>
          <w:b w:val="0"/>
          <w:color w:val="000000"/>
          <w:sz w:val="28"/>
        </w:rPr>
      </w:pPr>
    </w:p>
    <w:p>
      <w:pPr>
        <w:rPr>
          <w:rFonts w:ascii="Times New Roman" w:hAnsi="Times New Roman" w:eastAsia="方正仿宋_GBK" w:cs="Times New Roman"/>
          <w:b w:val="0"/>
          <w:color w:val="000000"/>
          <w:sz w:val="28"/>
        </w:rPr>
      </w:pPr>
    </w:p>
    <w:p>
      <w:pPr>
        <w:pStyle w:val="2"/>
        <w:rPr>
          <w:rFonts w:ascii="Times New Roman" w:hAnsi="Times New Roman" w:eastAsia="方正仿宋_GBK" w:cs="Times New Roman"/>
          <w:b w:val="0"/>
          <w:color w:val="000000"/>
          <w:sz w:val="28"/>
        </w:rPr>
      </w:pPr>
    </w:p>
    <w:p>
      <w:pPr>
        <w:rPr>
          <w:rFonts w:ascii="Times New Roman" w:hAnsi="Times New Roman" w:eastAsia="方正仿宋_GBK" w:cs="Times New Roman"/>
          <w:b w:val="0"/>
          <w:color w:val="000000"/>
          <w:sz w:val="28"/>
        </w:rPr>
      </w:pPr>
    </w:p>
    <w:p>
      <w:pPr>
        <w:pStyle w:val="2"/>
        <w:rPr>
          <w:rFonts w:ascii="Times New Roman" w:hAnsi="Times New Roman" w:eastAsia="方正仿宋_GBK" w:cs="Times New Roman"/>
          <w:b w:val="0"/>
          <w:color w:val="000000"/>
          <w:sz w:val="28"/>
        </w:rPr>
      </w:pPr>
    </w:p>
    <w:p>
      <w:pPr>
        <w:rPr>
          <w:rFonts w:ascii="Times New Roman" w:hAnsi="Times New Roman" w:eastAsia="方正仿宋_GBK" w:cs="Times New Roman"/>
          <w:b w:val="0"/>
          <w:color w:val="000000"/>
          <w:sz w:val="28"/>
        </w:rPr>
      </w:pPr>
    </w:p>
    <w:p>
      <w:pPr>
        <w:pStyle w:val="2"/>
        <w:rPr>
          <w:rFonts w:ascii="Times New Roman" w:hAnsi="Times New Roman" w:eastAsia="方正仿宋_GBK" w:cs="Times New Roman"/>
          <w:b w:val="0"/>
          <w:color w:val="000000"/>
          <w:sz w:val="28"/>
        </w:rPr>
      </w:pPr>
    </w:p>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按照《中华人民共和国预算法》、《地方预决算公开操作规程》和《关于进一步推进预算公开工作的实施意见》规定，现将河北石家庄循环化工园区环境监控中心2026年单位预算公开如下：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1.开展污染源监督性监测、突发性环境事件应急监测和环境执法监测。</w:t>
      </w:r>
    </w:p>
    <w:p>
      <w:pPr>
        <w:pStyle w:val="28"/>
      </w:pPr>
      <w:r>
        <w:t>2.承担环境监测网的技术工作，收集、管理环境监测数据，开展环境状况调查和评价，按照规定编写并上报环境监测报告。</w:t>
      </w:r>
    </w:p>
    <w:p>
      <w:pPr>
        <w:pStyle w:val="28"/>
      </w:pPr>
      <w:r>
        <w:t>3.承担生态环境部门委托的其他环境监测技术支持工作。负责提供环境空气质量预报信息，开展重污染天气预测预报等工作。</w:t>
      </w:r>
    </w:p>
    <w:p>
      <w:pPr>
        <w:pStyle w:val="28"/>
      </w:pPr>
      <w:r>
        <w:t>4.负责区内国省控环境监测点位保障相关工作。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河北石家庄循环化工园区环境监控中心</w:t>
            </w:r>
          </w:p>
        </w:tc>
        <w:tc>
          <w:tcPr>
            <w:tcW w:w="1843" w:type="dxa"/>
            <w:vAlign w:val="center"/>
          </w:tcPr>
          <w:p>
            <w:pPr>
              <w:pStyle w:val="16"/>
            </w:pPr>
            <w:r>
              <w:t>事业</w:t>
            </w:r>
          </w:p>
        </w:tc>
        <w:tc>
          <w:tcPr>
            <w:tcW w:w="2126" w:type="dxa"/>
            <w:vAlign w:val="center"/>
          </w:tcPr>
          <w:p>
            <w:pPr>
              <w:pStyle w:val="16"/>
            </w:pPr>
            <w:r>
              <w:t>副科级</w:t>
            </w:r>
          </w:p>
        </w:tc>
        <w:tc>
          <w:tcPr>
            <w:tcW w:w="3827"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按照预算管理有关规定，目前单位预算的编制实行综合预算管理，即全部收入和支出都反映在预算中。</w:t>
      </w:r>
    </w:p>
    <w:p>
      <w:pPr>
        <w:pStyle w:val="29"/>
      </w:pPr>
      <w:r>
        <w:t>1、收入说明</w:t>
      </w:r>
    </w:p>
    <w:p>
      <w:pPr>
        <w:pStyle w:val="29"/>
      </w:pPr>
      <w:r>
        <w:t>反映本单位当年全部收入。2026年预算收入44.87万元，其中：一般公共预算收入44.87万元，基金预算收入0.00万元，国有资本经营预算收入0.00万元，财政专户核拨收入0.00万元，单位资金收入0.00万元，上年结转结余0.00万元。</w:t>
      </w:r>
    </w:p>
    <w:p>
      <w:pPr>
        <w:pStyle w:val="29"/>
      </w:pPr>
      <w:r>
        <w:t>2、支出说明</w:t>
      </w:r>
    </w:p>
    <w:p>
      <w:pPr>
        <w:pStyle w:val="29"/>
      </w:pPr>
      <w:r>
        <w:t>收支预算总表支出栏、基本支出表、项目支出表按经济分类和支出功能分类科目编制，反映河北石家庄循环化工园区环境监控中心年度单位预算中支出预算的总体情况。2026年支出预算44.87万元，其中基本支出44.87万元，包括人员经费43.62万元和日常公用经费1.25万元；项目支出0.00万元，主要为园区监控中心在职人员工资保险等支出。；预计下年使用的单位资金结余0.00万元。委托业务费共计安排0.00万元，主要用于因技术原因确需对外委托的辅助性工作和确有必要对外委托开展咨询、评审、规划等工作。</w:t>
      </w:r>
    </w:p>
    <w:p>
      <w:pPr>
        <w:pStyle w:val="29"/>
      </w:pPr>
      <w:r>
        <w:t>3、比上年增减情况</w:t>
      </w:r>
    </w:p>
    <w:p>
      <w:pPr>
        <w:pStyle w:val="29"/>
      </w:pPr>
      <w:r>
        <w:t>2026年预算收支安排44.87万元，较2025年预算增加3.70万元，其中：基本支出增加3.70万元，主要为园区监控中心在职人员工资保险调增。项目支出增加0.00万元，主要为园区监控中心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kinsoku/>
        <w:wordWrap/>
        <w:overflowPunct/>
        <w:topLinePunct w:val="0"/>
        <w:autoSpaceDE/>
        <w:autoSpaceDN/>
        <w:bidi w:val="0"/>
        <w:adjustRightInd/>
        <w:snapToGrid w:val="0"/>
        <w:spacing w:line="580" w:lineRule="exact"/>
        <w:ind w:firstLine="640" w:firstLineChars="200"/>
        <w:textAlignment w:val="auto"/>
        <w:outlineLvl w:val="0"/>
        <w:rPr>
          <w:rFonts w:hint="eastAsia" w:ascii="仿宋" w:hAnsi="仿宋" w:eastAsia="仿宋" w:cs="仿宋"/>
          <w:sz w:val="32"/>
          <w:szCs w:val="32"/>
        </w:rPr>
      </w:pPr>
      <w:r>
        <w:rPr>
          <w:rFonts w:hint="eastAsia" w:ascii="仿宋" w:hAnsi="仿宋" w:eastAsia="仿宋" w:cs="仿宋"/>
          <w:sz w:val="32"/>
          <w:szCs w:val="32"/>
        </w:rPr>
        <w:t>循环化工园区环境监控中心</w:t>
      </w:r>
      <w:r>
        <w:rPr>
          <w:rFonts w:hint="eastAsia" w:ascii="仿宋" w:hAnsi="仿宋" w:eastAsia="仿宋" w:cs="仿宋"/>
          <w:sz w:val="32"/>
          <w:szCs w:val="32"/>
          <w:lang w:eastAsia="zh-CN"/>
        </w:rPr>
        <w:t>为事业单位，无机关运行经费。</w:t>
      </w:r>
    </w:p>
    <w:p>
      <w:pPr>
        <w:pStyle w:val="3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kinsoku/>
        <w:wordWrap/>
        <w:overflowPunct/>
        <w:topLinePunct w:val="0"/>
        <w:autoSpaceDE/>
        <w:autoSpaceDN/>
        <w:bidi w:val="0"/>
        <w:adjustRightInd/>
        <w:snapToGrid w:val="0"/>
        <w:spacing w:line="580" w:lineRule="exact"/>
        <w:ind w:firstLine="640" w:firstLineChars="200"/>
        <w:textAlignment w:val="auto"/>
        <w:outlineLvl w:val="0"/>
        <w:rPr>
          <w:rFonts w:hint="eastAsia" w:ascii="仿宋" w:hAnsi="仿宋" w:eastAsia="仿宋" w:cs="仿宋"/>
          <w:sz w:val="32"/>
          <w:szCs w:val="32"/>
        </w:rPr>
      </w:pPr>
      <w:r>
        <w:rPr>
          <w:rFonts w:hint="eastAsia" w:ascii="仿宋" w:hAnsi="仿宋" w:eastAsia="仿宋" w:cs="仿宋"/>
          <w:sz w:val="32"/>
          <w:szCs w:val="32"/>
        </w:rPr>
        <w:t>循环化工园区环境监控中心</w:t>
      </w:r>
      <w:r>
        <w:rPr>
          <w:rFonts w:hint="eastAsia" w:ascii="仿宋" w:hAnsi="仿宋" w:eastAsia="仿宋" w:cs="仿宋"/>
          <w:sz w:val="32"/>
          <w:szCs w:val="32"/>
          <w:lang w:eastAsia="zh-CN"/>
        </w:rPr>
        <w:t>为事业单位无三公经费。</w:t>
      </w:r>
    </w:p>
    <w:p>
      <w:pPr>
        <w:pStyle w:val="31"/>
      </w:pPr>
    </w:p>
    <w:p>
      <w:pPr>
        <w:keepNext w:val="0"/>
        <w:keepLines w:val="0"/>
        <w:pageBreakBefore w:val="0"/>
        <w:numPr>
          <w:ilvl w:val="0"/>
          <w:numId w:val="1"/>
        </w:numPr>
        <w:kinsoku/>
        <w:wordWrap/>
        <w:overflowPunct/>
        <w:topLinePunct w:val="0"/>
        <w:autoSpaceDE/>
        <w:autoSpaceDN/>
        <w:bidi w:val="0"/>
        <w:adjustRightInd/>
        <w:snapToGrid w:val="0"/>
        <w:spacing w:line="580" w:lineRule="exact"/>
        <w:ind w:firstLine="640" w:firstLineChars="200"/>
        <w:textAlignment w:val="auto"/>
        <w:outlineLvl w:val="0"/>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numPr>
          <w:numId w:val="0"/>
        </w:numPr>
        <w:kinsoku/>
        <w:wordWrap/>
        <w:overflowPunct/>
        <w:topLinePunct w:val="0"/>
        <w:autoSpaceDE/>
        <w:autoSpaceDN/>
        <w:bidi w:val="0"/>
        <w:adjustRightInd/>
        <w:snapToGrid w:val="0"/>
        <w:spacing w:line="580" w:lineRule="exact"/>
        <w:ind w:firstLine="640" w:firstLineChars="200"/>
        <w:textAlignment w:val="auto"/>
        <w:outlineLvl w:val="0"/>
        <w:rPr>
          <w:rFonts w:hint="eastAsia" w:ascii="仿宋" w:hAnsi="仿宋" w:eastAsia="仿宋" w:cs="仿宋"/>
          <w:sz w:val="32"/>
          <w:szCs w:val="32"/>
        </w:rPr>
      </w:pPr>
      <w:r>
        <w:rPr>
          <w:rFonts w:hint="eastAsia" w:ascii="仿宋" w:hAnsi="仿宋" w:eastAsia="仿宋" w:cs="仿宋"/>
          <w:sz w:val="32"/>
          <w:szCs w:val="32"/>
        </w:rPr>
        <w:t>循环化工园区环境监控中心</w:t>
      </w:r>
      <w:r>
        <w:rPr>
          <w:rFonts w:hint="eastAsia" w:ascii="仿宋" w:hAnsi="仿宋" w:eastAsia="仿宋" w:cs="仿宋"/>
          <w:sz w:val="32"/>
          <w:szCs w:val="32"/>
          <w:lang w:eastAsia="zh-CN"/>
        </w:rPr>
        <w:t>无项目预算安排。</w:t>
      </w:r>
    </w:p>
    <w:p>
      <w:pPr>
        <w:spacing w:before="10" w:after="10" w:line="240" w:lineRule="auto"/>
        <w:ind w:firstLine="640"/>
        <w:jc w:val="left"/>
        <w:outlineLvl w:val="5"/>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河北石家庄循环化工园区环境监控中心上年末固定资产金额为0.00万元（详见下表）。本年度拟购置固定资产总额为0.00万元，已按要求列入政府采购预算，详见政府采购预算表。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365007河北石家庄循环化工园区环境监控中心</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p>
        </w:tc>
        <w:tc>
          <w:tcPr>
            <w:tcW w:w="2835" w:type="dxa"/>
            <w:vAlign w:val="center"/>
          </w:tcPr>
          <w:p>
            <w:pPr>
              <w:pStyle w:val="16"/>
            </w:pPr>
          </w:p>
        </w:tc>
        <w:tc>
          <w:tcPr>
            <w:tcW w:w="2835"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3000502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41E928"/>
    <w:multiLevelType w:val="singleLevel"/>
    <w:tmpl w:val="7841E92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1F4646"/>
    <w:rsid w:val="5F6D7DE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paragraph" w:styleId="2">
    <w:name w:val="heading 2"/>
    <w:basedOn w:val="1"/>
    <w:next w:val="1"/>
    <w:unhideWhenUsed/>
    <w:qFormat/>
    <w:uiPriority w:val="0"/>
    <w:pPr>
      <w:keepNext/>
      <w:keepLines/>
      <w:spacing w:beforeLines="0" w:beforeAutospacing="0" w:afterLines="0" w:afterAutospacing="0" w:line="600" w:lineRule="exact"/>
      <w:ind w:firstLine="420" w:firstLineChars="200"/>
      <w:jc w:val="left"/>
      <w:outlineLvl w:val="1"/>
    </w:pPr>
    <w:rPr>
      <w:rFonts w:ascii="Arial" w:hAnsi="Arial" w:eastAsia="黑体"/>
      <w:sz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List Paragraph1"/>
    <w:basedOn w:val="1"/>
    <w:qFormat/>
    <w:uiPriority w:val="0"/>
    <w:pPr>
      <w:ind w:firstLine="420" w:firstLineChars="200"/>
    </w:pPr>
    <w:rPr>
      <w:rFonts w:ascii="Calibri" w:hAnsi="Calibri" w:cs="Calibri"/>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212</Pages>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2026-02-10T10:02:00Z</dcterms:created>
  <dc:creator>Administrator</dc:creator>
  <cp:lastModifiedBy>Administrator</cp:lastModifiedBy>
  <dcterms:modified xsi:type="dcterms:W3CDTF">2026-02-10T03:13:00Z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