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spacing w:line="600" w:lineRule="exact"/>
        <w:ind w:firstLine="2200" w:firstLineChars="500"/>
        <w:jc w:val="both"/>
        <w:textAlignment w:val="auto"/>
        <w:rPr>
          <w:rFonts w:hint="eastAsia" w:ascii="黑体" w:hAnsi="黑体" w:eastAsia="黑体" w:cs="黑体"/>
          <w:b w:val="0"/>
          <w:bCs w:val="0"/>
          <w:sz w:val="44"/>
          <w:szCs w:val="44"/>
        </w:rPr>
      </w:pPr>
      <w:bookmarkStart w:id="0" w:name="_Toc_4_4_0000000001"/>
      <w:bookmarkStart w:id="1" w:name="_Toc_2_2_0000000001"/>
      <w:r>
        <w:rPr>
          <w:rFonts w:hint="eastAsia" w:ascii="黑体" w:hAnsi="黑体" w:eastAsia="黑体" w:cs="黑体"/>
          <w:b w:val="0"/>
          <w:bCs w:val="0"/>
          <w:sz w:val="44"/>
          <w:szCs w:val="44"/>
        </w:rPr>
        <w:t>高新区</w:t>
      </w:r>
      <w:r>
        <w:rPr>
          <w:rFonts w:ascii="方正小标宋_GBK" w:hAnsi="方正小标宋_GBK" w:eastAsia="方正小标宋_GBK" w:cs="方正小标宋_GBK"/>
          <w:b w:val="0"/>
          <w:color w:val="000000"/>
          <w:sz w:val="44"/>
        </w:rPr>
        <w:t>环境监控中心</w:t>
      </w:r>
      <w:r>
        <w:rPr>
          <w:rFonts w:hint="eastAsia" w:ascii="黑体" w:hAnsi="黑体" w:eastAsia="黑体" w:cs="黑体"/>
          <w:b w:val="0"/>
          <w:bCs w:val="0"/>
          <w:color w:val="000000"/>
          <w:sz w:val="44"/>
          <w:szCs w:val="44"/>
        </w:rPr>
        <w:t>202</w:t>
      </w:r>
      <w:r>
        <w:rPr>
          <w:rFonts w:hint="eastAsia" w:ascii="黑体" w:hAnsi="黑体" w:eastAsia="黑体" w:cs="黑体"/>
          <w:b w:val="0"/>
          <w:bCs w:val="0"/>
          <w:color w:val="000000"/>
          <w:sz w:val="44"/>
          <w:szCs w:val="44"/>
          <w:lang w:val="en-US" w:eastAsia="zh-CN"/>
        </w:rPr>
        <w:t>6</w:t>
      </w:r>
      <w:r>
        <w:rPr>
          <w:rFonts w:hint="eastAsia" w:ascii="黑体" w:hAnsi="黑体" w:eastAsia="黑体" w:cs="黑体"/>
          <w:b w:val="0"/>
          <w:bCs w:val="0"/>
          <w:color w:val="000000"/>
          <w:sz w:val="44"/>
          <w:szCs w:val="44"/>
        </w:rPr>
        <w:t>年单位预算信息公开目录</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ascii="黑体" w:hAnsi="黑体" w:eastAsia="黑体"/>
          <w:sz w:val="44"/>
          <w:szCs w:val="44"/>
        </w:rPr>
      </w:pPr>
      <w:r>
        <w:rPr>
          <w:rFonts w:hint="eastAsia" w:ascii="黑体" w:hAnsi="黑体" w:eastAsia="黑体" w:cs="黑体"/>
          <w:sz w:val="44"/>
          <w:szCs w:val="44"/>
          <w:lang w:eastAsia="zh-CN"/>
        </w:rPr>
        <w:t>单位</w:t>
      </w:r>
      <w:r>
        <w:rPr>
          <w:rFonts w:hint="eastAsia" w:ascii="黑体" w:hAnsi="黑体" w:eastAsia="黑体" w:cs="黑体"/>
          <w:sz w:val="44"/>
          <w:szCs w:val="44"/>
        </w:rPr>
        <w:t>预算公开表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一、</w:t>
      </w:r>
      <w:r>
        <w:rPr>
          <w:rFonts w:hint="eastAsia" w:ascii="宋体" w:hAnsi="宋体" w:eastAsia="宋体" w:cs="宋体"/>
          <w:sz w:val="32"/>
          <w:szCs w:val="32"/>
          <w:lang w:eastAsia="zh-CN"/>
        </w:rPr>
        <w:t>单位</w:t>
      </w:r>
      <w:r>
        <w:rPr>
          <w:rFonts w:hint="eastAsia" w:ascii="宋体" w:hAnsi="宋体" w:cs="宋体"/>
          <w:sz w:val="32"/>
          <w:szCs w:val="32"/>
        </w:rPr>
        <w:t>预算收支总表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预算收入总表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三、</w:t>
      </w:r>
      <w:r>
        <w:rPr>
          <w:rFonts w:hint="eastAsia" w:ascii="宋体" w:hAnsi="宋体" w:eastAsia="宋体" w:cs="宋体"/>
          <w:sz w:val="32"/>
          <w:szCs w:val="32"/>
          <w:lang w:eastAsia="zh-CN"/>
        </w:rPr>
        <w:t>单位</w:t>
      </w:r>
      <w:r>
        <w:rPr>
          <w:rFonts w:hint="eastAsia" w:ascii="宋体" w:hAnsi="宋体" w:cs="宋体"/>
          <w:sz w:val="32"/>
          <w:szCs w:val="32"/>
        </w:rPr>
        <w:t>预算支出总表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四、</w:t>
      </w:r>
      <w:r>
        <w:rPr>
          <w:rFonts w:hint="eastAsia" w:ascii="宋体" w:hAnsi="宋体" w:eastAsia="宋体" w:cs="宋体"/>
          <w:sz w:val="32"/>
          <w:szCs w:val="32"/>
          <w:lang w:eastAsia="zh-CN"/>
        </w:rPr>
        <w:t>单位</w:t>
      </w:r>
      <w:r>
        <w:rPr>
          <w:rFonts w:hint="eastAsia" w:ascii="宋体" w:hAnsi="宋体" w:cs="宋体"/>
          <w:sz w:val="32"/>
          <w:szCs w:val="32"/>
        </w:rPr>
        <w:t>预算财政拨款收支总表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五、</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六、</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预算一般公共预算财政拨款基本支出表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七、</w:t>
      </w:r>
      <w:r>
        <w:rPr>
          <w:rFonts w:hint="eastAsia" w:ascii="宋体" w:hAnsi="宋体" w:eastAsia="宋体" w:cs="宋体"/>
          <w:sz w:val="32"/>
          <w:szCs w:val="32"/>
          <w:lang w:eastAsia="zh-CN"/>
        </w:rPr>
        <w:t>单位</w:t>
      </w:r>
      <w:r>
        <w:rPr>
          <w:rFonts w:hint="eastAsia" w:ascii="宋体" w:hAnsi="宋体" w:cs="宋体"/>
          <w:sz w:val="32"/>
          <w:szCs w:val="32"/>
        </w:rPr>
        <w:t>预算政府基金预算财政拨款支出表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八、</w:t>
      </w:r>
      <w:r>
        <w:rPr>
          <w:rFonts w:hint="eastAsia" w:ascii="宋体" w:hAnsi="宋体" w:eastAsia="宋体" w:cs="宋体"/>
          <w:sz w:val="32"/>
          <w:szCs w:val="32"/>
          <w:lang w:eastAsia="zh-CN"/>
        </w:rPr>
        <w:t>单位</w:t>
      </w:r>
      <w:r>
        <w:rPr>
          <w:rFonts w:hint="eastAsia" w:ascii="宋体" w:hAnsi="宋体" w:cs="宋体"/>
          <w:sz w:val="32"/>
          <w:szCs w:val="32"/>
        </w:rPr>
        <w:t>预算国有资本经营预算财政拨款支出表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outlineLvl w:val="0"/>
        <w:rPr>
          <w:rFonts w:hint="eastAsia" w:eastAsia="宋体"/>
          <w:lang w:eastAsia="zh-CN"/>
        </w:rPr>
      </w:pPr>
      <w:r>
        <w:rPr>
          <w:rFonts w:hint="eastAsia" w:ascii="宋体" w:hAnsi="宋体" w:cs="宋体"/>
          <w:sz w:val="32"/>
          <w:szCs w:val="32"/>
        </w:rPr>
        <w:t>九、</w:t>
      </w:r>
      <w:r>
        <w:rPr>
          <w:rFonts w:hint="eastAsia" w:ascii="宋体" w:hAnsi="宋体" w:eastAsia="宋体" w:cs="宋体"/>
          <w:sz w:val="32"/>
          <w:szCs w:val="32"/>
          <w:lang w:eastAsia="zh-CN"/>
        </w:rPr>
        <w:t>单位</w:t>
      </w:r>
      <w:r>
        <w:rPr>
          <w:rFonts w:hint="eastAsia" w:ascii="宋体" w:hAnsi="宋体" w:cs="宋体"/>
          <w:sz w:val="32"/>
          <w:szCs w:val="32"/>
        </w:rPr>
        <w:t>预算财政拨款“三公”经费支出</w:t>
      </w:r>
      <w:r>
        <w:rPr>
          <w:rFonts w:hint="eastAsia" w:ascii="宋体" w:hAnsi="宋体" w:eastAsia="宋体" w:cs="宋体"/>
          <w:sz w:val="32"/>
          <w:szCs w:val="32"/>
          <w:lang w:eastAsia="zh-CN"/>
        </w:rPr>
        <w:t>表</w:t>
      </w:r>
    </w:p>
    <w:p>
      <w:pPr>
        <w:keepNext w:val="0"/>
        <w:keepLines w:val="0"/>
        <w:pageBreakBefore w:val="0"/>
        <w:widowControl/>
        <w:kinsoku/>
        <w:wordWrap/>
        <w:overflowPunct/>
        <w:topLinePunct w:val="0"/>
        <w:autoSpaceDE/>
        <w:autoSpaceDN/>
        <w:bidi w:val="0"/>
        <w:adjustRightInd/>
        <w:spacing w:line="600" w:lineRule="exact"/>
        <w:jc w:val="left"/>
        <w:textAlignment w:val="auto"/>
        <w:rPr>
          <w:rFonts w:hint="eastAsia" w:ascii="黑体" w:hAnsi="黑体" w:eastAsia="黑体" w:cs="黑体"/>
          <w:color w:val="000000"/>
          <w:sz w:val="44"/>
          <w:szCs w:val="44"/>
        </w:rPr>
      </w:pP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黑体" w:hAnsi="黑体" w:eastAsia="黑体" w:cs="黑体"/>
          <w:color w:val="000000"/>
          <w:sz w:val="44"/>
          <w:szCs w:val="44"/>
          <w:lang w:eastAsia="zh-CN"/>
        </w:rPr>
      </w:pP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黑体" w:hAnsi="黑体" w:eastAsia="黑体" w:cs="黑体"/>
          <w:color w:val="000000"/>
          <w:sz w:val="44"/>
          <w:szCs w:val="44"/>
          <w:lang w:eastAsia="zh-CN"/>
        </w:rPr>
      </w:pPr>
    </w:p>
    <w:p>
      <w:pPr>
        <w:keepNext w:val="0"/>
        <w:keepLines w:val="0"/>
        <w:pageBreakBefore w:val="0"/>
        <w:widowControl/>
        <w:kinsoku/>
        <w:wordWrap/>
        <w:overflowPunct/>
        <w:topLinePunct w:val="0"/>
        <w:autoSpaceDE/>
        <w:autoSpaceDN/>
        <w:bidi w:val="0"/>
        <w:adjustRightInd/>
        <w:spacing w:line="600" w:lineRule="exact"/>
        <w:jc w:val="left"/>
        <w:textAlignment w:val="auto"/>
        <w:rPr>
          <w:rFonts w:hint="eastAsia" w:ascii="黑体" w:hAnsi="黑体" w:eastAsia="黑体" w:cs="黑体"/>
          <w:color w:val="000000"/>
          <w:sz w:val="44"/>
          <w:szCs w:val="44"/>
          <w:lang w:eastAsia="zh-CN"/>
        </w:rPr>
      </w:pP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宋体" w:hAnsi="宋体" w:cs="宋体"/>
          <w:color w:val="000000"/>
          <w:kern w:val="0"/>
          <w:sz w:val="32"/>
          <w:szCs w:val="32"/>
        </w:rPr>
      </w:pP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预算</w:t>
      </w:r>
      <w:r>
        <w:rPr>
          <w:rFonts w:hint="eastAsia" w:ascii="黑体" w:hAnsi="黑体" w:eastAsia="黑体" w:cs="黑体"/>
          <w:color w:val="000000"/>
          <w:sz w:val="44"/>
          <w:szCs w:val="44"/>
          <w:lang w:eastAsia="zh-CN"/>
        </w:rPr>
        <w:t>信息</w:t>
      </w:r>
      <w:r>
        <w:rPr>
          <w:rFonts w:hint="eastAsia" w:ascii="黑体" w:hAnsi="黑体" w:eastAsia="黑体" w:cs="黑体"/>
          <w:color w:val="000000"/>
          <w:sz w:val="44"/>
          <w:szCs w:val="44"/>
        </w:rPr>
        <w:t>公开</w:t>
      </w:r>
      <w:r>
        <w:rPr>
          <w:rFonts w:hint="eastAsia" w:ascii="黑体" w:hAnsi="黑体" w:eastAsia="黑体" w:cs="黑体"/>
          <w:color w:val="000000"/>
          <w:sz w:val="44"/>
          <w:szCs w:val="44"/>
          <w:lang w:eastAsia="zh-CN"/>
        </w:rPr>
        <w:t>情况</w:t>
      </w:r>
      <w:r>
        <w:rPr>
          <w:rFonts w:hint="eastAsia" w:ascii="黑体" w:hAnsi="黑体" w:eastAsia="黑体" w:cs="黑体"/>
          <w:color w:val="000000"/>
          <w:sz w:val="44"/>
          <w:szCs w:val="44"/>
        </w:rPr>
        <w:t>说明</w:t>
      </w:r>
    </w:p>
    <w:p>
      <w:pPr>
        <w:pStyle w:val="31"/>
        <w:keepNext w:val="0"/>
        <w:keepLines w:val="0"/>
        <w:pageBreakBefore w:val="0"/>
        <w:widowControl/>
        <w:shd w:val="clear" w:color="auto" w:fill="FFFFFF"/>
        <w:kinsoku/>
        <w:wordWrap/>
        <w:overflowPunct/>
        <w:topLinePunct w:val="0"/>
        <w:autoSpaceDE/>
        <w:autoSpaceDN/>
        <w:bidi w:val="0"/>
        <w:adjustRightInd/>
        <w:spacing w:line="600" w:lineRule="exact"/>
        <w:ind w:left="0" w:leftChars="0" w:firstLine="960" w:firstLineChars="300"/>
        <w:jc w:val="left"/>
        <w:textAlignment w:val="auto"/>
        <w:rPr>
          <w:rFonts w:ascii="宋体" w:cs="Times New Roman"/>
          <w:color w:val="000000"/>
          <w:kern w:val="0"/>
          <w:sz w:val="32"/>
          <w:szCs w:val="32"/>
        </w:rPr>
      </w:pPr>
      <w:r>
        <w:rPr>
          <w:rFonts w:hint="eastAsia" w:ascii="宋体" w:hAnsi="宋体" w:cs="宋体"/>
          <w:color w:val="000000"/>
          <w:kern w:val="0"/>
          <w:sz w:val="32"/>
          <w:szCs w:val="32"/>
        </w:rPr>
        <w:t>一、</w:t>
      </w:r>
      <w:r>
        <w:rPr>
          <w:rFonts w:hint="eastAsia" w:ascii="宋体" w:hAnsi="宋体" w:eastAsia="宋体" w:cs="宋体"/>
          <w:color w:val="000000"/>
          <w:kern w:val="0"/>
          <w:sz w:val="32"/>
          <w:szCs w:val="32"/>
          <w:lang w:eastAsia="zh-CN"/>
        </w:rPr>
        <w:t>单位</w:t>
      </w:r>
      <w:r>
        <w:rPr>
          <w:rFonts w:hint="eastAsia" w:ascii="宋体" w:hAnsi="宋体" w:cs="宋体"/>
          <w:color w:val="000000"/>
          <w:kern w:val="0"/>
          <w:sz w:val="32"/>
          <w:szCs w:val="32"/>
        </w:rPr>
        <w:t>职责机构设置情况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rPr>
          <w:rFonts w:ascii="宋体"/>
          <w:sz w:val="32"/>
          <w:szCs w:val="32"/>
        </w:rPr>
      </w:pPr>
      <w:r>
        <w:rPr>
          <w:rFonts w:hint="eastAsia" w:ascii="宋体" w:hAnsi="宋体" w:cs="宋体"/>
          <w:color w:val="000000"/>
          <w:kern w:val="0"/>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预算安排总体情况</w:t>
      </w:r>
    </w:p>
    <w:p>
      <w:pPr>
        <w:pStyle w:val="31"/>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cs="Times New Roman"/>
          <w:sz w:val="32"/>
          <w:szCs w:val="32"/>
        </w:rPr>
      </w:pPr>
      <w:r>
        <w:rPr>
          <w:rFonts w:hint="eastAsia" w:ascii="宋体" w:hAnsi="宋体" w:cs="宋体"/>
          <w:sz w:val="32"/>
          <w:szCs w:val="32"/>
        </w:rPr>
        <w:t>三、机关运行经费安排情况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outlineLvl w:val="0"/>
        <w:rPr>
          <w:rFonts w:hint="eastAsia" w:ascii="宋体" w:eastAsia="宋体"/>
          <w:sz w:val="32"/>
          <w:szCs w:val="32"/>
          <w:lang w:eastAsia="zh-CN"/>
        </w:rPr>
      </w:pPr>
      <w:r>
        <w:rPr>
          <w:rFonts w:hint="eastAsia" w:ascii="宋体" w:hAnsi="宋体" w:cs="宋体"/>
          <w:sz w:val="32"/>
          <w:szCs w:val="32"/>
        </w:rPr>
        <w:t>四、财政拨款“三公”经费预算情况</w:t>
      </w:r>
      <w:r>
        <w:rPr>
          <w:rFonts w:hint="eastAsia" w:ascii="宋体" w:hAnsi="宋体" w:eastAsia="宋体" w:cs="宋体"/>
          <w:sz w:val="32"/>
          <w:szCs w:val="32"/>
          <w:lang w:eastAsia="zh-CN"/>
        </w:rPr>
        <w:t>及增减变化原因</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cs="宋体"/>
          <w:sz w:val="32"/>
          <w:szCs w:val="32"/>
        </w:rPr>
        <w:t>五、</w:t>
      </w:r>
      <w:r>
        <w:rPr>
          <w:rFonts w:hint="eastAsia" w:ascii="宋体" w:hAnsi="宋体" w:eastAsia="宋体" w:cs="宋体"/>
          <w:sz w:val="32"/>
          <w:szCs w:val="32"/>
          <w:lang w:eastAsia="zh-CN"/>
        </w:rPr>
        <w:t>单位整体绩效目标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六、单位主管专项资金预算安排情况及绩效目标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七</w:t>
      </w:r>
      <w:r>
        <w:rPr>
          <w:rFonts w:hint="eastAsia" w:ascii="宋体" w:hAnsi="宋体" w:cs="宋体"/>
          <w:sz w:val="32"/>
          <w:szCs w:val="32"/>
        </w:rPr>
        <w:t>、</w:t>
      </w:r>
      <w:r>
        <w:rPr>
          <w:rFonts w:hint="eastAsia" w:ascii="宋体" w:hAnsi="宋体" w:eastAsia="宋体" w:cs="宋体"/>
          <w:sz w:val="32"/>
          <w:szCs w:val="32"/>
          <w:lang w:eastAsia="zh-CN"/>
        </w:rPr>
        <w:t>单位项目预算安排情况及绩效目标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八、</w:t>
      </w:r>
      <w:r>
        <w:rPr>
          <w:rFonts w:hint="eastAsia" w:ascii="宋体" w:hAnsi="宋体" w:cs="宋体"/>
          <w:sz w:val="32"/>
          <w:szCs w:val="32"/>
        </w:rPr>
        <w:t>政府采购预算情况</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cs="宋体"/>
          <w:sz w:val="32"/>
          <w:szCs w:val="32"/>
        </w:rPr>
      </w:pPr>
      <w:r>
        <w:rPr>
          <w:rFonts w:hint="eastAsia" w:ascii="宋体" w:hAnsi="宋体" w:eastAsia="宋体" w:cs="宋体"/>
          <w:sz w:val="32"/>
          <w:szCs w:val="32"/>
          <w:lang w:eastAsia="zh-CN"/>
        </w:rPr>
        <w:t>九</w:t>
      </w:r>
      <w:r>
        <w:rPr>
          <w:rFonts w:hint="eastAsia" w:ascii="宋体" w:hAnsi="宋体" w:cs="宋体"/>
          <w:sz w:val="32"/>
          <w:szCs w:val="32"/>
        </w:rPr>
        <w:t>、国有资产信息</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十</w:t>
      </w:r>
      <w:r>
        <w:rPr>
          <w:rFonts w:hint="eastAsia" w:ascii="宋体" w:hAnsi="宋体" w:cs="宋体"/>
          <w:sz w:val="32"/>
          <w:szCs w:val="32"/>
        </w:rPr>
        <w:t>、名词解释</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cs="宋体"/>
          <w:sz w:val="32"/>
          <w:szCs w:val="32"/>
        </w:rPr>
      </w:pPr>
      <w:r>
        <w:rPr>
          <w:rFonts w:hint="eastAsia" w:ascii="宋体" w:hAnsi="宋体" w:eastAsia="宋体" w:cs="宋体"/>
          <w:sz w:val="32"/>
          <w:szCs w:val="32"/>
          <w:lang w:eastAsia="zh-CN"/>
        </w:rPr>
        <w:t>十一</w:t>
      </w:r>
      <w:r>
        <w:rPr>
          <w:rFonts w:hint="eastAsia" w:ascii="宋体" w:hAnsi="宋体" w:cs="宋体"/>
          <w:sz w:val="32"/>
          <w:szCs w:val="32"/>
        </w:rPr>
        <w:t>、其他需要说明的事项</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cs="宋体"/>
          <w:sz w:val="32"/>
          <w:szCs w:val="32"/>
        </w:rPr>
      </w:pPr>
    </w:p>
    <w:bookmarkEnd w:id="0"/>
    <w:bookmarkEnd w:id="1"/>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keepNext w:val="0"/>
        <w:keepLines w:val="0"/>
        <w:pageBreakBefore w:val="0"/>
        <w:widowControl/>
        <w:kinsoku/>
        <w:wordWrap/>
        <w:overflowPunct/>
        <w:topLinePunct w:val="0"/>
        <w:autoSpaceDE/>
        <w:autoSpaceDN/>
        <w:bidi w:val="0"/>
        <w:adjustRightInd/>
        <w:spacing w:line="600" w:lineRule="exact"/>
        <w:ind w:firstLine="4400" w:firstLineChars="1000"/>
        <w:jc w:val="left"/>
        <w:textAlignment w:val="auto"/>
        <w:rPr>
          <w:rFonts w:ascii="黑体" w:hAnsi="黑体" w:eastAsia="黑体"/>
          <w:sz w:val="44"/>
          <w:szCs w:val="44"/>
        </w:rPr>
      </w:pPr>
      <w:r>
        <w:rPr>
          <w:rFonts w:hint="eastAsia" w:ascii="黑体" w:hAnsi="黑体" w:eastAsia="黑体" w:cs="黑体"/>
          <w:sz w:val="44"/>
          <w:szCs w:val="44"/>
          <w:lang w:val="en-US" w:eastAsia="zh-CN"/>
        </w:rPr>
        <w:t>2026年度</w:t>
      </w:r>
      <w:r>
        <w:rPr>
          <w:rFonts w:hint="eastAsia" w:ascii="黑体" w:hAnsi="黑体" w:eastAsia="黑体" w:cs="黑体"/>
          <w:sz w:val="44"/>
          <w:szCs w:val="44"/>
          <w:lang w:eastAsia="zh-CN"/>
        </w:rPr>
        <w:t>单位</w:t>
      </w:r>
      <w:r>
        <w:rPr>
          <w:rFonts w:hint="eastAsia" w:ascii="黑体" w:hAnsi="黑体" w:eastAsia="黑体" w:cs="黑体"/>
          <w:sz w:val="44"/>
          <w:szCs w:val="44"/>
        </w:rPr>
        <w:t>预算公开表</w:t>
      </w: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rPr>
          <w:rFonts w:ascii="方正小标宋_GBK" w:hAnsi="方正小标宋_GBK" w:eastAsia="方正小标宋_GBK" w:cs="方正小标宋_GBK"/>
          <w:color w:val="000000"/>
          <w:sz w:val="36"/>
        </w:rPr>
      </w:pPr>
    </w:p>
    <w:p>
      <w:pPr>
        <w:spacing w:before="0" w:after="0" w:line="240" w:lineRule="auto"/>
        <w:ind w:firstLine="6120" w:firstLineChars="1700"/>
        <w:jc w:val="both"/>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137.85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111.41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137.85</w:t>
            </w:r>
          </w:p>
        </w:tc>
        <w:tc>
          <w:tcPr>
            <w:tcW w:w="4535" w:type="dxa"/>
            <w:vAlign w:val="center"/>
          </w:tcPr>
          <w:p>
            <w:pPr>
              <w:pStyle w:val="16"/>
            </w:pPr>
            <w:r>
              <w:t>本年支出合计</w:t>
            </w:r>
          </w:p>
        </w:tc>
        <w:tc>
          <w:tcPr>
            <w:tcW w:w="2126" w:type="dxa"/>
            <w:vAlign w:val="center"/>
          </w:tcPr>
          <w:p>
            <w:pPr>
              <w:pStyle w:val="17"/>
            </w:pPr>
            <w:r>
              <w:t>137.85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137.85</w:t>
            </w:r>
          </w:p>
        </w:tc>
        <w:tc>
          <w:tcPr>
            <w:tcW w:w="4535" w:type="dxa"/>
            <w:vAlign w:val="center"/>
          </w:tcPr>
          <w:p>
            <w:pPr>
              <w:pStyle w:val="16"/>
            </w:pPr>
            <w:r>
              <w:t>支出总计</w:t>
            </w:r>
          </w:p>
        </w:tc>
        <w:tc>
          <w:tcPr>
            <w:tcW w:w="2126" w:type="dxa"/>
            <w:vAlign w:val="center"/>
          </w:tcPr>
          <w:p>
            <w:pPr>
              <w:pStyle w:val="17"/>
            </w:pPr>
            <w:r>
              <w:t>137.85</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137.85</w:t>
            </w:r>
          </w:p>
        </w:tc>
        <w:tc>
          <w:tcPr>
            <w:tcW w:w="1134" w:type="dxa"/>
            <w:vAlign w:val="center"/>
          </w:tcPr>
          <w:p>
            <w:pPr>
              <w:pStyle w:val="17"/>
            </w:pPr>
            <w:r>
              <w:t>137.85</w:t>
            </w:r>
          </w:p>
        </w:tc>
        <w:tc>
          <w:tcPr>
            <w:tcW w:w="1134" w:type="dxa"/>
            <w:vAlign w:val="center"/>
          </w:tcPr>
          <w:p>
            <w:pPr>
              <w:pStyle w:val="17"/>
            </w:pPr>
            <w:r>
              <w:t>137.85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r>
              <w:t>8.14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r>
              <w:t>4.86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r>
              <w:t>111.41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r>
              <w:t>13.44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137.85</w:t>
            </w:r>
          </w:p>
        </w:tc>
        <w:tc>
          <w:tcPr>
            <w:tcW w:w="1361" w:type="dxa"/>
            <w:vAlign w:val="center"/>
          </w:tcPr>
          <w:p>
            <w:pPr>
              <w:pStyle w:val="17"/>
            </w:pPr>
            <w:r>
              <w:t>137.85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8.14</w:t>
            </w:r>
          </w:p>
        </w:tc>
        <w:tc>
          <w:tcPr>
            <w:tcW w:w="1361" w:type="dxa"/>
            <w:vAlign w:val="center"/>
          </w:tcPr>
          <w:p>
            <w:pPr>
              <w:pStyle w:val="13"/>
            </w:pPr>
            <w:r>
              <w:t>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8.14</w:t>
            </w:r>
          </w:p>
        </w:tc>
        <w:tc>
          <w:tcPr>
            <w:tcW w:w="1361" w:type="dxa"/>
            <w:vAlign w:val="center"/>
          </w:tcPr>
          <w:p>
            <w:pPr>
              <w:pStyle w:val="13"/>
            </w:pPr>
            <w:r>
              <w:t>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8.14</w:t>
            </w:r>
          </w:p>
        </w:tc>
        <w:tc>
          <w:tcPr>
            <w:tcW w:w="1361" w:type="dxa"/>
            <w:vAlign w:val="center"/>
          </w:tcPr>
          <w:p>
            <w:pPr>
              <w:pStyle w:val="13"/>
            </w:pPr>
            <w:r>
              <w:t>8.14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4.86</w:t>
            </w:r>
          </w:p>
        </w:tc>
        <w:tc>
          <w:tcPr>
            <w:tcW w:w="1361" w:type="dxa"/>
            <w:vAlign w:val="center"/>
          </w:tcPr>
          <w:p>
            <w:pPr>
              <w:pStyle w:val="13"/>
            </w:pPr>
            <w:r>
              <w:t>4.86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4.86</w:t>
            </w:r>
          </w:p>
        </w:tc>
        <w:tc>
          <w:tcPr>
            <w:tcW w:w="1361" w:type="dxa"/>
            <w:vAlign w:val="center"/>
          </w:tcPr>
          <w:p>
            <w:pPr>
              <w:pStyle w:val="13"/>
            </w:pPr>
            <w:r>
              <w:t>4.86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4.86</w:t>
            </w:r>
          </w:p>
        </w:tc>
        <w:tc>
          <w:tcPr>
            <w:tcW w:w="1361" w:type="dxa"/>
            <w:vAlign w:val="center"/>
          </w:tcPr>
          <w:p>
            <w:pPr>
              <w:pStyle w:val="13"/>
            </w:pPr>
            <w:r>
              <w:t>4.86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111.41</w:t>
            </w:r>
          </w:p>
        </w:tc>
        <w:tc>
          <w:tcPr>
            <w:tcW w:w="1361" w:type="dxa"/>
            <w:vAlign w:val="center"/>
          </w:tcPr>
          <w:p>
            <w:pPr>
              <w:pStyle w:val="13"/>
            </w:pPr>
            <w:r>
              <w:t>111.41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111.41</w:t>
            </w:r>
          </w:p>
        </w:tc>
        <w:tc>
          <w:tcPr>
            <w:tcW w:w="1361" w:type="dxa"/>
            <w:vAlign w:val="center"/>
          </w:tcPr>
          <w:p>
            <w:pPr>
              <w:pStyle w:val="13"/>
            </w:pPr>
            <w:r>
              <w:t>111.41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111.41</w:t>
            </w:r>
          </w:p>
        </w:tc>
        <w:tc>
          <w:tcPr>
            <w:tcW w:w="1361" w:type="dxa"/>
            <w:vAlign w:val="center"/>
          </w:tcPr>
          <w:p>
            <w:pPr>
              <w:pStyle w:val="13"/>
            </w:pPr>
            <w:r>
              <w:t>111.41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13.44</w:t>
            </w:r>
          </w:p>
        </w:tc>
        <w:tc>
          <w:tcPr>
            <w:tcW w:w="1361" w:type="dxa"/>
            <w:vAlign w:val="center"/>
          </w:tcPr>
          <w:p>
            <w:pPr>
              <w:pStyle w:val="13"/>
            </w:pPr>
            <w:r>
              <w:t>13.44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13.44</w:t>
            </w:r>
          </w:p>
        </w:tc>
        <w:tc>
          <w:tcPr>
            <w:tcW w:w="1361" w:type="dxa"/>
            <w:vAlign w:val="center"/>
          </w:tcPr>
          <w:p>
            <w:pPr>
              <w:pStyle w:val="13"/>
            </w:pPr>
            <w:r>
              <w:t>13.44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13.44</w:t>
            </w:r>
          </w:p>
        </w:tc>
        <w:tc>
          <w:tcPr>
            <w:tcW w:w="1361" w:type="dxa"/>
            <w:vAlign w:val="center"/>
          </w:tcPr>
          <w:p>
            <w:pPr>
              <w:pStyle w:val="13"/>
            </w:pPr>
            <w:r>
              <w:t>13.44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137.85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8.14</w:t>
            </w:r>
          </w:p>
        </w:tc>
        <w:tc>
          <w:tcPr>
            <w:tcW w:w="1474" w:type="dxa"/>
            <w:vAlign w:val="center"/>
          </w:tcPr>
          <w:p>
            <w:pPr>
              <w:pStyle w:val="13"/>
            </w:pPr>
            <w:r>
              <w:t>8.14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4.86</w:t>
            </w:r>
          </w:p>
        </w:tc>
        <w:tc>
          <w:tcPr>
            <w:tcW w:w="1474" w:type="dxa"/>
            <w:vAlign w:val="center"/>
          </w:tcPr>
          <w:p>
            <w:pPr>
              <w:pStyle w:val="13"/>
            </w:pPr>
            <w:r>
              <w:t>4.86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111.41</w:t>
            </w:r>
          </w:p>
        </w:tc>
        <w:tc>
          <w:tcPr>
            <w:tcW w:w="1474" w:type="dxa"/>
            <w:vAlign w:val="center"/>
          </w:tcPr>
          <w:p>
            <w:pPr>
              <w:pStyle w:val="13"/>
            </w:pPr>
            <w:r>
              <w:t>111.41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13.44</w:t>
            </w:r>
          </w:p>
        </w:tc>
        <w:tc>
          <w:tcPr>
            <w:tcW w:w="1474" w:type="dxa"/>
            <w:vAlign w:val="center"/>
          </w:tcPr>
          <w:p>
            <w:pPr>
              <w:pStyle w:val="13"/>
            </w:pPr>
            <w:r>
              <w:t>13.44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137.85</w:t>
            </w:r>
          </w:p>
        </w:tc>
        <w:tc>
          <w:tcPr>
            <w:tcW w:w="3402" w:type="dxa"/>
            <w:vAlign w:val="center"/>
          </w:tcPr>
          <w:p>
            <w:pPr>
              <w:pStyle w:val="16"/>
            </w:pPr>
            <w:r>
              <w:t>本年支出合计</w:t>
            </w:r>
          </w:p>
        </w:tc>
        <w:tc>
          <w:tcPr>
            <w:tcW w:w="1474" w:type="dxa"/>
            <w:vAlign w:val="center"/>
          </w:tcPr>
          <w:p>
            <w:pPr>
              <w:pStyle w:val="17"/>
            </w:pPr>
            <w:r>
              <w:t>137.85</w:t>
            </w:r>
          </w:p>
        </w:tc>
        <w:tc>
          <w:tcPr>
            <w:tcW w:w="1474" w:type="dxa"/>
            <w:vAlign w:val="center"/>
          </w:tcPr>
          <w:p>
            <w:pPr>
              <w:pStyle w:val="17"/>
            </w:pPr>
            <w:r>
              <w:t>137.85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137.85</w:t>
            </w:r>
          </w:p>
        </w:tc>
        <w:tc>
          <w:tcPr>
            <w:tcW w:w="3402" w:type="dxa"/>
            <w:vAlign w:val="center"/>
          </w:tcPr>
          <w:p>
            <w:pPr>
              <w:pStyle w:val="16"/>
            </w:pPr>
            <w:r>
              <w:t>支出总计</w:t>
            </w:r>
          </w:p>
        </w:tc>
        <w:tc>
          <w:tcPr>
            <w:tcW w:w="1474" w:type="dxa"/>
            <w:vAlign w:val="center"/>
          </w:tcPr>
          <w:p>
            <w:pPr>
              <w:pStyle w:val="17"/>
            </w:pPr>
            <w:r>
              <w:t>137.85</w:t>
            </w:r>
          </w:p>
        </w:tc>
        <w:tc>
          <w:tcPr>
            <w:tcW w:w="1474" w:type="dxa"/>
            <w:vAlign w:val="center"/>
          </w:tcPr>
          <w:p>
            <w:pPr>
              <w:pStyle w:val="17"/>
            </w:pPr>
            <w:r>
              <w:t>137.85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137.85</w:t>
            </w:r>
          </w:p>
        </w:tc>
        <w:tc>
          <w:tcPr>
            <w:tcW w:w="2551" w:type="dxa"/>
            <w:vAlign w:val="center"/>
          </w:tcPr>
          <w:p>
            <w:pPr>
              <w:pStyle w:val="17"/>
            </w:pPr>
            <w:r>
              <w:t>137.85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8.14</w:t>
            </w:r>
          </w:p>
        </w:tc>
        <w:tc>
          <w:tcPr>
            <w:tcW w:w="2551" w:type="dxa"/>
            <w:vAlign w:val="center"/>
          </w:tcPr>
          <w:p>
            <w:pPr>
              <w:pStyle w:val="13"/>
            </w:pPr>
            <w:r>
              <w:t>8.14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8.14</w:t>
            </w:r>
          </w:p>
        </w:tc>
        <w:tc>
          <w:tcPr>
            <w:tcW w:w="2551" w:type="dxa"/>
            <w:vAlign w:val="center"/>
          </w:tcPr>
          <w:p>
            <w:pPr>
              <w:pStyle w:val="13"/>
            </w:pPr>
            <w:r>
              <w:t>8.14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8.14</w:t>
            </w:r>
          </w:p>
        </w:tc>
        <w:tc>
          <w:tcPr>
            <w:tcW w:w="2551" w:type="dxa"/>
            <w:vAlign w:val="center"/>
          </w:tcPr>
          <w:p>
            <w:pPr>
              <w:pStyle w:val="13"/>
            </w:pPr>
            <w:r>
              <w:t>8.14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4.86</w:t>
            </w:r>
          </w:p>
        </w:tc>
        <w:tc>
          <w:tcPr>
            <w:tcW w:w="2551" w:type="dxa"/>
            <w:vAlign w:val="center"/>
          </w:tcPr>
          <w:p>
            <w:pPr>
              <w:pStyle w:val="13"/>
            </w:pPr>
            <w:r>
              <w:t>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4.86</w:t>
            </w:r>
          </w:p>
        </w:tc>
        <w:tc>
          <w:tcPr>
            <w:tcW w:w="2551" w:type="dxa"/>
            <w:vAlign w:val="center"/>
          </w:tcPr>
          <w:p>
            <w:pPr>
              <w:pStyle w:val="13"/>
            </w:pPr>
            <w:r>
              <w:t>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4.86</w:t>
            </w:r>
          </w:p>
        </w:tc>
        <w:tc>
          <w:tcPr>
            <w:tcW w:w="2551" w:type="dxa"/>
            <w:vAlign w:val="center"/>
          </w:tcPr>
          <w:p>
            <w:pPr>
              <w:pStyle w:val="13"/>
            </w:pPr>
            <w:r>
              <w:t>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111.41</w:t>
            </w:r>
          </w:p>
        </w:tc>
        <w:tc>
          <w:tcPr>
            <w:tcW w:w="2551" w:type="dxa"/>
            <w:vAlign w:val="center"/>
          </w:tcPr>
          <w:p>
            <w:pPr>
              <w:pStyle w:val="13"/>
            </w:pPr>
            <w:r>
              <w:t>111.41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111.41</w:t>
            </w:r>
          </w:p>
        </w:tc>
        <w:tc>
          <w:tcPr>
            <w:tcW w:w="2551" w:type="dxa"/>
            <w:vAlign w:val="center"/>
          </w:tcPr>
          <w:p>
            <w:pPr>
              <w:pStyle w:val="13"/>
            </w:pPr>
            <w:r>
              <w:t>111.41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111.41</w:t>
            </w:r>
          </w:p>
        </w:tc>
        <w:tc>
          <w:tcPr>
            <w:tcW w:w="2551" w:type="dxa"/>
            <w:vAlign w:val="center"/>
          </w:tcPr>
          <w:p>
            <w:pPr>
              <w:pStyle w:val="13"/>
            </w:pPr>
            <w:r>
              <w:t>111.41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13.44</w:t>
            </w:r>
          </w:p>
        </w:tc>
        <w:tc>
          <w:tcPr>
            <w:tcW w:w="2551" w:type="dxa"/>
            <w:vAlign w:val="center"/>
          </w:tcPr>
          <w:p>
            <w:pPr>
              <w:pStyle w:val="13"/>
            </w:pPr>
            <w:r>
              <w:t>13.44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13.44</w:t>
            </w:r>
          </w:p>
        </w:tc>
        <w:tc>
          <w:tcPr>
            <w:tcW w:w="2551" w:type="dxa"/>
            <w:vAlign w:val="center"/>
          </w:tcPr>
          <w:p>
            <w:pPr>
              <w:pStyle w:val="13"/>
            </w:pPr>
            <w:r>
              <w:t>13.44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13.44</w:t>
            </w:r>
          </w:p>
        </w:tc>
        <w:tc>
          <w:tcPr>
            <w:tcW w:w="2551" w:type="dxa"/>
            <w:vAlign w:val="center"/>
          </w:tcPr>
          <w:p>
            <w:pPr>
              <w:pStyle w:val="13"/>
            </w:pPr>
            <w:r>
              <w:t>13.44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137.85</w:t>
            </w:r>
          </w:p>
        </w:tc>
        <w:tc>
          <w:tcPr>
            <w:tcW w:w="2551" w:type="dxa"/>
            <w:vAlign w:val="center"/>
          </w:tcPr>
          <w:p>
            <w:pPr>
              <w:pStyle w:val="17"/>
            </w:pPr>
            <w:r>
              <w:t>134.13</w:t>
            </w:r>
          </w:p>
        </w:tc>
        <w:tc>
          <w:tcPr>
            <w:tcW w:w="2551" w:type="dxa"/>
            <w:vAlign w:val="center"/>
          </w:tcPr>
          <w:p>
            <w:pPr>
              <w:pStyle w:val="17"/>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134.13</w:t>
            </w:r>
          </w:p>
        </w:tc>
        <w:tc>
          <w:tcPr>
            <w:tcW w:w="2551" w:type="dxa"/>
            <w:vAlign w:val="center"/>
          </w:tcPr>
          <w:p>
            <w:pPr>
              <w:pStyle w:val="13"/>
            </w:pPr>
            <w:r>
              <w:t>134.13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20.09</w:t>
            </w:r>
          </w:p>
        </w:tc>
        <w:tc>
          <w:tcPr>
            <w:tcW w:w="2551" w:type="dxa"/>
            <w:vAlign w:val="center"/>
          </w:tcPr>
          <w:p>
            <w:pPr>
              <w:pStyle w:val="13"/>
            </w:pPr>
            <w:r>
              <w:t>20.09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3.74</w:t>
            </w:r>
          </w:p>
        </w:tc>
        <w:tc>
          <w:tcPr>
            <w:tcW w:w="2551" w:type="dxa"/>
            <w:vAlign w:val="center"/>
          </w:tcPr>
          <w:p>
            <w:pPr>
              <w:pStyle w:val="13"/>
            </w:pPr>
            <w:r>
              <w:t>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83.36</w:t>
            </w:r>
          </w:p>
        </w:tc>
        <w:tc>
          <w:tcPr>
            <w:tcW w:w="2551" w:type="dxa"/>
            <w:vAlign w:val="center"/>
          </w:tcPr>
          <w:p>
            <w:pPr>
              <w:pStyle w:val="13"/>
            </w:pPr>
            <w:r>
              <w:t>83.36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8.14</w:t>
            </w:r>
          </w:p>
        </w:tc>
        <w:tc>
          <w:tcPr>
            <w:tcW w:w="2551" w:type="dxa"/>
            <w:vAlign w:val="center"/>
          </w:tcPr>
          <w:p>
            <w:pPr>
              <w:pStyle w:val="13"/>
            </w:pPr>
            <w:r>
              <w:t>8.14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4.86</w:t>
            </w:r>
          </w:p>
        </w:tc>
        <w:tc>
          <w:tcPr>
            <w:tcW w:w="2551" w:type="dxa"/>
            <w:vAlign w:val="center"/>
          </w:tcPr>
          <w:p>
            <w:pPr>
              <w:pStyle w:val="13"/>
            </w:pPr>
            <w:r>
              <w:t>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13.44</w:t>
            </w:r>
          </w:p>
        </w:tc>
        <w:tc>
          <w:tcPr>
            <w:tcW w:w="2551" w:type="dxa"/>
            <w:vAlign w:val="center"/>
          </w:tcPr>
          <w:p>
            <w:pPr>
              <w:pStyle w:val="13"/>
            </w:pPr>
            <w:r>
              <w:t>13.44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3.72</w:t>
            </w:r>
          </w:p>
        </w:tc>
        <w:tc>
          <w:tcPr>
            <w:tcW w:w="2551" w:type="dxa"/>
            <w:vAlign w:val="center"/>
          </w:tcPr>
          <w:p>
            <w:pPr>
              <w:pStyle w:val="13"/>
            </w:pPr>
          </w:p>
        </w:tc>
        <w:tc>
          <w:tcPr>
            <w:tcW w:w="2551" w:type="dxa"/>
            <w:vAlign w:val="center"/>
          </w:tcPr>
          <w:p>
            <w:pPr>
              <w:pStyle w:val="13"/>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0.81</w:t>
            </w:r>
          </w:p>
        </w:tc>
        <w:tc>
          <w:tcPr>
            <w:tcW w:w="2551" w:type="dxa"/>
            <w:vAlign w:val="center"/>
          </w:tcPr>
          <w:p>
            <w:pPr>
              <w:pStyle w:val="13"/>
            </w:pPr>
          </w:p>
        </w:tc>
        <w:tc>
          <w:tcPr>
            <w:tcW w:w="2551" w:type="dxa"/>
            <w:vAlign w:val="center"/>
          </w:tcPr>
          <w:p>
            <w:pPr>
              <w:pStyle w:val="13"/>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1.31</w:t>
            </w:r>
          </w:p>
        </w:tc>
        <w:tc>
          <w:tcPr>
            <w:tcW w:w="2551" w:type="dxa"/>
            <w:vAlign w:val="center"/>
          </w:tcPr>
          <w:p>
            <w:pPr>
              <w:pStyle w:val="13"/>
            </w:pPr>
          </w:p>
        </w:tc>
        <w:tc>
          <w:tcPr>
            <w:tcW w:w="2551" w:type="dxa"/>
            <w:vAlign w:val="center"/>
          </w:tcPr>
          <w:p>
            <w:pPr>
              <w:pStyle w:val="13"/>
            </w:pPr>
            <w:r>
              <w:t>1.31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按照《中华人民共和国预算法》、《地方预决算公开操作规程》和《关于进一步推进预算公开工作的实施意见》规定，现将石家庄高新技术产业开发区环境监控中心2026年单位预算公开如下：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1.开展污染源监督性监测、突发性环境事件应急监测和环境执法监测。</w:t>
      </w:r>
    </w:p>
    <w:p>
      <w:pPr>
        <w:pStyle w:val="27"/>
      </w:pPr>
      <w:r>
        <w:t>2.承担环境监测网的技术工作，收集、管理环境监测数据，开展环境状况调查和评价，按照规定编写并上报环境监测报告。</w:t>
      </w:r>
    </w:p>
    <w:p>
      <w:pPr>
        <w:pStyle w:val="27"/>
      </w:pPr>
      <w:r>
        <w:t>3.承担生态环境部门委托的其他环境监测技术支持工作。负责提供环境空气质量预报信息，开展重污染天气预测预报等工作。</w:t>
      </w:r>
    </w:p>
    <w:p>
      <w:pPr>
        <w:pStyle w:val="27"/>
      </w:pPr>
      <w:r>
        <w:t>4.负责区内国省控环境监测点位保障相关工作。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石家庄高新技术产业开发区环境监控中心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137.85万元，其中：一般公共预算收入137.85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高新技术产业开发区环境监控中心年度单位预算中支出预算的总体情况。2026年支出预算137.85万元，其中基本支出137.85万元，包括人员经费134.13万元和日常公用经费3.72万元；项目支出0.00万元，主要为监控中心日常人员经费和日常办公经费的支出等，无项目经费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137.85万元，较2025年预算增加2.19万元，其中：基本支出增加2.19万元，主要为人员工资保险调增。项目支出增加0.00万元，主要为监控中心无项目经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kinsoku/>
        <w:wordWrap/>
        <w:overflowPunct/>
        <w:topLinePunct w:val="0"/>
        <w:autoSpaceDE/>
        <w:autoSpaceDN/>
        <w:bidi w:val="0"/>
        <w:adjustRightInd/>
        <w:snapToGrid w:val="0"/>
        <w:spacing w:line="600" w:lineRule="exact"/>
        <w:ind w:firstLine="640" w:firstLineChars="200"/>
        <w:textAlignment w:val="auto"/>
        <w:outlineLvl w:val="0"/>
      </w:pPr>
      <w:r>
        <w:rPr>
          <w:rFonts w:hint="eastAsia" w:ascii="仿宋_GB2312" w:eastAsia="仿宋_GB2312"/>
          <w:sz w:val="32"/>
          <w:szCs w:val="32"/>
          <w:lang w:eastAsia="zh-CN"/>
        </w:rPr>
        <w:t>监控中心为事业单位，无机关运行经费。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kinsoku/>
        <w:wordWrap/>
        <w:overflowPunct/>
        <w:topLinePunct w:val="0"/>
        <w:autoSpaceDE/>
        <w:autoSpaceDN/>
        <w:bidi w:val="0"/>
        <w:adjustRightInd/>
        <w:spacing w:line="600" w:lineRule="exact"/>
        <w:ind w:firstLine="640" w:firstLineChars="200"/>
        <w:jc w:val="left"/>
        <w:textAlignment w:val="auto"/>
        <w:rPr>
          <w:rFonts w:hint="eastAsia"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6</w:t>
      </w:r>
      <w:r>
        <w:rPr>
          <w:rFonts w:hint="eastAsia" w:ascii="仿宋_GB2312" w:hAnsi="仿宋" w:eastAsia="仿宋_GB2312"/>
          <w:sz w:val="32"/>
          <w:szCs w:val="32"/>
        </w:rPr>
        <w:t>年度单位财政拨款“三公”经费安排预算0万元。其中公务用车购置及运行维护费0万元，（其中公务用车购置费0万元， 与上年持平无增减变化；公务用车运行维护费0万元，与上年持平无增减变化。）因公出国（境）费用 0万元，与上年持平无增减变化；公务接待费 0万元，与上年持平无增减变化。</w:t>
      </w:r>
    </w:p>
    <w:p>
      <w:pPr>
        <w:pStyle w:val="30"/>
      </w:pPr>
    </w:p>
    <w:p>
      <w:pPr>
        <w:numPr>
          <w:ilvl w:val="0"/>
          <w:numId w:val="1"/>
        </w:numPr>
        <w:spacing w:before="10" w:after="10" w:line="240" w:lineRule="auto"/>
        <w:ind w:firstLine="640"/>
        <w:jc w:val="left"/>
        <w:outlineLvl w:val="5"/>
        <w:rPr>
          <w:rFonts w:hint="eastAsia" w:ascii="仿宋_GB2312" w:hAnsi="仿宋" w:eastAsia="仿宋_GB2312" w:cs="仿宋"/>
          <w:sz w:val="32"/>
          <w:szCs w:val="32"/>
        </w:rPr>
      </w:pPr>
      <w:r>
        <w:rPr>
          <w:rFonts w:ascii="黑体" w:hAnsi="黑体" w:eastAsia="黑体" w:cs="黑体"/>
          <w:color w:val="000000"/>
          <w:sz w:val="32"/>
        </w:rPr>
        <w:t>单位项目预算安排情况及绩效目标</w:t>
      </w:r>
    </w:p>
    <w:p>
      <w:pPr>
        <w:numPr>
          <w:numId w:val="0"/>
        </w:numPr>
        <w:spacing w:before="10" w:after="10" w:line="240" w:lineRule="auto"/>
        <w:ind w:firstLine="1280" w:firstLineChars="400"/>
        <w:jc w:val="left"/>
        <w:outlineLvl w:val="5"/>
        <w:rPr>
          <w:rFonts w:ascii="黑体" w:hAnsi="黑体" w:eastAsia="黑体" w:cs="黑体"/>
          <w:color w:val="000000"/>
          <w:sz w:val="32"/>
        </w:rPr>
      </w:pPr>
    </w:p>
    <w:p>
      <w:pPr>
        <w:numPr>
          <w:numId w:val="0"/>
        </w:numPr>
        <w:spacing w:before="10" w:after="10" w:line="240" w:lineRule="auto"/>
        <w:ind w:firstLine="1280" w:firstLineChars="400"/>
        <w:jc w:val="left"/>
        <w:outlineLvl w:val="5"/>
        <w:rPr>
          <w:rFonts w:hint="eastAsia" w:ascii="仿宋_GB2312" w:hAnsi="仿宋" w:eastAsia="仿宋_GB2312" w:cs="仿宋"/>
          <w:sz w:val="32"/>
          <w:szCs w:val="32"/>
        </w:rPr>
      </w:pPr>
      <w:r>
        <w:rPr>
          <w:rFonts w:hint="eastAsia" w:ascii="仿宋_GB2312" w:hAnsi="仿宋" w:eastAsia="仿宋_GB2312" w:cs="仿宋"/>
          <w:sz w:val="32"/>
          <w:szCs w:val="32"/>
        </w:rPr>
        <w:t>监控中心202</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年无项目支出</w:t>
      </w:r>
    </w:p>
    <w:p>
      <w:pPr>
        <w:numPr>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石家庄高新技术产业开发区环境监控中心上年末固定资产金额为0.00万元（详见下表）。本年度拟购置固定资产总额为0.00万元，已按要求列入政府采购预算，详见政府采购预算表。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365003石家庄高新技术产业开发区环境监控中心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2" w:name="_GoBack"/>
      <w:bookmarkEnd w:id="2"/>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2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045D396"/>
    <w:multiLevelType w:val="singleLevel"/>
    <w:tmpl w:val="A045D39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E5E5F"/>
    <w:rsid w:val="0393394B"/>
    <w:rsid w:val="051F4646"/>
    <w:rsid w:val="225F3E4D"/>
    <w:rsid w:val="2EB94E17"/>
    <w:rsid w:val="33C278A5"/>
    <w:rsid w:val="395E1600"/>
    <w:rsid w:val="536D254A"/>
    <w:rsid w:val="5CC50A1A"/>
    <w:rsid w:val="71885136"/>
    <w:rsid w:val="74A67E4D"/>
    <w:rsid w:val="7E8F562F"/>
    <w:rsid w:val="7F8332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List Paragraph1"/>
    <w:basedOn w:val="1"/>
    <w:qFormat/>
    <w:uiPriority w:val="0"/>
    <w:pPr>
      <w:ind w:firstLine="420" w:firstLineChars="200"/>
    </w:pPr>
    <w:rPr>
      <w:rFonts w:ascii="Calibri" w:hAnsi="Calibri" w:cs="Calibri"/>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212</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2026-02-10T10:02:00Z</dcterms:created>
  <dc:creator>Administrator</dc:creator>
  <cp:lastModifiedBy>Administrator</cp:lastModifiedBy>
  <dcterms:modified xsi:type="dcterms:W3CDTF">2026-02-10T02:58:18Z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