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3"/>
    </w:p>
    <w:p>
      <w:pPr>
        <w:spacing w:before="0" w:after="0"/>
        <w:ind w:firstLine="0"/>
        <w:jc w:val="center"/>
        <w:outlineLvl w:val="3"/>
        <w:rPr>
          <w:rFonts w:ascii="方正小标宋_GBK" w:hAnsi="方正小标宋_GBK" w:eastAsia="方正小标宋_GBK" w:cs="方正小标宋_GBK"/>
          <w:b w:val="0"/>
          <w:color w:val="000000"/>
          <w:sz w:val="44"/>
        </w:rPr>
      </w:pPr>
    </w:p>
    <w:p>
      <w:pPr>
        <w:keepNext w:val="0"/>
        <w:keepLines w:val="0"/>
        <w:pageBreakBefore w:val="0"/>
        <w:widowControl/>
        <w:kinsoku/>
        <w:wordWrap/>
        <w:overflowPunct/>
        <w:topLinePunct w:val="0"/>
        <w:autoSpaceDE/>
        <w:autoSpaceDN/>
        <w:bidi w:val="0"/>
        <w:adjustRightInd/>
        <w:snapToGrid w:val="0"/>
        <w:spacing w:line="600" w:lineRule="exact"/>
        <w:ind w:firstLine="1320" w:firstLineChars="300"/>
        <w:jc w:val="both"/>
        <w:textAlignment w:val="auto"/>
        <w:rPr>
          <w:rFonts w:hint="eastAsia" w:ascii="黑体" w:hAnsi="黑体" w:eastAsia="黑体" w:cs="黑体"/>
          <w:b w:val="0"/>
          <w:bCs w:val="0"/>
          <w:sz w:val="44"/>
          <w:szCs w:val="44"/>
        </w:rPr>
      </w:pPr>
      <w:bookmarkStart w:id="1" w:name="_Toc_4_4_0000000001"/>
      <w:r>
        <w:rPr>
          <w:rFonts w:hint="eastAsia" w:ascii="黑体" w:hAnsi="黑体" w:eastAsia="黑体" w:cs="黑体"/>
          <w:b w:val="0"/>
          <w:bCs w:val="0"/>
          <w:sz w:val="44"/>
          <w:szCs w:val="44"/>
        </w:rPr>
        <w:t>高新区</w:t>
      </w:r>
      <w:r>
        <w:rPr>
          <w:rFonts w:hint="eastAsia" w:ascii="黑体" w:hAnsi="黑体" w:eastAsia="黑体" w:cs="黑体"/>
          <w:b w:val="0"/>
          <w:sz w:val="44"/>
          <w:szCs w:val="44"/>
        </w:rPr>
        <w:t>生态环境综合执法大队</w:t>
      </w:r>
      <w:r>
        <w:rPr>
          <w:rFonts w:hint="eastAsia" w:ascii="黑体" w:hAnsi="黑体" w:eastAsia="黑体" w:cs="黑体"/>
          <w:b w:val="0"/>
          <w:bCs w:val="0"/>
          <w:color w:val="000000"/>
          <w:sz w:val="44"/>
          <w:szCs w:val="44"/>
        </w:rPr>
        <w:t>202</w:t>
      </w:r>
      <w:r>
        <w:rPr>
          <w:rFonts w:hint="eastAsia" w:ascii="黑体" w:hAnsi="黑体" w:eastAsia="黑体" w:cs="黑体"/>
          <w:b w:val="0"/>
          <w:bCs w:val="0"/>
          <w:color w:val="000000"/>
          <w:sz w:val="44"/>
          <w:szCs w:val="44"/>
          <w:lang w:val="en-US" w:eastAsia="zh-CN"/>
        </w:rPr>
        <w:t>6</w:t>
      </w:r>
      <w:r>
        <w:rPr>
          <w:rFonts w:hint="eastAsia" w:ascii="黑体" w:hAnsi="黑体" w:eastAsia="黑体" w:cs="黑体"/>
          <w:b w:val="0"/>
          <w:bCs w:val="0"/>
          <w:color w:val="000000"/>
          <w:sz w:val="44"/>
          <w:szCs w:val="44"/>
        </w:rPr>
        <w:t>年单位预算信息公开目录</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黑体" w:hAnsi="黑体" w:eastAsia="黑体"/>
          <w:sz w:val="32"/>
          <w:szCs w:val="32"/>
        </w:rPr>
      </w:pPr>
      <w:r>
        <w:rPr>
          <w:rFonts w:hint="eastAsia" w:ascii="黑体" w:hAnsi="黑体" w:eastAsia="黑体" w:cs="黑体"/>
          <w:sz w:val="32"/>
          <w:szCs w:val="32"/>
          <w:lang w:eastAsia="zh-CN"/>
        </w:rPr>
        <w:t>单位</w:t>
      </w:r>
      <w:r>
        <w:rPr>
          <w:rFonts w:hint="eastAsia" w:ascii="黑体" w:hAnsi="黑体" w:eastAsia="黑体" w:cs="黑体"/>
          <w:sz w:val="32"/>
          <w:szCs w:val="32"/>
        </w:rPr>
        <w:t>预算公开表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一、</w:t>
      </w:r>
      <w:r>
        <w:rPr>
          <w:rFonts w:hint="eastAsia" w:ascii="宋体" w:hAnsi="宋体" w:eastAsia="宋体" w:cs="宋体"/>
          <w:sz w:val="32"/>
          <w:szCs w:val="32"/>
          <w:lang w:eastAsia="zh-CN"/>
        </w:rPr>
        <w:t>单位</w:t>
      </w:r>
      <w:r>
        <w:rPr>
          <w:rFonts w:hint="eastAsia" w:ascii="宋体" w:hAnsi="宋体" w:cs="宋体"/>
          <w:sz w:val="32"/>
          <w:szCs w:val="32"/>
        </w:rPr>
        <w:t>预算收支总表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预算收入总表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三、</w:t>
      </w:r>
      <w:r>
        <w:rPr>
          <w:rFonts w:hint="eastAsia" w:ascii="宋体" w:hAnsi="宋体" w:eastAsia="宋体" w:cs="宋体"/>
          <w:sz w:val="32"/>
          <w:szCs w:val="32"/>
          <w:lang w:eastAsia="zh-CN"/>
        </w:rPr>
        <w:t>单位</w:t>
      </w:r>
      <w:r>
        <w:rPr>
          <w:rFonts w:hint="eastAsia" w:ascii="宋体" w:hAnsi="宋体" w:cs="宋体"/>
          <w:sz w:val="32"/>
          <w:szCs w:val="32"/>
        </w:rPr>
        <w:t>预算支出总表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四、</w:t>
      </w:r>
      <w:r>
        <w:rPr>
          <w:rFonts w:hint="eastAsia" w:ascii="宋体" w:hAnsi="宋体" w:eastAsia="宋体" w:cs="宋体"/>
          <w:sz w:val="32"/>
          <w:szCs w:val="32"/>
          <w:lang w:eastAsia="zh-CN"/>
        </w:rPr>
        <w:t>单位</w:t>
      </w:r>
      <w:r>
        <w:rPr>
          <w:rFonts w:hint="eastAsia" w:ascii="宋体" w:hAnsi="宋体" w:cs="宋体"/>
          <w:sz w:val="32"/>
          <w:szCs w:val="32"/>
        </w:rPr>
        <w:t>预算财政拨款收支总表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五、</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六、</w:t>
      </w:r>
      <w:r>
        <w:rPr>
          <w:rFonts w:hint="eastAsia" w:ascii="宋体" w:hAnsi="宋体" w:eastAsia="宋体" w:cs="宋体"/>
          <w:sz w:val="32"/>
          <w:szCs w:val="32"/>
          <w:lang w:eastAsia="zh-CN"/>
        </w:rPr>
        <w:t>单位</w:t>
      </w:r>
      <w:r>
        <w:rPr>
          <w:rFonts w:hint="eastAsia" w:ascii="宋体" w:hAnsi="宋体" w:cs="宋体"/>
          <w:sz w:val="32"/>
          <w:szCs w:val="32"/>
        </w:rPr>
        <w:t>预算一般公共预算财政拨款基本支出表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七、</w:t>
      </w:r>
      <w:r>
        <w:rPr>
          <w:rFonts w:hint="eastAsia" w:ascii="宋体" w:hAnsi="宋体" w:eastAsia="宋体" w:cs="宋体"/>
          <w:sz w:val="32"/>
          <w:szCs w:val="32"/>
          <w:lang w:eastAsia="zh-CN"/>
        </w:rPr>
        <w:t>单位</w:t>
      </w:r>
      <w:r>
        <w:rPr>
          <w:rFonts w:hint="eastAsia" w:ascii="宋体" w:hAnsi="宋体" w:cs="宋体"/>
          <w:sz w:val="32"/>
          <w:szCs w:val="32"/>
        </w:rPr>
        <w:t>预算政府基金预算财政拨款支出表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cs="宋体"/>
          <w:sz w:val="32"/>
          <w:szCs w:val="32"/>
        </w:rPr>
        <w:t>八、</w:t>
      </w:r>
      <w:r>
        <w:rPr>
          <w:rFonts w:hint="eastAsia" w:ascii="宋体" w:hAnsi="宋体" w:eastAsia="宋体" w:cs="宋体"/>
          <w:sz w:val="32"/>
          <w:szCs w:val="32"/>
          <w:lang w:eastAsia="zh-CN"/>
        </w:rPr>
        <w:t>单位</w:t>
      </w:r>
      <w:r>
        <w:rPr>
          <w:rFonts w:hint="eastAsia" w:ascii="宋体" w:hAnsi="宋体" w:cs="宋体"/>
          <w:sz w:val="32"/>
          <w:szCs w:val="32"/>
        </w:rPr>
        <w:t>预算国有资本经营预算财政拨款支出表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outlineLvl w:val="0"/>
        <w:rPr>
          <w:rFonts w:hint="eastAsia" w:ascii="黑体" w:hAnsi="黑体" w:eastAsia="黑体" w:cs="黑体"/>
          <w:color w:val="000000"/>
          <w:sz w:val="44"/>
          <w:szCs w:val="44"/>
        </w:rPr>
      </w:pPr>
      <w:r>
        <w:rPr>
          <w:rFonts w:hint="eastAsia" w:ascii="宋体" w:hAnsi="宋体" w:cs="宋体"/>
          <w:sz w:val="32"/>
          <w:szCs w:val="32"/>
        </w:rPr>
        <w:t>九、</w:t>
      </w:r>
      <w:r>
        <w:rPr>
          <w:rFonts w:hint="eastAsia" w:ascii="宋体" w:hAnsi="宋体" w:eastAsia="宋体" w:cs="宋体"/>
          <w:sz w:val="32"/>
          <w:szCs w:val="32"/>
          <w:lang w:eastAsia="zh-CN"/>
        </w:rPr>
        <w:t>单位</w:t>
      </w:r>
      <w:r>
        <w:rPr>
          <w:rFonts w:hint="eastAsia" w:ascii="宋体" w:hAnsi="宋体" w:cs="宋体"/>
          <w:sz w:val="32"/>
          <w:szCs w:val="32"/>
        </w:rPr>
        <w:t>预算财政拨款“三公”经费支出</w:t>
      </w:r>
      <w:r>
        <w:rPr>
          <w:rFonts w:hint="eastAsia" w:ascii="宋体" w:hAnsi="宋体" w:eastAsia="宋体" w:cs="宋体"/>
          <w:sz w:val="32"/>
          <w:szCs w:val="32"/>
          <w:lang w:eastAsia="zh-CN"/>
        </w:rPr>
        <w:t>表</w:t>
      </w:r>
    </w:p>
    <w:p>
      <w:pPr>
        <w:keepNext w:val="0"/>
        <w:keepLines w:val="0"/>
        <w:pageBreakBefore w:val="0"/>
        <w:widowControl/>
        <w:kinsoku/>
        <w:wordWrap/>
        <w:overflowPunct/>
        <w:topLinePunct w:val="0"/>
        <w:autoSpaceDE/>
        <w:autoSpaceDN/>
        <w:bidi w:val="0"/>
        <w:adjustRightInd/>
        <w:spacing w:line="600" w:lineRule="exact"/>
        <w:ind w:firstLine="880" w:firstLineChars="200"/>
        <w:jc w:val="left"/>
        <w:textAlignment w:val="auto"/>
        <w:rPr>
          <w:rFonts w:hint="eastAsia" w:ascii="黑体" w:hAnsi="黑体" w:eastAsia="黑体" w:cs="黑体"/>
          <w:color w:val="000000"/>
          <w:sz w:val="44"/>
          <w:szCs w:val="44"/>
          <w:lang w:eastAsia="zh-CN"/>
        </w:rPr>
      </w:pPr>
    </w:p>
    <w:p>
      <w:pPr>
        <w:keepNext w:val="0"/>
        <w:keepLines w:val="0"/>
        <w:pageBreakBefore w:val="0"/>
        <w:widowControl/>
        <w:kinsoku/>
        <w:wordWrap/>
        <w:overflowPunct/>
        <w:topLinePunct w:val="0"/>
        <w:autoSpaceDE/>
        <w:autoSpaceDN/>
        <w:bidi w:val="0"/>
        <w:adjustRightInd/>
        <w:spacing w:line="600" w:lineRule="exact"/>
        <w:ind w:firstLine="640" w:firstLineChars="200"/>
        <w:jc w:val="left"/>
        <w:textAlignment w:val="auto"/>
        <w:rPr>
          <w:rFonts w:hint="eastAsia" w:ascii="黑体" w:hAnsi="黑体" w:eastAsia="黑体" w:cs="黑体"/>
          <w:color w:val="000000"/>
          <w:sz w:val="32"/>
          <w:szCs w:val="32"/>
        </w:rPr>
      </w:pPr>
      <w:r>
        <w:rPr>
          <w:rFonts w:hint="eastAsia" w:ascii="黑体" w:hAnsi="黑体" w:eastAsia="黑体" w:cs="黑体"/>
          <w:color w:val="000000"/>
          <w:sz w:val="32"/>
          <w:szCs w:val="32"/>
          <w:lang w:eastAsia="zh-CN"/>
        </w:rPr>
        <w:t>单位</w:t>
      </w:r>
      <w:r>
        <w:rPr>
          <w:rFonts w:hint="eastAsia" w:ascii="黑体" w:hAnsi="黑体" w:eastAsia="黑体" w:cs="黑体"/>
          <w:color w:val="000000"/>
          <w:sz w:val="32"/>
          <w:szCs w:val="32"/>
        </w:rPr>
        <w:t>预算</w:t>
      </w:r>
      <w:r>
        <w:rPr>
          <w:rFonts w:hint="eastAsia" w:ascii="黑体" w:hAnsi="黑体" w:eastAsia="黑体" w:cs="黑体"/>
          <w:color w:val="000000"/>
          <w:sz w:val="32"/>
          <w:szCs w:val="32"/>
          <w:lang w:eastAsia="zh-CN"/>
        </w:rPr>
        <w:t>信息</w:t>
      </w:r>
      <w:r>
        <w:rPr>
          <w:rFonts w:hint="eastAsia" w:ascii="黑体" w:hAnsi="黑体" w:eastAsia="黑体" w:cs="黑体"/>
          <w:color w:val="000000"/>
          <w:sz w:val="32"/>
          <w:szCs w:val="32"/>
        </w:rPr>
        <w:t>公开</w:t>
      </w:r>
      <w:r>
        <w:rPr>
          <w:rFonts w:hint="eastAsia" w:ascii="黑体" w:hAnsi="黑体" w:eastAsia="黑体" w:cs="黑体"/>
          <w:color w:val="000000"/>
          <w:sz w:val="32"/>
          <w:szCs w:val="32"/>
          <w:lang w:eastAsia="zh-CN"/>
        </w:rPr>
        <w:t>情况</w:t>
      </w:r>
      <w:r>
        <w:rPr>
          <w:rFonts w:hint="eastAsia" w:ascii="黑体" w:hAnsi="黑体" w:eastAsia="黑体" w:cs="黑体"/>
          <w:color w:val="000000"/>
          <w:sz w:val="32"/>
          <w:szCs w:val="32"/>
        </w:rPr>
        <w:t>说明</w:t>
      </w:r>
    </w:p>
    <w:p>
      <w:pPr>
        <w:pStyle w:val="32"/>
        <w:keepNext w:val="0"/>
        <w:keepLines w:val="0"/>
        <w:pageBreakBefore w:val="0"/>
        <w:widowControl/>
        <w:shd w:val="clear" w:color="auto" w:fill="FFFFFF"/>
        <w:kinsoku/>
        <w:wordWrap/>
        <w:overflowPunct/>
        <w:topLinePunct w:val="0"/>
        <w:autoSpaceDE/>
        <w:autoSpaceDN/>
        <w:bidi w:val="0"/>
        <w:adjustRightInd/>
        <w:spacing w:line="600" w:lineRule="exact"/>
        <w:ind w:left="0" w:leftChars="0" w:firstLine="960" w:firstLineChars="300"/>
        <w:jc w:val="left"/>
        <w:textAlignment w:val="auto"/>
        <w:rPr>
          <w:rFonts w:ascii="宋体" w:cs="Times New Roman"/>
          <w:color w:val="000000"/>
          <w:kern w:val="0"/>
          <w:sz w:val="32"/>
          <w:szCs w:val="32"/>
        </w:rPr>
      </w:pPr>
      <w:r>
        <w:rPr>
          <w:rFonts w:hint="eastAsia" w:ascii="宋体" w:hAnsi="宋体" w:cs="宋体"/>
          <w:color w:val="000000"/>
          <w:kern w:val="0"/>
          <w:sz w:val="32"/>
          <w:szCs w:val="32"/>
        </w:rPr>
        <w:t>一、</w:t>
      </w:r>
      <w:r>
        <w:rPr>
          <w:rFonts w:hint="eastAsia" w:ascii="宋体" w:hAnsi="宋体" w:eastAsia="宋体" w:cs="宋体"/>
          <w:color w:val="000000"/>
          <w:kern w:val="0"/>
          <w:sz w:val="32"/>
          <w:szCs w:val="32"/>
          <w:lang w:eastAsia="zh-CN"/>
        </w:rPr>
        <w:t>单位</w:t>
      </w:r>
      <w:r>
        <w:rPr>
          <w:rFonts w:hint="eastAsia" w:ascii="宋体" w:hAnsi="宋体" w:cs="宋体"/>
          <w:color w:val="000000"/>
          <w:kern w:val="0"/>
          <w:sz w:val="32"/>
          <w:szCs w:val="32"/>
        </w:rPr>
        <w:t>职责机构设置情况</w:t>
      </w:r>
      <w:bookmarkStart w:id="2" w:name="_GoBack"/>
      <w:bookmarkEnd w:id="2"/>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rPr>
          <w:rFonts w:ascii="宋体"/>
          <w:sz w:val="32"/>
          <w:szCs w:val="32"/>
        </w:rPr>
      </w:pPr>
      <w:r>
        <w:rPr>
          <w:rFonts w:hint="eastAsia" w:ascii="宋体" w:hAnsi="宋体" w:cs="宋体"/>
          <w:color w:val="000000"/>
          <w:kern w:val="0"/>
          <w:sz w:val="32"/>
          <w:szCs w:val="32"/>
        </w:rPr>
        <w:t>二、</w:t>
      </w:r>
      <w:r>
        <w:rPr>
          <w:rFonts w:hint="eastAsia" w:ascii="宋体" w:hAnsi="宋体" w:eastAsia="宋体" w:cs="宋体"/>
          <w:sz w:val="32"/>
          <w:szCs w:val="32"/>
          <w:lang w:eastAsia="zh-CN"/>
        </w:rPr>
        <w:t>单位</w:t>
      </w:r>
      <w:r>
        <w:rPr>
          <w:rFonts w:hint="eastAsia" w:ascii="宋体" w:hAnsi="宋体" w:cs="宋体"/>
          <w:sz w:val="32"/>
          <w:szCs w:val="32"/>
        </w:rPr>
        <w:t>预算安排总体情况</w:t>
      </w:r>
    </w:p>
    <w:p>
      <w:pPr>
        <w:pStyle w:val="32"/>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cs="Times New Roman"/>
          <w:sz w:val="32"/>
          <w:szCs w:val="32"/>
        </w:rPr>
      </w:pPr>
      <w:r>
        <w:rPr>
          <w:rFonts w:hint="eastAsia" w:ascii="宋体" w:hAnsi="宋体" w:cs="宋体"/>
          <w:sz w:val="32"/>
          <w:szCs w:val="32"/>
        </w:rPr>
        <w:t>三、机关运行经费安排情况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outlineLvl w:val="0"/>
        <w:rPr>
          <w:rFonts w:hint="eastAsia" w:ascii="宋体" w:eastAsia="宋体"/>
          <w:sz w:val="32"/>
          <w:szCs w:val="32"/>
          <w:lang w:eastAsia="zh-CN"/>
        </w:rPr>
      </w:pPr>
      <w:r>
        <w:rPr>
          <w:rFonts w:hint="eastAsia" w:ascii="宋体" w:hAnsi="宋体" w:cs="宋体"/>
          <w:sz w:val="32"/>
          <w:szCs w:val="32"/>
        </w:rPr>
        <w:t>四、财政拨款“三公”经费预算情况</w:t>
      </w:r>
      <w:r>
        <w:rPr>
          <w:rFonts w:hint="eastAsia" w:ascii="宋体" w:hAnsi="宋体" w:eastAsia="宋体" w:cs="宋体"/>
          <w:sz w:val="32"/>
          <w:szCs w:val="32"/>
          <w:lang w:eastAsia="zh-CN"/>
        </w:rPr>
        <w:t>及增减变化原因</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cs="宋体"/>
          <w:sz w:val="32"/>
          <w:szCs w:val="32"/>
        </w:rPr>
        <w:t>五、</w:t>
      </w:r>
      <w:r>
        <w:rPr>
          <w:rFonts w:hint="eastAsia" w:ascii="宋体" w:hAnsi="宋体" w:eastAsia="宋体" w:cs="宋体"/>
          <w:sz w:val="32"/>
          <w:szCs w:val="32"/>
          <w:lang w:eastAsia="zh-CN"/>
        </w:rPr>
        <w:t>单位整体绩效目标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六、单位主管专项资金预算安排情况及绩效目标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七</w:t>
      </w:r>
      <w:r>
        <w:rPr>
          <w:rFonts w:hint="eastAsia" w:ascii="宋体" w:hAnsi="宋体" w:cs="宋体"/>
          <w:sz w:val="32"/>
          <w:szCs w:val="32"/>
        </w:rPr>
        <w:t>、</w:t>
      </w:r>
      <w:r>
        <w:rPr>
          <w:rFonts w:hint="eastAsia" w:ascii="宋体" w:hAnsi="宋体" w:eastAsia="宋体" w:cs="宋体"/>
          <w:sz w:val="32"/>
          <w:szCs w:val="32"/>
          <w:lang w:eastAsia="zh-CN"/>
        </w:rPr>
        <w:t>单位项目预算安排情况及绩效目标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八、</w:t>
      </w:r>
      <w:r>
        <w:rPr>
          <w:rFonts w:hint="eastAsia" w:ascii="宋体" w:hAnsi="宋体" w:cs="宋体"/>
          <w:sz w:val="32"/>
          <w:szCs w:val="32"/>
        </w:rPr>
        <w:t>政府采购预算情况</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cs="宋体"/>
          <w:sz w:val="32"/>
          <w:szCs w:val="32"/>
        </w:rPr>
      </w:pPr>
      <w:r>
        <w:rPr>
          <w:rFonts w:hint="eastAsia" w:ascii="宋体" w:hAnsi="宋体" w:eastAsia="宋体" w:cs="宋体"/>
          <w:sz w:val="32"/>
          <w:szCs w:val="32"/>
          <w:lang w:eastAsia="zh-CN"/>
        </w:rPr>
        <w:t>九</w:t>
      </w:r>
      <w:r>
        <w:rPr>
          <w:rFonts w:hint="eastAsia" w:ascii="宋体" w:hAnsi="宋体" w:cs="宋体"/>
          <w:sz w:val="32"/>
          <w:szCs w:val="32"/>
        </w:rPr>
        <w:t>、国有资产信息</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十</w:t>
      </w:r>
      <w:r>
        <w:rPr>
          <w:rFonts w:hint="eastAsia" w:ascii="宋体" w:hAnsi="宋体" w:cs="宋体"/>
          <w:sz w:val="32"/>
          <w:szCs w:val="32"/>
        </w:rPr>
        <w:t>、名词解释</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ascii="宋体"/>
          <w:sz w:val="32"/>
          <w:szCs w:val="32"/>
        </w:rPr>
      </w:pPr>
      <w:r>
        <w:rPr>
          <w:rFonts w:hint="eastAsia" w:ascii="宋体" w:hAnsi="宋体" w:eastAsia="宋体" w:cs="宋体"/>
          <w:sz w:val="32"/>
          <w:szCs w:val="32"/>
          <w:lang w:eastAsia="zh-CN"/>
        </w:rPr>
        <w:t>十一</w:t>
      </w:r>
      <w:r>
        <w:rPr>
          <w:rFonts w:hint="eastAsia" w:ascii="宋体" w:hAnsi="宋体" w:cs="宋体"/>
          <w:sz w:val="32"/>
          <w:szCs w:val="32"/>
        </w:rPr>
        <w:t>、其他需要说明的事项</w:t>
      </w:r>
    </w:p>
    <w:p>
      <w:pPr>
        <w:keepNext w:val="0"/>
        <w:keepLines w:val="0"/>
        <w:pageBreakBefore w:val="0"/>
        <w:widowControl/>
        <w:kinsoku/>
        <w:wordWrap/>
        <w:overflowPunct/>
        <w:topLinePunct w:val="0"/>
        <w:autoSpaceDE/>
        <w:autoSpaceDN/>
        <w:bidi w:val="0"/>
        <w:adjustRightInd/>
        <w:spacing w:line="600" w:lineRule="exact"/>
        <w:ind w:firstLine="1320" w:firstLineChars="300"/>
        <w:jc w:val="left"/>
        <w:textAlignment w:val="auto"/>
        <w:rPr>
          <w:rFonts w:hint="eastAsia" w:ascii="黑体" w:hAnsi="黑体" w:eastAsia="黑体" w:cs="黑体"/>
          <w:sz w:val="44"/>
          <w:szCs w:val="44"/>
        </w:rPr>
      </w:pPr>
    </w:p>
    <w:p>
      <w:pPr>
        <w:spacing w:line="480" w:lineRule="auto"/>
        <w:ind w:firstLine="640" w:firstLineChars="200"/>
        <w:jc w:val="left"/>
        <w:rPr>
          <w:rFonts w:ascii="宋体"/>
          <w:sz w:val="32"/>
          <w:szCs w:val="32"/>
        </w:rPr>
      </w:pPr>
    </w:p>
    <w:p>
      <w:pPr>
        <w:jc w:val="center"/>
        <w:outlineLvl w:val="0"/>
        <w:rPr>
          <w:rFonts w:hint="eastAsia" w:ascii="方正小标宋_GBK" w:eastAsia="方正小标宋_GBK"/>
          <w:sz w:val="32"/>
        </w:rPr>
      </w:pPr>
    </w:p>
    <w:p>
      <w:pPr>
        <w:jc w:val="both"/>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keepNext w:val="0"/>
        <w:keepLines w:val="0"/>
        <w:pageBreakBefore w:val="0"/>
        <w:widowControl w:val="0"/>
        <w:kinsoku/>
        <w:wordWrap/>
        <w:overflowPunct/>
        <w:topLinePunct w:val="0"/>
        <w:autoSpaceDE/>
        <w:autoSpaceDN/>
        <w:bidi w:val="0"/>
        <w:adjustRightInd/>
        <w:spacing w:line="560" w:lineRule="exact"/>
        <w:ind w:firstLine="883" w:firstLineChars="200"/>
        <w:jc w:val="both"/>
        <w:textAlignment w:val="auto"/>
        <w:rPr>
          <w:rFonts w:hint="eastAsia" w:ascii="宋体" w:hAnsi="宋体" w:eastAsia="宋体" w:cs="宋体"/>
          <w:b/>
          <w:color w:val="000000"/>
          <w:kern w:val="2"/>
          <w:sz w:val="44"/>
          <w:szCs w:val="44"/>
          <w:lang w:eastAsia="zh-CN" w:bidi="ar"/>
        </w:rPr>
      </w:pPr>
    </w:p>
    <w:p>
      <w:pPr>
        <w:pStyle w:val="2"/>
        <w:ind w:left="0" w:leftChars="0" w:firstLine="0" w:firstLineChars="0"/>
        <w:rPr>
          <w:rFonts w:hint="eastAsia" w:ascii="宋体" w:hAnsi="宋体" w:eastAsia="宋体" w:cs="宋体"/>
          <w:b/>
          <w:color w:val="000000"/>
          <w:kern w:val="2"/>
          <w:sz w:val="44"/>
          <w:szCs w:val="44"/>
          <w:lang w:eastAsia="zh-CN" w:bidi="ar"/>
        </w:rPr>
      </w:pPr>
    </w:p>
    <w:p>
      <w:pPr>
        <w:rPr>
          <w:rFonts w:hint="eastAsia"/>
          <w:lang w:eastAsia="zh-CN"/>
        </w:rPr>
      </w:pPr>
    </w:p>
    <w:p>
      <w:pPr>
        <w:keepNext w:val="0"/>
        <w:keepLines w:val="0"/>
        <w:pageBreakBefore w:val="0"/>
        <w:widowControl/>
        <w:kinsoku/>
        <w:wordWrap/>
        <w:overflowPunct/>
        <w:topLinePunct w:val="0"/>
        <w:autoSpaceDE/>
        <w:autoSpaceDN/>
        <w:bidi w:val="0"/>
        <w:adjustRightInd/>
        <w:spacing w:line="600" w:lineRule="exact"/>
        <w:ind w:firstLine="4859" w:firstLineChars="1100"/>
        <w:jc w:val="left"/>
        <w:textAlignment w:val="auto"/>
        <w:rPr>
          <w:rFonts w:ascii="黑体" w:hAnsi="黑体" w:eastAsia="黑体"/>
          <w:sz w:val="44"/>
          <w:szCs w:val="44"/>
        </w:rPr>
      </w:pPr>
      <w:r>
        <w:rPr>
          <w:rFonts w:hint="eastAsia" w:ascii="宋体" w:hAnsi="宋体" w:eastAsia="宋体" w:cs="宋体"/>
          <w:b/>
          <w:color w:val="000000"/>
          <w:kern w:val="2"/>
          <w:sz w:val="44"/>
          <w:szCs w:val="44"/>
          <w:lang w:eastAsia="zh-CN" w:bidi="ar"/>
        </w:rPr>
        <w:t>202</w:t>
      </w:r>
      <w:r>
        <w:rPr>
          <w:rFonts w:hint="eastAsia" w:ascii="宋体" w:hAnsi="宋体" w:eastAsia="宋体" w:cs="宋体"/>
          <w:b/>
          <w:color w:val="000000"/>
          <w:kern w:val="2"/>
          <w:sz w:val="44"/>
          <w:szCs w:val="44"/>
          <w:lang w:val="en-US" w:eastAsia="zh-CN" w:bidi="ar"/>
        </w:rPr>
        <w:t>6</w:t>
      </w:r>
      <w:r>
        <w:rPr>
          <w:rFonts w:hint="eastAsia" w:ascii="宋体" w:hAnsi="宋体" w:eastAsia="宋体" w:cs="宋体"/>
          <w:b/>
          <w:color w:val="000000"/>
          <w:kern w:val="2"/>
          <w:sz w:val="44"/>
          <w:szCs w:val="44"/>
          <w:lang w:eastAsia="zh-CN" w:bidi="ar"/>
        </w:rPr>
        <w:t>年度</w:t>
      </w:r>
      <w:r>
        <w:rPr>
          <w:rFonts w:hint="eastAsia" w:ascii="黑体" w:hAnsi="黑体" w:eastAsia="黑体" w:cs="黑体"/>
          <w:sz w:val="44"/>
          <w:szCs w:val="44"/>
          <w:lang w:eastAsia="zh-CN"/>
        </w:rPr>
        <w:t>单位</w:t>
      </w:r>
      <w:r>
        <w:rPr>
          <w:rFonts w:hint="eastAsia" w:ascii="黑体" w:hAnsi="黑体" w:eastAsia="黑体" w:cs="黑体"/>
          <w:sz w:val="44"/>
          <w:szCs w:val="44"/>
        </w:rPr>
        <w:t>预算公开表</w:t>
      </w:r>
    </w:p>
    <w:p>
      <w:pPr>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Fonts w:hint="eastAsia" w:ascii="黑体" w:hAnsi="宋体" w:eastAsia="黑体" w:cs="宋体"/>
          <w:color w:val="000000"/>
          <w:sz w:val="32"/>
          <w:szCs w:val="32"/>
        </w:rPr>
      </w:pPr>
    </w:p>
    <w:bookmarkEnd w:id="1"/>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bookmarkEnd w:id="0"/>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5760" w:firstLineChars="1600"/>
        <w:jc w:val="both"/>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234.48</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43.43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143.82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35.32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234.48</w:t>
            </w:r>
          </w:p>
        </w:tc>
        <w:tc>
          <w:tcPr>
            <w:tcW w:w="4535" w:type="dxa"/>
            <w:vAlign w:val="center"/>
          </w:tcPr>
          <w:p>
            <w:pPr>
              <w:pStyle w:val="17"/>
            </w:pPr>
            <w:r>
              <w:t>本年支出合计</w:t>
            </w:r>
          </w:p>
        </w:tc>
        <w:tc>
          <w:tcPr>
            <w:tcW w:w="2126" w:type="dxa"/>
            <w:vAlign w:val="center"/>
          </w:tcPr>
          <w:p>
            <w:pPr>
              <w:pStyle w:val="18"/>
            </w:pPr>
            <w:r>
              <w:t>234.48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234.48</w:t>
            </w:r>
          </w:p>
        </w:tc>
        <w:tc>
          <w:tcPr>
            <w:tcW w:w="4535" w:type="dxa"/>
            <w:vAlign w:val="center"/>
          </w:tcPr>
          <w:p>
            <w:pPr>
              <w:pStyle w:val="17"/>
            </w:pPr>
            <w:r>
              <w:t>支出总计</w:t>
            </w:r>
          </w:p>
        </w:tc>
        <w:tc>
          <w:tcPr>
            <w:tcW w:w="2126" w:type="dxa"/>
            <w:vAlign w:val="center"/>
          </w:tcPr>
          <w:p>
            <w:pPr>
              <w:pStyle w:val="18"/>
            </w:pPr>
            <w:r>
              <w:t>234.48</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234.48</w:t>
            </w:r>
          </w:p>
        </w:tc>
        <w:tc>
          <w:tcPr>
            <w:tcW w:w="1134" w:type="dxa"/>
            <w:vAlign w:val="center"/>
          </w:tcPr>
          <w:p>
            <w:pPr>
              <w:pStyle w:val="18"/>
            </w:pPr>
            <w:r>
              <w:t>234.48</w:t>
            </w:r>
          </w:p>
        </w:tc>
        <w:tc>
          <w:tcPr>
            <w:tcW w:w="1134" w:type="dxa"/>
            <w:vAlign w:val="center"/>
          </w:tcPr>
          <w:p>
            <w:pPr>
              <w:pStyle w:val="18"/>
            </w:pPr>
            <w:r>
              <w:t>234.48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43.43</w:t>
            </w:r>
          </w:p>
        </w:tc>
        <w:tc>
          <w:tcPr>
            <w:tcW w:w="1134" w:type="dxa"/>
            <w:vAlign w:val="center"/>
          </w:tcPr>
          <w:p>
            <w:pPr>
              <w:pStyle w:val="14"/>
            </w:pPr>
            <w:r>
              <w:t>43.43</w:t>
            </w:r>
          </w:p>
        </w:tc>
        <w:tc>
          <w:tcPr>
            <w:tcW w:w="1134" w:type="dxa"/>
            <w:vAlign w:val="center"/>
          </w:tcPr>
          <w:p>
            <w:pPr>
              <w:pStyle w:val="14"/>
            </w:pPr>
            <w:r>
              <w:t>43.43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43.43</w:t>
            </w:r>
          </w:p>
        </w:tc>
        <w:tc>
          <w:tcPr>
            <w:tcW w:w="1134" w:type="dxa"/>
            <w:vAlign w:val="center"/>
          </w:tcPr>
          <w:p>
            <w:pPr>
              <w:pStyle w:val="14"/>
            </w:pPr>
            <w:r>
              <w:t>43.43</w:t>
            </w:r>
          </w:p>
        </w:tc>
        <w:tc>
          <w:tcPr>
            <w:tcW w:w="1134" w:type="dxa"/>
            <w:vAlign w:val="center"/>
          </w:tcPr>
          <w:p>
            <w:pPr>
              <w:pStyle w:val="14"/>
            </w:pPr>
            <w:r>
              <w:t>43.43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2080502</w:t>
            </w:r>
          </w:p>
        </w:tc>
        <w:tc>
          <w:tcPr>
            <w:tcW w:w="1559" w:type="dxa"/>
            <w:vAlign w:val="center"/>
          </w:tcPr>
          <w:p>
            <w:pPr>
              <w:pStyle w:val="15"/>
            </w:pPr>
            <w:r>
              <w:t>事业单位离退休</w:t>
            </w:r>
          </w:p>
        </w:tc>
        <w:tc>
          <w:tcPr>
            <w:tcW w:w="1134" w:type="dxa"/>
            <w:vAlign w:val="center"/>
          </w:tcPr>
          <w:p>
            <w:pPr>
              <w:pStyle w:val="14"/>
            </w:pPr>
            <w:r>
              <w:t>24.22</w:t>
            </w:r>
          </w:p>
        </w:tc>
        <w:tc>
          <w:tcPr>
            <w:tcW w:w="1134" w:type="dxa"/>
            <w:vAlign w:val="center"/>
          </w:tcPr>
          <w:p>
            <w:pPr>
              <w:pStyle w:val="14"/>
            </w:pPr>
            <w:r>
              <w:t>24.22</w:t>
            </w:r>
          </w:p>
        </w:tc>
        <w:tc>
          <w:tcPr>
            <w:tcW w:w="1134" w:type="dxa"/>
            <w:vAlign w:val="center"/>
          </w:tcPr>
          <w:p>
            <w:pPr>
              <w:pStyle w:val="14"/>
            </w:pPr>
            <w:r>
              <w:t>24.22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19.21</w:t>
            </w:r>
          </w:p>
        </w:tc>
        <w:tc>
          <w:tcPr>
            <w:tcW w:w="1134" w:type="dxa"/>
            <w:vAlign w:val="center"/>
          </w:tcPr>
          <w:p>
            <w:pPr>
              <w:pStyle w:val="14"/>
            </w:pPr>
            <w:r>
              <w:t>19.21</w:t>
            </w:r>
          </w:p>
        </w:tc>
        <w:tc>
          <w:tcPr>
            <w:tcW w:w="1134" w:type="dxa"/>
            <w:vAlign w:val="center"/>
          </w:tcPr>
          <w:p>
            <w:pPr>
              <w:pStyle w:val="14"/>
            </w:pPr>
            <w:r>
              <w:t>19.21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r>
              <w:t>11.91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21102</w:t>
            </w:r>
          </w:p>
        </w:tc>
        <w:tc>
          <w:tcPr>
            <w:tcW w:w="1559" w:type="dxa"/>
            <w:vAlign w:val="center"/>
          </w:tcPr>
          <w:p>
            <w:pPr>
              <w:pStyle w:val="15"/>
            </w:pPr>
            <w:r>
              <w:t>环境监测与监察</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2110299</w:t>
            </w:r>
          </w:p>
        </w:tc>
        <w:tc>
          <w:tcPr>
            <w:tcW w:w="1559" w:type="dxa"/>
            <w:vAlign w:val="center"/>
          </w:tcPr>
          <w:p>
            <w:pPr>
              <w:pStyle w:val="15"/>
            </w:pPr>
            <w:r>
              <w:t>其他环境监测与监察支出</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r>
              <w:t>143.82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r>
              <w:t>35.32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234.48</w:t>
            </w:r>
          </w:p>
        </w:tc>
        <w:tc>
          <w:tcPr>
            <w:tcW w:w="1361" w:type="dxa"/>
            <w:vAlign w:val="center"/>
          </w:tcPr>
          <w:p>
            <w:pPr>
              <w:pStyle w:val="18"/>
            </w:pPr>
            <w:r>
              <w:t>234.48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43.43</w:t>
            </w:r>
          </w:p>
        </w:tc>
        <w:tc>
          <w:tcPr>
            <w:tcW w:w="1361" w:type="dxa"/>
            <w:vAlign w:val="center"/>
          </w:tcPr>
          <w:p>
            <w:pPr>
              <w:pStyle w:val="14"/>
            </w:pPr>
            <w:r>
              <w:t>43.43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43.43</w:t>
            </w:r>
          </w:p>
        </w:tc>
        <w:tc>
          <w:tcPr>
            <w:tcW w:w="1361" w:type="dxa"/>
            <w:vAlign w:val="center"/>
          </w:tcPr>
          <w:p>
            <w:pPr>
              <w:pStyle w:val="14"/>
            </w:pPr>
            <w:r>
              <w:t>43.43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2080502</w:t>
            </w:r>
          </w:p>
        </w:tc>
        <w:tc>
          <w:tcPr>
            <w:tcW w:w="4535" w:type="dxa"/>
            <w:vAlign w:val="center"/>
          </w:tcPr>
          <w:p>
            <w:pPr>
              <w:pStyle w:val="15"/>
            </w:pPr>
            <w:r>
              <w:t>事业单位离退休</w:t>
            </w:r>
          </w:p>
        </w:tc>
        <w:tc>
          <w:tcPr>
            <w:tcW w:w="1361" w:type="dxa"/>
            <w:vAlign w:val="center"/>
          </w:tcPr>
          <w:p>
            <w:pPr>
              <w:pStyle w:val="14"/>
            </w:pPr>
            <w:r>
              <w:t>24.22</w:t>
            </w:r>
          </w:p>
        </w:tc>
        <w:tc>
          <w:tcPr>
            <w:tcW w:w="1361" w:type="dxa"/>
            <w:vAlign w:val="center"/>
          </w:tcPr>
          <w:p>
            <w:pPr>
              <w:pStyle w:val="14"/>
            </w:pPr>
            <w:r>
              <w:t>24.22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19.21</w:t>
            </w:r>
          </w:p>
        </w:tc>
        <w:tc>
          <w:tcPr>
            <w:tcW w:w="1361" w:type="dxa"/>
            <w:vAlign w:val="center"/>
          </w:tcPr>
          <w:p>
            <w:pPr>
              <w:pStyle w:val="14"/>
            </w:pPr>
            <w:r>
              <w:t>19.21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11.91</w:t>
            </w:r>
          </w:p>
        </w:tc>
        <w:tc>
          <w:tcPr>
            <w:tcW w:w="1361" w:type="dxa"/>
            <w:vAlign w:val="center"/>
          </w:tcPr>
          <w:p>
            <w:pPr>
              <w:pStyle w:val="14"/>
            </w:pPr>
            <w:r>
              <w:t>11.91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11.91</w:t>
            </w:r>
          </w:p>
        </w:tc>
        <w:tc>
          <w:tcPr>
            <w:tcW w:w="1361" w:type="dxa"/>
            <w:vAlign w:val="center"/>
          </w:tcPr>
          <w:p>
            <w:pPr>
              <w:pStyle w:val="14"/>
            </w:pPr>
            <w:r>
              <w:t>11.91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11.91</w:t>
            </w:r>
          </w:p>
        </w:tc>
        <w:tc>
          <w:tcPr>
            <w:tcW w:w="1361" w:type="dxa"/>
            <w:vAlign w:val="center"/>
          </w:tcPr>
          <w:p>
            <w:pPr>
              <w:pStyle w:val="14"/>
            </w:pPr>
            <w:r>
              <w:t>11.91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143.82</w:t>
            </w:r>
          </w:p>
        </w:tc>
        <w:tc>
          <w:tcPr>
            <w:tcW w:w="1361" w:type="dxa"/>
            <w:vAlign w:val="center"/>
          </w:tcPr>
          <w:p>
            <w:pPr>
              <w:pStyle w:val="14"/>
            </w:pPr>
            <w:r>
              <w:t>143.82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21102</w:t>
            </w:r>
          </w:p>
        </w:tc>
        <w:tc>
          <w:tcPr>
            <w:tcW w:w="4535" w:type="dxa"/>
            <w:vAlign w:val="center"/>
          </w:tcPr>
          <w:p>
            <w:pPr>
              <w:pStyle w:val="15"/>
            </w:pPr>
            <w:r>
              <w:t>环境监测与监察</w:t>
            </w:r>
          </w:p>
        </w:tc>
        <w:tc>
          <w:tcPr>
            <w:tcW w:w="1361" w:type="dxa"/>
            <w:vAlign w:val="center"/>
          </w:tcPr>
          <w:p>
            <w:pPr>
              <w:pStyle w:val="14"/>
            </w:pPr>
            <w:r>
              <w:t>143.82</w:t>
            </w:r>
          </w:p>
        </w:tc>
        <w:tc>
          <w:tcPr>
            <w:tcW w:w="1361" w:type="dxa"/>
            <w:vAlign w:val="center"/>
          </w:tcPr>
          <w:p>
            <w:pPr>
              <w:pStyle w:val="14"/>
            </w:pPr>
            <w:r>
              <w:t>143.82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2110299</w:t>
            </w:r>
          </w:p>
        </w:tc>
        <w:tc>
          <w:tcPr>
            <w:tcW w:w="4535" w:type="dxa"/>
            <w:vAlign w:val="center"/>
          </w:tcPr>
          <w:p>
            <w:pPr>
              <w:pStyle w:val="15"/>
            </w:pPr>
            <w:r>
              <w:t>其他环境监测与监察支出</w:t>
            </w:r>
          </w:p>
        </w:tc>
        <w:tc>
          <w:tcPr>
            <w:tcW w:w="1361" w:type="dxa"/>
            <w:vAlign w:val="center"/>
          </w:tcPr>
          <w:p>
            <w:pPr>
              <w:pStyle w:val="14"/>
            </w:pPr>
            <w:r>
              <w:t>143.82</w:t>
            </w:r>
          </w:p>
        </w:tc>
        <w:tc>
          <w:tcPr>
            <w:tcW w:w="1361" w:type="dxa"/>
            <w:vAlign w:val="center"/>
          </w:tcPr>
          <w:p>
            <w:pPr>
              <w:pStyle w:val="14"/>
            </w:pPr>
            <w:r>
              <w:t>143.82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35.32</w:t>
            </w:r>
          </w:p>
        </w:tc>
        <w:tc>
          <w:tcPr>
            <w:tcW w:w="1361" w:type="dxa"/>
            <w:vAlign w:val="center"/>
          </w:tcPr>
          <w:p>
            <w:pPr>
              <w:pStyle w:val="14"/>
            </w:pPr>
            <w:r>
              <w:t>35.32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35.32</w:t>
            </w:r>
          </w:p>
        </w:tc>
        <w:tc>
          <w:tcPr>
            <w:tcW w:w="1361" w:type="dxa"/>
            <w:vAlign w:val="center"/>
          </w:tcPr>
          <w:p>
            <w:pPr>
              <w:pStyle w:val="14"/>
            </w:pPr>
            <w:r>
              <w:t>35.32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35.32</w:t>
            </w:r>
          </w:p>
        </w:tc>
        <w:tc>
          <w:tcPr>
            <w:tcW w:w="1361" w:type="dxa"/>
            <w:vAlign w:val="center"/>
          </w:tcPr>
          <w:p>
            <w:pPr>
              <w:pStyle w:val="14"/>
            </w:pPr>
            <w:r>
              <w:t>35.32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234.48</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43.43</w:t>
            </w:r>
          </w:p>
        </w:tc>
        <w:tc>
          <w:tcPr>
            <w:tcW w:w="1474" w:type="dxa"/>
            <w:vAlign w:val="center"/>
          </w:tcPr>
          <w:p>
            <w:pPr>
              <w:pStyle w:val="14"/>
            </w:pPr>
            <w:r>
              <w:t>43.43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11.91</w:t>
            </w:r>
          </w:p>
        </w:tc>
        <w:tc>
          <w:tcPr>
            <w:tcW w:w="1474" w:type="dxa"/>
            <w:vAlign w:val="center"/>
          </w:tcPr>
          <w:p>
            <w:pPr>
              <w:pStyle w:val="14"/>
            </w:pPr>
            <w:r>
              <w:t>11.91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143.82</w:t>
            </w:r>
          </w:p>
        </w:tc>
        <w:tc>
          <w:tcPr>
            <w:tcW w:w="1474" w:type="dxa"/>
            <w:vAlign w:val="center"/>
          </w:tcPr>
          <w:p>
            <w:pPr>
              <w:pStyle w:val="14"/>
            </w:pPr>
            <w:r>
              <w:t>143.82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35.32</w:t>
            </w:r>
          </w:p>
        </w:tc>
        <w:tc>
          <w:tcPr>
            <w:tcW w:w="1474" w:type="dxa"/>
            <w:vAlign w:val="center"/>
          </w:tcPr>
          <w:p>
            <w:pPr>
              <w:pStyle w:val="14"/>
            </w:pPr>
            <w:r>
              <w:t>35.32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234.48</w:t>
            </w:r>
          </w:p>
        </w:tc>
        <w:tc>
          <w:tcPr>
            <w:tcW w:w="3402" w:type="dxa"/>
            <w:vAlign w:val="center"/>
          </w:tcPr>
          <w:p>
            <w:pPr>
              <w:pStyle w:val="17"/>
            </w:pPr>
            <w:r>
              <w:t>本年支出合计</w:t>
            </w:r>
          </w:p>
        </w:tc>
        <w:tc>
          <w:tcPr>
            <w:tcW w:w="1474" w:type="dxa"/>
            <w:vAlign w:val="center"/>
          </w:tcPr>
          <w:p>
            <w:pPr>
              <w:pStyle w:val="18"/>
            </w:pPr>
            <w:r>
              <w:t>234.48</w:t>
            </w:r>
          </w:p>
        </w:tc>
        <w:tc>
          <w:tcPr>
            <w:tcW w:w="1474" w:type="dxa"/>
            <w:vAlign w:val="center"/>
          </w:tcPr>
          <w:p>
            <w:pPr>
              <w:pStyle w:val="18"/>
            </w:pPr>
            <w:r>
              <w:t>234.48</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234.48</w:t>
            </w:r>
          </w:p>
        </w:tc>
        <w:tc>
          <w:tcPr>
            <w:tcW w:w="3402" w:type="dxa"/>
            <w:vAlign w:val="center"/>
          </w:tcPr>
          <w:p>
            <w:pPr>
              <w:pStyle w:val="17"/>
            </w:pPr>
            <w:r>
              <w:t>支出总计</w:t>
            </w:r>
          </w:p>
        </w:tc>
        <w:tc>
          <w:tcPr>
            <w:tcW w:w="1474" w:type="dxa"/>
            <w:vAlign w:val="center"/>
          </w:tcPr>
          <w:p>
            <w:pPr>
              <w:pStyle w:val="18"/>
            </w:pPr>
            <w:r>
              <w:t>234.48</w:t>
            </w:r>
          </w:p>
        </w:tc>
        <w:tc>
          <w:tcPr>
            <w:tcW w:w="1474" w:type="dxa"/>
            <w:vAlign w:val="center"/>
          </w:tcPr>
          <w:p>
            <w:pPr>
              <w:pStyle w:val="18"/>
            </w:pPr>
            <w:r>
              <w:t>234.48</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234.48</w:t>
            </w:r>
          </w:p>
        </w:tc>
        <w:tc>
          <w:tcPr>
            <w:tcW w:w="2551" w:type="dxa"/>
            <w:vAlign w:val="center"/>
          </w:tcPr>
          <w:p>
            <w:pPr>
              <w:pStyle w:val="18"/>
            </w:pPr>
            <w:r>
              <w:t>234.48</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43.43</w:t>
            </w:r>
          </w:p>
        </w:tc>
        <w:tc>
          <w:tcPr>
            <w:tcW w:w="2551" w:type="dxa"/>
            <w:vAlign w:val="center"/>
          </w:tcPr>
          <w:p>
            <w:pPr>
              <w:pStyle w:val="14"/>
            </w:pPr>
            <w:r>
              <w:t>43.43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43.43</w:t>
            </w:r>
          </w:p>
        </w:tc>
        <w:tc>
          <w:tcPr>
            <w:tcW w:w="2551" w:type="dxa"/>
            <w:vAlign w:val="center"/>
          </w:tcPr>
          <w:p>
            <w:pPr>
              <w:pStyle w:val="14"/>
            </w:pPr>
            <w:r>
              <w:t>43.43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2080502</w:t>
            </w:r>
          </w:p>
        </w:tc>
        <w:tc>
          <w:tcPr>
            <w:tcW w:w="4535" w:type="dxa"/>
            <w:vAlign w:val="center"/>
          </w:tcPr>
          <w:p>
            <w:pPr>
              <w:pStyle w:val="15"/>
            </w:pPr>
            <w:r>
              <w:t>事业单位离退休</w:t>
            </w:r>
          </w:p>
        </w:tc>
        <w:tc>
          <w:tcPr>
            <w:tcW w:w="2551" w:type="dxa"/>
            <w:vAlign w:val="center"/>
          </w:tcPr>
          <w:p>
            <w:pPr>
              <w:pStyle w:val="14"/>
            </w:pPr>
            <w:r>
              <w:t>24.22</w:t>
            </w:r>
          </w:p>
        </w:tc>
        <w:tc>
          <w:tcPr>
            <w:tcW w:w="2551" w:type="dxa"/>
            <w:vAlign w:val="center"/>
          </w:tcPr>
          <w:p>
            <w:pPr>
              <w:pStyle w:val="14"/>
            </w:pPr>
            <w:r>
              <w:t>24.22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19.21</w:t>
            </w:r>
          </w:p>
        </w:tc>
        <w:tc>
          <w:tcPr>
            <w:tcW w:w="2551" w:type="dxa"/>
            <w:vAlign w:val="center"/>
          </w:tcPr>
          <w:p>
            <w:pPr>
              <w:pStyle w:val="14"/>
            </w:pPr>
            <w:r>
              <w:t>19.21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11.91</w:t>
            </w:r>
          </w:p>
        </w:tc>
        <w:tc>
          <w:tcPr>
            <w:tcW w:w="2551" w:type="dxa"/>
            <w:vAlign w:val="center"/>
          </w:tcPr>
          <w:p>
            <w:pPr>
              <w:pStyle w:val="14"/>
            </w:pPr>
            <w:r>
              <w:t>11.91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11.91</w:t>
            </w:r>
          </w:p>
        </w:tc>
        <w:tc>
          <w:tcPr>
            <w:tcW w:w="2551" w:type="dxa"/>
            <w:vAlign w:val="center"/>
          </w:tcPr>
          <w:p>
            <w:pPr>
              <w:pStyle w:val="14"/>
            </w:pPr>
            <w:r>
              <w:t>11.91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11.91</w:t>
            </w:r>
          </w:p>
        </w:tc>
        <w:tc>
          <w:tcPr>
            <w:tcW w:w="2551" w:type="dxa"/>
            <w:vAlign w:val="center"/>
          </w:tcPr>
          <w:p>
            <w:pPr>
              <w:pStyle w:val="14"/>
            </w:pPr>
            <w:r>
              <w:t>11.91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143.82</w:t>
            </w:r>
          </w:p>
        </w:tc>
        <w:tc>
          <w:tcPr>
            <w:tcW w:w="2551" w:type="dxa"/>
            <w:vAlign w:val="center"/>
          </w:tcPr>
          <w:p>
            <w:pPr>
              <w:pStyle w:val="14"/>
            </w:pPr>
            <w:r>
              <w:t>143.82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21102</w:t>
            </w:r>
          </w:p>
        </w:tc>
        <w:tc>
          <w:tcPr>
            <w:tcW w:w="4535" w:type="dxa"/>
            <w:vAlign w:val="center"/>
          </w:tcPr>
          <w:p>
            <w:pPr>
              <w:pStyle w:val="15"/>
            </w:pPr>
            <w:r>
              <w:t>环境监测与监察</w:t>
            </w:r>
          </w:p>
        </w:tc>
        <w:tc>
          <w:tcPr>
            <w:tcW w:w="2551" w:type="dxa"/>
            <w:vAlign w:val="center"/>
          </w:tcPr>
          <w:p>
            <w:pPr>
              <w:pStyle w:val="14"/>
            </w:pPr>
            <w:r>
              <w:t>143.82</w:t>
            </w:r>
          </w:p>
        </w:tc>
        <w:tc>
          <w:tcPr>
            <w:tcW w:w="2551" w:type="dxa"/>
            <w:vAlign w:val="center"/>
          </w:tcPr>
          <w:p>
            <w:pPr>
              <w:pStyle w:val="14"/>
            </w:pPr>
            <w:r>
              <w:t>143.82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2110299</w:t>
            </w:r>
          </w:p>
        </w:tc>
        <w:tc>
          <w:tcPr>
            <w:tcW w:w="4535" w:type="dxa"/>
            <w:vAlign w:val="center"/>
          </w:tcPr>
          <w:p>
            <w:pPr>
              <w:pStyle w:val="15"/>
            </w:pPr>
            <w:r>
              <w:t>其他环境监测与监察支出</w:t>
            </w:r>
          </w:p>
        </w:tc>
        <w:tc>
          <w:tcPr>
            <w:tcW w:w="2551" w:type="dxa"/>
            <w:vAlign w:val="center"/>
          </w:tcPr>
          <w:p>
            <w:pPr>
              <w:pStyle w:val="14"/>
            </w:pPr>
            <w:r>
              <w:t>143.82</w:t>
            </w:r>
          </w:p>
        </w:tc>
        <w:tc>
          <w:tcPr>
            <w:tcW w:w="2551" w:type="dxa"/>
            <w:vAlign w:val="center"/>
          </w:tcPr>
          <w:p>
            <w:pPr>
              <w:pStyle w:val="14"/>
            </w:pPr>
            <w:r>
              <w:t>143.82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35.32</w:t>
            </w:r>
          </w:p>
        </w:tc>
        <w:tc>
          <w:tcPr>
            <w:tcW w:w="2551" w:type="dxa"/>
            <w:vAlign w:val="center"/>
          </w:tcPr>
          <w:p>
            <w:pPr>
              <w:pStyle w:val="14"/>
            </w:pPr>
            <w:r>
              <w:t>35.32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35.32</w:t>
            </w:r>
          </w:p>
        </w:tc>
        <w:tc>
          <w:tcPr>
            <w:tcW w:w="2551" w:type="dxa"/>
            <w:vAlign w:val="center"/>
          </w:tcPr>
          <w:p>
            <w:pPr>
              <w:pStyle w:val="14"/>
            </w:pPr>
            <w:r>
              <w:t>35.32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35.32</w:t>
            </w:r>
          </w:p>
        </w:tc>
        <w:tc>
          <w:tcPr>
            <w:tcW w:w="2551" w:type="dxa"/>
            <w:vAlign w:val="center"/>
          </w:tcPr>
          <w:p>
            <w:pPr>
              <w:pStyle w:val="14"/>
            </w:pPr>
            <w:r>
              <w:t>35.32</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234.48</w:t>
            </w:r>
          </w:p>
        </w:tc>
        <w:tc>
          <w:tcPr>
            <w:tcW w:w="2551" w:type="dxa"/>
            <w:vAlign w:val="center"/>
          </w:tcPr>
          <w:p>
            <w:pPr>
              <w:pStyle w:val="18"/>
            </w:pPr>
            <w:r>
              <w:t>222.89</w:t>
            </w:r>
          </w:p>
        </w:tc>
        <w:tc>
          <w:tcPr>
            <w:tcW w:w="2551" w:type="dxa"/>
            <w:vAlign w:val="center"/>
          </w:tcPr>
          <w:p>
            <w:pPr>
              <w:pStyle w:val="18"/>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198.65</w:t>
            </w:r>
          </w:p>
        </w:tc>
        <w:tc>
          <w:tcPr>
            <w:tcW w:w="2551" w:type="dxa"/>
            <w:vAlign w:val="center"/>
          </w:tcPr>
          <w:p>
            <w:pPr>
              <w:pStyle w:val="14"/>
            </w:pPr>
            <w:r>
              <w:t>198.65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51.05</w:t>
            </w:r>
          </w:p>
        </w:tc>
        <w:tc>
          <w:tcPr>
            <w:tcW w:w="2551" w:type="dxa"/>
            <w:vAlign w:val="center"/>
          </w:tcPr>
          <w:p>
            <w:pPr>
              <w:pStyle w:val="14"/>
            </w:pPr>
            <w:r>
              <w:t>51.05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14.79</w:t>
            </w:r>
          </w:p>
        </w:tc>
        <w:tc>
          <w:tcPr>
            <w:tcW w:w="2551" w:type="dxa"/>
            <w:vAlign w:val="center"/>
          </w:tcPr>
          <w:p>
            <w:pPr>
              <w:pStyle w:val="14"/>
            </w:pPr>
            <w:r>
              <w:t>14.79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5.89</w:t>
            </w:r>
          </w:p>
        </w:tc>
        <w:tc>
          <w:tcPr>
            <w:tcW w:w="2551" w:type="dxa"/>
            <w:vAlign w:val="center"/>
          </w:tcPr>
          <w:p>
            <w:pPr>
              <w:pStyle w:val="14"/>
            </w:pPr>
            <w:r>
              <w:t>5.89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59.39</w:t>
            </w:r>
          </w:p>
        </w:tc>
        <w:tc>
          <w:tcPr>
            <w:tcW w:w="2551" w:type="dxa"/>
            <w:vAlign w:val="center"/>
          </w:tcPr>
          <w:p>
            <w:pPr>
              <w:pStyle w:val="14"/>
            </w:pPr>
            <w:r>
              <w:t>59.39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19.21</w:t>
            </w:r>
          </w:p>
        </w:tc>
        <w:tc>
          <w:tcPr>
            <w:tcW w:w="2551" w:type="dxa"/>
            <w:vAlign w:val="center"/>
          </w:tcPr>
          <w:p>
            <w:pPr>
              <w:pStyle w:val="14"/>
            </w:pPr>
            <w:r>
              <w:t>19.21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11.91</w:t>
            </w:r>
          </w:p>
        </w:tc>
        <w:tc>
          <w:tcPr>
            <w:tcW w:w="2551" w:type="dxa"/>
            <w:vAlign w:val="center"/>
          </w:tcPr>
          <w:p>
            <w:pPr>
              <w:pStyle w:val="14"/>
            </w:pPr>
            <w:r>
              <w:t>11.91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1.09</w:t>
            </w:r>
          </w:p>
        </w:tc>
        <w:tc>
          <w:tcPr>
            <w:tcW w:w="2551" w:type="dxa"/>
            <w:vAlign w:val="center"/>
          </w:tcPr>
          <w:p>
            <w:pPr>
              <w:pStyle w:val="14"/>
            </w:pPr>
            <w:r>
              <w:t>1.09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35.32</w:t>
            </w:r>
          </w:p>
        </w:tc>
        <w:tc>
          <w:tcPr>
            <w:tcW w:w="2551" w:type="dxa"/>
            <w:vAlign w:val="center"/>
          </w:tcPr>
          <w:p>
            <w:pPr>
              <w:pStyle w:val="14"/>
            </w:pPr>
            <w:r>
              <w:t>35.32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11.59</w:t>
            </w:r>
          </w:p>
        </w:tc>
        <w:tc>
          <w:tcPr>
            <w:tcW w:w="2551" w:type="dxa"/>
            <w:vAlign w:val="center"/>
          </w:tcPr>
          <w:p>
            <w:pPr>
              <w:pStyle w:val="14"/>
            </w:pPr>
          </w:p>
        </w:tc>
        <w:tc>
          <w:tcPr>
            <w:tcW w:w="2551" w:type="dxa"/>
            <w:vAlign w:val="center"/>
          </w:tcPr>
          <w:p>
            <w:pPr>
              <w:pStyle w:val="14"/>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3.20</w:t>
            </w:r>
          </w:p>
        </w:tc>
        <w:tc>
          <w:tcPr>
            <w:tcW w:w="2551" w:type="dxa"/>
            <w:vAlign w:val="center"/>
          </w:tcPr>
          <w:p>
            <w:pPr>
              <w:pStyle w:val="14"/>
            </w:pPr>
          </w:p>
        </w:tc>
        <w:tc>
          <w:tcPr>
            <w:tcW w:w="2551" w:type="dxa"/>
            <w:vAlign w:val="center"/>
          </w:tcPr>
          <w:p>
            <w:pPr>
              <w:pStyle w:val="14"/>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1.08</w:t>
            </w:r>
          </w:p>
        </w:tc>
        <w:tc>
          <w:tcPr>
            <w:tcW w:w="2551" w:type="dxa"/>
            <w:vAlign w:val="center"/>
          </w:tcPr>
          <w:p>
            <w:pPr>
              <w:pStyle w:val="14"/>
            </w:pPr>
          </w:p>
        </w:tc>
        <w:tc>
          <w:tcPr>
            <w:tcW w:w="2551" w:type="dxa"/>
            <w:vAlign w:val="center"/>
          </w:tcPr>
          <w:p>
            <w:pPr>
              <w:pStyle w:val="14"/>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0.96</w:t>
            </w:r>
          </w:p>
        </w:tc>
        <w:tc>
          <w:tcPr>
            <w:tcW w:w="2551" w:type="dxa"/>
            <w:vAlign w:val="center"/>
          </w:tcPr>
          <w:p>
            <w:pPr>
              <w:pStyle w:val="14"/>
            </w:pPr>
          </w:p>
        </w:tc>
        <w:tc>
          <w:tcPr>
            <w:tcW w:w="2551" w:type="dxa"/>
            <w:vAlign w:val="center"/>
          </w:tcPr>
          <w:p>
            <w:pPr>
              <w:pStyle w:val="14"/>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4.35</w:t>
            </w:r>
          </w:p>
        </w:tc>
        <w:tc>
          <w:tcPr>
            <w:tcW w:w="2551" w:type="dxa"/>
            <w:vAlign w:val="center"/>
          </w:tcPr>
          <w:p>
            <w:pPr>
              <w:pStyle w:val="14"/>
            </w:pPr>
          </w:p>
        </w:tc>
        <w:tc>
          <w:tcPr>
            <w:tcW w:w="2551" w:type="dxa"/>
            <w:vAlign w:val="center"/>
          </w:tcPr>
          <w:p>
            <w:pPr>
              <w:pStyle w:val="14"/>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24.24</w:t>
            </w:r>
          </w:p>
        </w:tc>
        <w:tc>
          <w:tcPr>
            <w:tcW w:w="2551" w:type="dxa"/>
            <w:vAlign w:val="center"/>
          </w:tcPr>
          <w:p>
            <w:pPr>
              <w:pStyle w:val="14"/>
            </w:pPr>
            <w:r>
              <w:t>24.24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24.22</w:t>
            </w:r>
          </w:p>
        </w:tc>
        <w:tc>
          <w:tcPr>
            <w:tcW w:w="2551" w:type="dxa"/>
            <w:vAlign w:val="center"/>
          </w:tcPr>
          <w:p>
            <w:pPr>
              <w:pStyle w:val="14"/>
            </w:pPr>
            <w:r>
              <w:t>24.22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0.02</w:t>
            </w:r>
          </w:p>
        </w:tc>
        <w:tc>
          <w:tcPr>
            <w:tcW w:w="2551" w:type="dxa"/>
            <w:vAlign w:val="center"/>
          </w:tcPr>
          <w:p>
            <w:pPr>
              <w:pStyle w:val="14"/>
            </w:pPr>
            <w:r>
              <w:t>0.02</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Pr>
        <w:rPr>
          <w:rFonts w:ascii="Times New Roman" w:hAnsi="Times New Roman" w:eastAsia="方正仿宋_GBK" w:cs="Times New Roman"/>
          <w:b w:val="0"/>
          <w:color w:val="000000"/>
          <w:sz w:val="28"/>
        </w:rPr>
      </w:pPr>
    </w:p>
    <w:p>
      <w:pPr>
        <w:pStyle w:val="2"/>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w:t>
      </w:r>
      <w:r>
        <w:rPr>
          <w:rFonts w:hint="eastAsia" w:ascii="方正小标宋_GBK" w:hAnsi="方正小标宋_GBK" w:eastAsia="方正小标宋_GBK" w:cs="方正小标宋_GBK"/>
          <w:b w:val="0"/>
          <w:color w:val="000000"/>
          <w:sz w:val="44"/>
          <w:lang w:eastAsia="zh-CN"/>
        </w:rPr>
        <w:t>度</w:t>
      </w:r>
      <w:r>
        <w:rPr>
          <w:rFonts w:ascii="方正小标宋_GBK" w:hAnsi="方正小标宋_GBK" w:eastAsia="方正小标宋_GBK" w:cs="方正小标宋_GBK"/>
          <w:b w:val="0"/>
          <w:color w:val="000000"/>
          <w:sz w:val="44"/>
        </w:rPr>
        <w:t>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Pr>
        <w:rPr>
          <w:rFonts w:ascii="Times New Roman" w:hAnsi="Times New Roman" w:eastAsia="方正仿宋_GBK" w:cs="Times New Roman"/>
          <w:b w:val="0"/>
          <w:color w:val="000000"/>
          <w:sz w:val="28"/>
        </w:rPr>
      </w:pPr>
    </w:p>
    <w:p>
      <w:pPr>
        <w:pStyle w:val="2"/>
        <w:rPr>
          <w:rFonts w:ascii="Times New Roman" w:hAnsi="Times New Roman" w:eastAsia="方正仿宋_GBK" w:cs="Times New Roman"/>
          <w:b w:val="0"/>
          <w:color w:val="000000"/>
          <w:sz w:val="28"/>
        </w:rPr>
      </w:pPr>
    </w:p>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按照《中华人民共和国预算法》、《地方预决算公开操作规程》和《关于进一步推进预算公开工作的实施意见》规定，现将石家庄高新技术产业开发区生态环境综合执法大队2026年单位预算公开如下：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1.负责全区生态环境监督执法；组织开展全区生态环境保护执法检查活动；依法查处生态环境违法案件；负责农作物秸秆禁烧工作；负责生态环境信访工作；负责各级环境督查的落实工作。</w:t>
      </w:r>
    </w:p>
    <w:p>
      <w:pPr>
        <w:pStyle w:val="28"/>
      </w:pPr>
      <w:r>
        <w:t>2.负责固体废物（含一般固体废物、危险废物、电子废物等）、废弃危险化学品处置和辐射污染源的日常监督管理。</w:t>
      </w:r>
    </w:p>
    <w:p>
      <w:pPr>
        <w:pStyle w:val="28"/>
      </w:pPr>
      <w:r>
        <w:t>3.负责全区环境信息工作；负责本系统信息化建设及网络维护等工作；负责污染源监控中心运行管理工作。</w:t>
      </w:r>
    </w:p>
    <w:p>
      <w:pPr>
        <w:pStyle w:val="28"/>
      </w:pPr>
      <w:r>
        <w:t>4.负责全区机动车污染防治工作的监督管理。</w:t>
      </w:r>
    </w:p>
    <w:p>
      <w:pPr>
        <w:pStyle w:val="28"/>
      </w:pPr>
      <w:r>
        <w:t>5.拟订重特大突发环境事件和生态破坏事件的应急预案并组织实施，组织突发环境事件应急演练。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石家庄高新技术产业开发区生态环境综合执法大队</w:t>
            </w:r>
          </w:p>
        </w:tc>
        <w:tc>
          <w:tcPr>
            <w:tcW w:w="1843" w:type="dxa"/>
            <w:vAlign w:val="center"/>
          </w:tcPr>
          <w:p>
            <w:pPr>
              <w:pStyle w:val="16"/>
            </w:pPr>
            <w:r>
              <w:t>事业</w:t>
            </w:r>
          </w:p>
        </w:tc>
        <w:tc>
          <w:tcPr>
            <w:tcW w:w="2126" w:type="dxa"/>
            <w:vAlign w:val="center"/>
          </w:tcPr>
          <w:p>
            <w:pPr>
              <w:pStyle w:val="16"/>
            </w:pPr>
            <w:r>
              <w:t>正科级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234.48万元，其中：一般公共预算收入234.48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高新技术产业开发区生态环境综合执法大队年度单位预算中支出预算的总体情况。2026年支出预算234.48万元，其中基本支出234.48万元，包括人员经费222.89万元和日常公用经费11.59万元；项目支出0.00万元，主要为环境执法大队在职人员工资保险等支出，无项目支出。；预计下年使用的单位资金结余0.00万元。委托业务费共计安排0.00万元，主要用于因技术原因确需对外委托的辅助性工作和确有必要对外委托开展咨询、评审、规划等工作。</w:t>
      </w:r>
    </w:p>
    <w:p>
      <w:pPr>
        <w:pStyle w:val="29"/>
      </w:pPr>
      <w:r>
        <w:t>3、比上年增减情况</w:t>
      </w:r>
    </w:p>
    <w:p>
      <w:pPr>
        <w:pStyle w:val="29"/>
      </w:pPr>
      <w:r>
        <w:t>2026年预算收支安排234.48万元，较2025年预算减少18.85万元，其中：基本支出减少18.85万元，主要为环境执法大队在职人员工资保险调减。项目支出增加0.00万元，主要为环境执法大队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kinsoku/>
        <w:wordWrap/>
        <w:overflowPunct/>
        <w:topLinePunct w:val="0"/>
        <w:autoSpaceDE/>
        <w:autoSpaceDN/>
        <w:bidi w:val="0"/>
        <w:adjustRightInd/>
        <w:snapToGrid w:val="0"/>
        <w:spacing w:line="600" w:lineRule="exact"/>
        <w:ind w:firstLine="640" w:firstLineChars="200"/>
        <w:textAlignment w:val="auto"/>
        <w:outlineLvl w:val="0"/>
      </w:pPr>
      <w:r>
        <w:rPr>
          <w:rFonts w:hint="eastAsia" w:ascii="仿宋" w:hAnsi="仿宋" w:eastAsia="仿宋" w:cs="仿宋"/>
          <w:sz w:val="32"/>
          <w:szCs w:val="32"/>
        </w:rPr>
        <w:t>环境综合执法大队</w:t>
      </w:r>
      <w:r>
        <w:rPr>
          <w:rFonts w:hint="eastAsia" w:ascii="仿宋" w:hAnsi="仿宋" w:eastAsia="仿宋" w:cs="仿宋"/>
          <w:sz w:val="32"/>
          <w:szCs w:val="32"/>
          <w:lang w:eastAsia="zh-CN"/>
        </w:rPr>
        <w:t>为事业单位，无机关运行经费</w:t>
      </w:r>
      <w:r>
        <w:rPr>
          <w:rFonts w:hint="eastAsia" w:ascii="仿宋_GB2312" w:eastAsia="仿宋_GB2312"/>
          <w:sz w:val="32"/>
          <w:szCs w:val="32"/>
          <w:lang w:eastAsia="zh-CN"/>
        </w:rPr>
        <w:t>。</w:t>
      </w:r>
    </w:p>
    <w:p>
      <w:pPr>
        <w:pStyle w:val="3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rPr>
          <w:rFonts w:hint="eastAsia" w:eastAsia="方正仿宋_GBK"/>
          <w:lang w:eastAsia="zh-CN"/>
        </w:rPr>
      </w:pPr>
      <w:r>
        <w:rPr>
          <w:rFonts w:hint="eastAsia" w:ascii="仿宋" w:hAnsi="仿宋" w:eastAsia="仿宋" w:cs="仿宋"/>
          <w:sz w:val="32"/>
          <w:szCs w:val="32"/>
        </w:rPr>
        <w:t>环境综合执法大队</w:t>
      </w:r>
      <w:r>
        <w:rPr>
          <w:rFonts w:hint="eastAsia" w:ascii="仿宋" w:hAnsi="仿宋" w:eastAsia="仿宋" w:cs="仿宋"/>
          <w:sz w:val="32"/>
          <w:szCs w:val="32"/>
          <w:lang w:eastAsia="zh-CN"/>
        </w:rPr>
        <w:t>为事业单位</w:t>
      </w:r>
      <w:r>
        <w:rPr>
          <w:rFonts w:hint="eastAsia" w:ascii="仿宋" w:hAnsi="仿宋" w:eastAsia="仿宋" w:cs="仿宋"/>
          <w:lang w:eastAsia="zh-CN"/>
        </w:rPr>
        <w:t>无三公经费。</w:t>
      </w:r>
    </w:p>
    <w:p>
      <w:pPr>
        <w:pStyle w:val="31"/>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
        <w:numPr>
          <w:ilvl w:val="0"/>
          <w:numId w:val="0"/>
        </w:numPr>
        <w:ind w:firstLine="640" w:firstLineChars="200"/>
        <w:sectPr>
          <w:pgSz w:w="16840" w:h="11900" w:orient="landscape"/>
          <w:pgMar w:top="1361" w:right="1020" w:bottom="1361" w:left="1020" w:header="720" w:footer="720" w:gutter="0"/>
        </w:sectPr>
      </w:pPr>
      <w:r>
        <w:rPr>
          <w:rFonts w:hint="eastAsia" w:ascii="仿宋" w:hAnsi="仿宋" w:eastAsia="仿宋" w:cs="仿宋"/>
          <w:sz w:val="32"/>
          <w:szCs w:val="32"/>
        </w:rPr>
        <w:t>环境综合执法大队</w:t>
      </w:r>
      <w:r>
        <w:rPr>
          <w:rFonts w:hint="eastAsia" w:ascii="仿宋" w:hAnsi="仿宋" w:eastAsia="仿宋" w:cs="仿宋"/>
          <w:sz w:val="32"/>
          <w:szCs w:val="32"/>
          <w:lang w:eastAsia="zh-CN"/>
        </w:rPr>
        <w:t>无项目预算安排。</w:t>
      </w:r>
    </w:p>
    <w:p>
      <w:pPr>
        <w:spacing w:before="10" w:after="10" w:line="240" w:lineRule="auto"/>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石家庄高新技术产业开发区生态环境综合执法大队上年末固定资产金额为0.00万元（详见下表）。本年度拟购置固定资产总额为0.00万元，已按要求列入政府采购预算，详见政府采购预算表。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365006石家庄高新技术产业开发区生态环境综合执法大队</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p>
        </w:tc>
        <w:tc>
          <w:tcPr>
            <w:tcW w:w="2835" w:type="dxa"/>
            <w:vAlign w:val="center"/>
          </w:tcPr>
          <w:p>
            <w:pPr>
              <w:pStyle w:val="16"/>
            </w:pPr>
          </w:p>
        </w:tc>
        <w:tc>
          <w:tcPr>
            <w:tcW w:w="2835"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w:t>
      </w:r>
      <w:r>
        <w:rPr>
          <w:rFonts w:hint="eastAsia" w:eastAsia="方正仿宋_GBK" w:cs="Times New Roman"/>
          <w:b w:val="0"/>
          <w:color w:val="000000"/>
          <w:sz w:val="28"/>
          <w:lang w:eastAsia="zh-CN"/>
        </w:rPr>
        <w:t>说</w:t>
      </w:r>
      <w:r>
        <w:rPr>
          <w:rFonts w:ascii="Times New Roman" w:hAnsi="Times New Roman" w:eastAsia="方正仿宋_GBK" w:cs="Times New Roman"/>
          <w:b w:val="0"/>
          <w:color w:val="000000"/>
          <w:sz w:val="28"/>
        </w:rPr>
        <w:t>明的事项。</w:t>
      </w:r>
    </w:p>
    <w:p>
      <w:pPr>
        <w:spacing w:before="0" w:after="0" w:line="500" w:lineRule="exact"/>
        <w:ind w:firstLine="560"/>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3000502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altName w:val="Arial Unicode MS"/>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B0F10E7"/>
    <w:multiLevelType w:val="singleLevel"/>
    <w:tmpl w:val="EB0F10E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F4646"/>
    <w:rsid w:val="2BA95995"/>
    <w:rsid w:val="390C289E"/>
    <w:rsid w:val="3CD916C9"/>
    <w:rsid w:val="60857956"/>
    <w:rsid w:val="761336E1"/>
    <w:rsid w:val="7EF710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paragraph" w:styleId="2">
    <w:name w:val="heading 2"/>
    <w:basedOn w:val="1"/>
    <w:next w:val="1"/>
    <w:unhideWhenUsed/>
    <w:qFormat/>
    <w:uiPriority w:val="0"/>
    <w:pPr>
      <w:keepNext/>
      <w:keepLines/>
      <w:spacing w:beforeLines="0" w:beforeAutospacing="0" w:afterLines="0" w:afterAutospacing="0" w:line="600" w:lineRule="exact"/>
      <w:ind w:firstLine="420" w:firstLineChars="200"/>
      <w:jc w:val="left"/>
      <w:outlineLvl w:val="1"/>
    </w:pPr>
    <w:rPr>
      <w:rFonts w:ascii="Arial" w:hAnsi="Arial" w:eastAsia="黑体"/>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List Paragraph1"/>
    <w:basedOn w:val="1"/>
    <w:qFormat/>
    <w:uiPriority w:val="0"/>
    <w:pPr>
      <w:ind w:firstLine="420" w:firstLineChars="200"/>
    </w:pPr>
    <w:rPr>
      <w:rFonts w:ascii="Calibri" w:hAnsi="Calibri" w:cs="Calibri"/>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212</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2026-02-10T10:02:00Z</dcterms:created>
  <dc:creator>Administrator</dc:creator>
  <cp:lastModifiedBy>Administrator</cp:lastModifiedBy>
  <dcterms:modified xsi:type="dcterms:W3CDTF">2026-02-10T03:04:09Z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