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7651C0">
      <w:pPr>
        <w:tabs>
          <w:tab w:val="left" w:pos="600"/>
        </w:tabs>
        <w:spacing w:before="274" w:line="219" w:lineRule="auto"/>
        <w:ind w:left="60"/>
        <w:outlineLvl w:val="0"/>
        <w:rPr>
          <w:rFonts w:ascii="宋体" w:hAnsi="宋体" w:eastAsia="宋体" w:cs="宋体"/>
          <w:sz w:val="127"/>
          <w:szCs w:val="127"/>
        </w:rPr>
      </w:pPr>
      <w:r>
        <w:rPr>
          <w:rFonts w:ascii="宋体" w:hAnsi="宋体" w:eastAsia="宋体" w:cs="宋体"/>
          <w:color w:val="E06060"/>
          <w:sz w:val="127"/>
          <w:szCs w:val="127"/>
          <w:u w:val="single" w:color="FF0000"/>
        </w:rPr>
        <w:tab/>
      </w:r>
      <w:r>
        <w:rPr>
          <w:rFonts w:ascii="宋体" w:hAnsi="宋体" w:eastAsia="宋体" w:cs="宋体"/>
          <w:b/>
          <w:bCs/>
          <w:color w:val="E06060"/>
          <w:spacing w:val="-84"/>
          <w:w w:val="71"/>
          <w:sz w:val="127"/>
          <w:szCs w:val="127"/>
          <w:u w:val="single" w:color="FF0000"/>
        </w:rPr>
        <w:t>河北省工业和信息化厅</w:t>
      </w:r>
      <w:r>
        <w:rPr>
          <w:rFonts w:ascii="宋体" w:hAnsi="宋体" w:eastAsia="宋体" w:cs="宋体"/>
          <w:color w:val="E06060"/>
          <w:spacing w:val="18"/>
          <w:sz w:val="127"/>
          <w:szCs w:val="127"/>
          <w:u w:val="single" w:color="FF0000"/>
        </w:rPr>
        <w:t xml:space="preserve"> </w:t>
      </w:r>
    </w:p>
    <w:p w14:paraId="3A5195DA">
      <w:pPr>
        <w:spacing w:line="241" w:lineRule="auto"/>
        <w:rPr>
          <w:rFonts w:ascii="Arial"/>
          <w:sz w:val="21"/>
        </w:rPr>
      </w:pPr>
    </w:p>
    <w:p w14:paraId="4AF60A9E">
      <w:pPr>
        <w:spacing w:line="241" w:lineRule="auto"/>
        <w:rPr>
          <w:rFonts w:ascii="Arial"/>
          <w:sz w:val="21"/>
        </w:rPr>
      </w:pPr>
    </w:p>
    <w:p w14:paraId="65A6B490">
      <w:pPr>
        <w:spacing w:before="156" w:line="219" w:lineRule="auto"/>
        <w:ind w:left="2546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color w:val="505050"/>
          <w:spacing w:val="-44"/>
          <w:sz w:val="48"/>
          <w:szCs w:val="48"/>
        </w:rPr>
        <w:t>河北省工业和信息化厅</w:t>
      </w:r>
    </w:p>
    <w:p w14:paraId="2C62D271">
      <w:pPr>
        <w:spacing w:before="38" w:line="205" w:lineRule="auto"/>
        <w:ind w:left="996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color w:val="505050"/>
          <w:spacing w:val="-47"/>
          <w:sz w:val="48"/>
          <w:szCs w:val="48"/>
        </w:rPr>
        <w:t>关于开展优质中小企业常态化入库培育</w:t>
      </w:r>
    </w:p>
    <w:p w14:paraId="20BEA88C">
      <w:pPr>
        <w:spacing w:line="220" w:lineRule="auto"/>
        <w:ind w:left="3626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color w:val="505050"/>
          <w:spacing w:val="-36"/>
          <w:sz w:val="48"/>
          <w:szCs w:val="48"/>
        </w:rPr>
        <w:t>工作的通知</w:t>
      </w:r>
    </w:p>
    <w:p w14:paraId="4F9DEA1A">
      <w:pPr>
        <w:spacing w:line="322" w:lineRule="auto"/>
        <w:rPr>
          <w:rFonts w:ascii="Arial"/>
          <w:sz w:val="21"/>
        </w:rPr>
      </w:pPr>
    </w:p>
    <w:p w14:paraId="0A39CD20">
      <w:pPr>
        <w:spacing w:line="322" w:lineRule="auto"/>
        <w:rPr>
          <w:rFonts w:ascii="Arial"/>
          <w:sz w:val="21"/>
        </w:rPr>
      </w:pPr>
    </w:p>
    <w:p w14:paraId="1DEC8787">
      <w:pPr>
        <w:pStyle w:val="2"/>
        <w:spacing w:before="104" w:line="326" w:lineRule="auto"/>
        <w:ind w:left="210" w:right="180"/>
      </w:pPr>
      <w:r>
        <w:rPr>
          <w:spacing w:val="13"/>
        </w:rPr>
        <w:t>各市(含定州、辛集市)工业和信息化局、雄安新区工信科技数</w:t>
      </w:r>
      <w:r>
        <w:rPr>
          <w:spacing w:val="4"/>
        </w:rPr>
        <w:t xml:space="preserve"> </w:t>
      </w:r>
      <w:r>
        <w:rPr>
          <w:spacing w:val="-21"/>
        </w:rPr>
        <w:t>据局：</w:t>
      </w:r>
    </w:p>
    <w:p w14:paraId="5559AD15">
      <w:pPr>
        <w:pStyle w:val="2"/>
        <w:spacing w:before="34" w:line="328" w:lineRule="auto"/>
        <w:ind w:left="210" w:right="70" w:firstLine="619"/>
        <w:jc w:val="both"/>
      </w:pPr>
      <w:r>
        <w:rPr>
          <w:spacing w:val="-5"/>
        </w:rPr>
        <w:t>为贯彻落实工业和信息化部《关于印发&lt;优质中小企业梯度培</w:t>
      </w:r>
      <w:r>
        <w:rPr>
          <w:spacing w:val="6"/>
        </w:rPr>
        <w:t xml:space="preserve">  </w:t>
      </w:r>
      <w:r>
        <w:rPr>
          <w:spacing w:val="17"/>
        </w:rPr>
        <w:t>育管理办法&gt;的通知》(工信部企业〔2026〕2号),进一步健全</w:t>
      </w:r>
      <w:r>
        <w:rPr>
          <w:spacing w:val="1"/>
        </w:rPr>
        <w:t xml:space="preserve"> </w:t>
      </w:r>
      <w:r>
        <w:rPr>
          <w:color w:val="505050"/>
          <w:spacing w:val="-6"/>
        </w:rPr>
        <w:t>优质中小企业主动发现机制，</w:t>
      </w:r>
      <w:r>
        <w:rPr>
          <w:spacing w:val="-6"/>
        </w:rPr>
        <w:t>省厅将常态化开展瞪羚企业基础库、</w:t>
      </w:r>
      <w:r>
        <w:rPr>
          <w:spacing w:val="12"/>
        </w:rPr>
        <w:t xml:space="preserve"> </w:t>
      </w:r>
      <w:r>
        <w:rPr>
          <w:spacing w:val="-11"/>
        </w:rPr>
        <w:t>专精特新中小企业培育库和专精特新“小巨人”企业后备库入库培</w:t>
      </w:r>
      <w:r>
        <w:rPr>
          <w:spacing w:val="8"/>
        </w:rPr>
        <w:t xml:space="preserve">  </w:t>
      </w:r>
      <w:r>
        <w:rPr>
          <w:spacing w:val="-5"/>
        </w:rPr>
        <w:t>育工作。现将有关事项通知如下。</w:t>
      </w:r>
    </w:p>
    <w:p w14:paraId="54E96B49">
      <w:pPr>
        <w:spacing w:before="28" w:line="223" w:lineRule="auto"/>
        <w:ind w:left="83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一、入库条件</w:t>
      </w:r>
    </w:p>
    <w:p w14:paraId="30D480B1">
      <w:pPr>
        <w:pStyle w:val="2"/>
        <w:spacing w:before="180" w:line="280" w:lineRule="auto"/>
        <w:ind w:left="830" w:right="4085" w:firstLine="170"/>
      </w:pPr>
      <w:r>
        <w:rPr>
          <w:rFonts w:ascii="楷体" w:hAnsi="楷体" w:eastAsia="楷体" w:cs="楷体"/>
          <w:spacing w:val="1"/>
          <w:sz w:val="33"/>
          <w:szCs w:val="33"/>
        </w:rPr>
        <w:t>(一)瞪羚企业基础库入库条件</w:t>
      </w:r>
      <w:r>
        <w:rPr>
          <w:rFonts w:ascii="楷体" w:hAnsi="楷体" w:eastAsia="楷体" w:cs="楷体"/>
          <w:spacing w:val="9"/>
          <w:sz w:val="33"/>
          <w:szCs w:val="33"/>
        </w:rPr>
        <w:t xml:space="preserve"> </w:t>
      </w:r>
      <w:r>
        <w:rPr>
          <w:spacing w:val="20"/>
        </w:rPr>
        <w:t>基础条件(应同时满足)</w:t>
      </w:r>
    </w:p>
    <w:p w14:paraId="1C257FBF">
      <w:pPr>
        <w:pStyle w:val="2"/>
        <w:spacing w:before="186" w:line="222" w:lineRule="auto"/>
        <w:ind w:left="830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51"/>
          <w:sz w:val="35"/>
          <w:szCs w:val="35"/>
        </w:rPr>
        <w:t>1.</w:t>
      </w:r>
      <w:r>
        <w:rPr>
          <w:spacing w:val="-51"/>
          <w:sz w:val="35"/>
          <w:szCs w:val="35"/>
        </w:rPr>
        <w:t>有效期内的国家科技型中小企业或河北省创新型中小企业。</w:t>
      </w:r>
    </w:p>
    <w:p w14:paraId="61DBABC6">
      <w:pPr>
        <w:pStyle w:val="2"/>
        <w:spacing w:before="184" w:line="220" w:lineRule="auto"/>
        <w:ind w:left="830"/>
      </w:pPr>
      <w:r>
        <w:rPr>
          <w:rFonts w:ascii="Times New Roman" w:hAnsi="Times New Roman" w:eastAsia="Times New Roman" w:cs="Times New Roman"/>
          <w:spacing w:val="-4"/>
        </w:rPr>
        <w:t>2.</w:t>
      </w:r>
      <w:r>
        <w:rPr>
          <w:spacing w:val="-4"/>
        </w:rPr>
        <w:t>所属产业为战略性新兴产业或未来产业。</w:t>
      </w:r>
    </w:p>
    <w:p w14:paraId="5D4C47F4">
      <w:pPr>
        <w:pStyle w:val="2"/>
        <w:spacing w:before="194" w:line="278" w:lineRule="auto"/>
        <w:ind w:left="210" w:right="197" w:firstLine="619"/>
      </w:pPr>
      <w:r>
        <w:rPr>
          <w:rFonts w:ascii="Times New Roman" w:hAnsi="Times New Roman" w:eastAsia="Times New Roman" w:cs="Times New Roman"/>
          <w:spacing w:val="5"/>
        </w:rPr>
        <w:t>3.</w:t>
      </w:r>
      <w:r>
        <w:rPr>
          <w:spacing w:val="5"/>
        </w:rPr>
        <w:t>截至申报入库培育年度成立时间大于3</w:t>
      </w:r>
      <w:r>
        <w:rPr>
          <w:spacing w:val="4"/>
        </w:rPr>
        <w:t>年，不超过8年的非</w:t>
      </w:r>
      <w:r>
        <w:t xml:space="preserve"> </w:t>
      </w:r>
      <w:r>
        <w:rPr>
          <w:spacing w:val="-11"/>
        </w:rPr>
        <w:t>上市企业。</w:t>
      </w:r>
    </w:p>
    <w:p w14:paraId="10B38F62">
      <w:pPr>
        <w:pStyle w:val="2"/>
        <w:spacing w:before="215" w:line="222" w:lineRule="auto"/>
        <w:ind w:left="830"/>
      </w:pPr>
      <w:r>
        <w:rPr>
          <w:spacing w:val="5"/>
        </w:rPr>
        <w:t>4.从业人数达50人以上，近三年营业收入均超过1000万</w:t>
      </w:r>
      <w:r>
        <w:rPr>
          <w:spacing w:val="4"/>
        </w:rPr>
        <w:t>元。</w:t>
      </w:r>
    </w:p>
    <w:p w14:paraId="55FAE489">
      <w:pPr>
        <w:spacing w:line="222" w:lineRule="auto"/>
        <w:sectPr>
          <w:footerReference r:id="rId5" w:type="default"/>
          <w:pgSz w:w="11900" w:h="16830"/>
          <w:pgMar w:top="1430" w:right="1499" w:bottom="1570" w:left="999" w:header="0" w:footer="1047" w:gutter="0"/>
          <w:cols w:space="720" w:num="1"/>
        </w:sectPr>
      </w:pPr>
    </w:p>
    <w:p w14:paraId="59837940">
      <w:pPr>
        <w:pStyle w:val="2"/>
        <w:spacing w:before="221" w:line="222" w:lineRule="auto"/>
        <w:ind w:left="610"/>
        <w:rPr>
          <w:sz w:val="35"/>
          <w:szCs w:val="35"/>
        </w:rPr>
      </w:pPr>
      <w:r>
        <w:rPr>
          <w:spacing w:val="-11"/>
          <w:sz w:val="35"/>
          <w:szCs w:val="35"/>
        </w:rPr>
        <w:t>专项条件(应同时满足)</w:t>
      </w:r>
    </w:p>
    <w:p w14:paraId="28B206C6">
      <w:pPr>
        <w:pStyle w:val="2"/>
        <w:spacing w:before="183" w:line="220" w:lineRule="auto"/>
        <w:ind w:left="610"/>
      </w:pPr>
      <w:r>
        <w:rPr>
          <w:spacing w:val="-10"/>
        </w:rPr>
        <w:t>1.成长性指标。满足以下两项条件之一即可。</w:t>
      </w:r>
    </w:p>
    <w:p w14:paraId="03464E77">
      <w:pPr>
        <w:pStyle w:val="2"/>
        <w:spacing w:before="203" w:line="222" w:lineRule="auto"/>
        <w:ind w:left="610"/>
        <w:rPr>
          <w:sz w:val="35"/>
          <w:szCs w:val="35"/>
        </w:rPr>
      </w:pPr>
      <w:r>
        <w:rPr>
          <w:spacing w:val="-26"/>
          <w:sz w:val="35"/>
          <w:szCs w:val="35"/>
        </w:rPr>
        <w:t>(1)近三年年均营业收入或利润复合增长率不低于</w:t>
      </w:r>
      <w:r>
        <w:rPr>
          <w:spacing w:val="-27"/>
          <w:sz w:val="35"/>
          <w:szCs w:val="35"/>
        </w:rPr>
        <w:t>15%。</w:t>
      </w:r>
    </w:p>
    <w:p w14:paraId="769F131D">
      <w:pPr>
        <w:pStyle w:val="2"/>
        <w:spacing w:before="133" w:line="277" w:lineRule="auto"/>
        <w:ind w:firstLine="610"/>
        <w:rPr>
          <w:sz w:val="35"/>
          <w:szCs w:val="35"/>
        </w:rPr>
      </w:pPr>
      <w:r>
        <w:rPr>
          <w:spacing w:val="-27"/>
          <w:sz w:val="35"/>
          <w:szCs w:val="35"/>
        </w:rPr>
        <w:t>(2)近3年内企业获得在中国证券投资基金协会登记备案的股</w:t>
      </w:r>
      <w:r>
        <w:rPr>
          <w:spacing w:val="4"/>
          <w:sz w:val="35"/>
          <w:szCs w:val="35"/>
        </w:rPr>
        <w:t xml:space="preserve"> </w:t>
      </w:r>
      <w:r>
        <w:rPr>
          <w:spacing w:val="-26"/>
          <w:sz w:val="35"/>
          <w:szCs w:val="35"/>
        </w:rPr>
        <w:t>权投资机构(不含母公司、实际控制人或本公司持股平台的机构)</w:t>
      </w:r>
      <w:r>
        <w:rPr>
          <w:spacing w:val="5"/>
          <w:sz w:val="35"/>
          <w:szCs w:val="35"/>
        </w:rPr>
        <w:t xml:space="preserve"> </w:t>
      </w:r>
      <w:r>
        <w:rPr>
          <w:spacing w:val="-28"/>
          <w:sz w:val="35"/>
          <w:szCs w:val="35"/>
        </w:rPr>
        <w:t>投资两轮以上，且总投资额5000万元以</w:t>
      </w:r>
      <w:r>
        <w:rPr>
          <w:spacing w:val="-29"/>
          <w:sz w:val="35"/>
          <w:szCs w:val="35"/>
        </w:rPr>
        <w:t>上(或等值外币)。</w:t>
      </w:r>
    </w:p>
    <w:p w14:paraId="52663C5C">
      <w:pPr>
        <w:pStyle w:val="2"/>
        <w:spacing w:before="194" w:line="315" w:lineRule="auto"/>
        <w:ind w:right="83" w:firstLine="610"/>
        <w:rPr>
          <w:sz w:val="33"/>
          <w:szCs w:val="33"/>
        </w:rPr>
      </w:pPr>
      <w:r>
        <w:rPr>
          <w:rFonts w:ascii="Times New Roman" w:hAnsi="Times New Roman" w:eastAsia="Times New Roman" w:cs="Times New Roman"/>
          <w:spacing w:val="-11"/>
          <w:sz w:val="33"/>
          <w:szCs w:val="33"/>
        </w:rPr>
        <w:t>2.</w:t>
      </w:r>
      <w:r>
        <w:rPr>
          <w:spacing w:val="-11"/>
          <w:sz w:val="33"/>
          <w:szCs w:val="33"/>
        </w:rPr>
        <w:t>创新性指标。企业近3年研发费用总额占营业收入总额比重</w:t>
      </w:r>
      <w:r>
        <w:rPr>
          <w:spacing w:val="3"/>
          <w:sz w:val="33"/>
          <w:szCs w:val="33"/>
        </w:rPr>
        <w:t xml:space="preserve"> 均不低于4%。</w:t>
      </w:r>
    </w:p>
    <w:p w14:paraId="40B969F8">
      <w:pPr>
        <w:spacing w:before="1" w:line="220" w:lineRule="auto"/>
        <w:ind w:left="770"/>
        <w:rPr>
          <w:rFonts w:ascii="楷体" w:hAnsi="楷体" w:eastAsia="楷体" w:cs="楷体"/>
          <w:sz w:val="33"/>
          <w:szCs w:val="33"/>
        </w:rPr>
      </w:pPr>
      <w:r>
        <w:rPr>
          <w:rFonts w:ascii="楷体" w:hAnsi="楷体" w:eastAsia="楷体" w:cs="楷体"/>
          <w:spacing w:val="-3"/>
          <w:sz w:val="33"/>
          <w:szCs w:val="33"/>
        </w:rPr>
        <w:t>(二)专精特新中小企业培育库入库条件</w:t>
      </w:r>
    </w:p>
    <w:p w14:paraId="539E32B9">
      <w:pPr>
        <w:pStyle w:val="2"/>
        <w:spacing w:before="186" w:line="222" w:lineRule="auto"/>
        <w:jc w:val="right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34"/>
          <w:sz w:val="35"/>
          <w:szCs w:val="35"/>
        </w:rPr>
        <w:t>1.</w:t>
      </w:r>
      <w:r>
        <w:rPr>
          <w:spacing w:val="-34"/>
          <w:sz w:val="35"/>
          <w:szCs w:val="35"/>
        </w:rPr>
        <w:t>有效期内的国家科技型中小企业或河北省创新型中小企业。</w:t>
      </w:r>
    </w:p>
    <w:p w14:paraId="061CC60E">
      <w:pPr>
        <w:pStyle w:val="2"/>
        <w:spacing w:before="149" w:line="222" w:lineRule="auto"/>
        <w:ind w:left="610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31"/>
          <w:sz w:val="35"/>
          <w:szCs w:val="35"/>
        </w:rPr>
        <w:t>2.</w:t>
      </w:r>
      <w:r>
        <w:rPr>
          <w:spacing w:val="-31"/>
          <w:sz w:val="35"/>
          <w:szCs w:val="35"/>
        </w:rPr>
        <w:t>同时满足以下标准：</w:t>
      </w:r>
    </w:p>
    <w:p w14:paraId="4B64A4DE">
      <w:pPr>
        <w:pStyle w:val="2"/>
        <w:spacing w:before="197" w:line="281" w:lineRule="auto"/>
        <w:ind w:right="45" w:firstLine="560"/>
        <w:rPr>
          <w:rFonts w:ascii="宋体" w:hAnsi="宋体" w:eastAsia="宋体" w:cs="宋体"/>
          <w:sz w:val="33"/>
          <w:szCs w:val="33"/>
        </w:rPr>
      </w:pPr>
      <w:r>
        <w:rPr>
          <w:sz w:val="33"/>
          <w:szCs w:val="33"/>
        </w:rPr>
        <w:t>(1)上年度营业收入总额达1000万元以上，主营业务收入总</w:t>
      </w:r>
      <w:r>
        <w:rPr>
          <w:spacing w:val="6"/>
          <w:sz w:val="33"/>
          <w:szCs w:val="33"/>
        </w:rPr>
        <w:t xml:space="preserve"> </w:t>
      </w:r>
      <w:r>
        <w:rPr>
          <w:spacing w:val="15"/>
          <w:sz w:val="33"/>
          <w:szCs w:val="33"/>
        </w:rPr>
        <w:t>额占营业收入总额比重不低于75%,上年末资产负债率不超过</w:t>
      </w:r>
      <w:r>
        <w:rPr>
          <w:spacing w:val="5"/>
          <w:sz w:val="33"/>
          <w:szCs w:val="33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3"/>
          <w:szCs w:val="33"/>
        </w:rPr>
        <w:t>80%</w:t>
      </w:r>
      <w:r>
        <w:rPr>
          <w:rFonts w:ascii="宋体" w:hAnsi="宋体" w:eastAsia="宋体" w:cs="宋体"/>
          <w:spacing w:val="-10"/>
          <w:sz w:val="33"/>
          <w:szCs w:val="33"/>
        </w:rPr>
        <w:t>。</w:t>
      </w:r>
    </w:p>
    <w:p w14:paraId="23A1000D">
      <w:pPr>
        <w:pStyle w:val="2"/>
        <w:spacing w:before="236" w:line="271" w:lineRule="auto"/>
        <w:ind w:right="41" w:firstLine="560"/>
        <w:rPr>
          <w:sz w:val="33"/>
          <w:szCs w:val="33"/>
        </w:rPr>
      </w:pPr>
      <w:r>
        <w:rPr>
          <w:spacing w:val="-5"/>
          <w:sz w:val="33"/>
          <w:szCs w:val="33"/>
        </w:rPr>
        <w:t>(2)近两年研发费用均不低于100万元，且每年占营业收入比</w:t>
      </w:r>
      <w:r>
        <w:rPr>
          <w:spacing w:val="14"/>
          <w:sz w:val="33"/>
          <w:szCs w:val="33"/>
        </w:rPr>
        <w:t xml:space="preserve"> </w:t>
      </w:r>
      <w:r>
        <w:rPr>
          <w:sz w:val="33"/>
          <w:szCs w:val="33"/>
        </w:rPr>
        <w:t>重均不低于3%。</w:t>
      </w:r>
    </w:p>
    <w:p w14:paraId="4269F7DB">
      <w:pPr>
        <w:pStyle w:val="2"/>
        <w:spacing w:before="178" w:line="295" w:lineRule="auto"/>
        <w:ind w:right="87" w:firstLine="780"/>
        <w:rPr>
          <w:sz w:val="33"/>
          <w:szCs w:val="33"/>
        </w:rPr>
      </w:pPr>
      <w:r>
        <w:rPr>
          <w:spacing w:val="-7"/>
          <w:sz w:val="33"/>
          <w:szCs w:val="33"/>
        </w:rPr>
        <w:t>(3)拥有1项以上与主导产品相关的</w:t>
      </w:r>
      <w:r>
        <w:rPr>
          <w:rFonts w:ascii="Times New Roman" w:hAnsi="Times New Roman" w:eastAsia="Times New Roman" w:cs="Times New Roman"/>
          <w:spacing w:val="-7"/>
          <w:sz w:val="33"/>
          <w:szCs w:val="33"/>
        </w:rPr>
        <w:t>I</w:t>
      </w:r>
      <w:r>
        <w:rPr>
          <w:spacing w:val="-7"/>
          <w:sz w:val="33"/>
          <w:szCs w:val="33"/>
        </w:rPr>
        <w:t>类知识产权或处于申请</w:t>
      </w:r>
      <w:r>
        <w:rPr>
          <w:spacing w:val="17"/>
          <w:sz w:val="33"/>
          <w:szCs w:val="33"/>
        </w:rPr>
        <w:t xml:space="preserve"> </w:t>
      </w:r>
      <w:r>
        <w:rPr>
          <w:spacing w:val="-2"/>
          <w:sz w:val="33"/>
          <w:szCs w:val="33"/>
        </w:rPr>
        <w:t>阶段的</w:t>
      </w:r>
      <w:r>
        <w:rPr>
          <w:rFonts w:ascii="Times New Roman" w:hAnsi="Times New Roman" w:eastAsia="Times New Roman" w:cs="Times New Roman"/>
          <w:spacing w:val="-2"/>
          <w:sz w:val="33"/>
          <w:szCs w:val="33"/>
        </w:rPr>
        <w:t>I</w:t>
      </w:r>
      <w:r>
        <w:rPr>
          <w:rFonts w:ascii="Times New Roman" w:hAnsi="Times New Roman" w:eastAsia="Times New Roman" w:cs="Times New Roman"/>
          <w:spacing w:val="81"/>
          <w:w w:val="101"/>
          <w:sz w:val="33"/>
          <w:szCs w:val="33"/>
        </w:rPr>
        <w:t xml:space="preserve"> </w:t>
      </w:r>
      <w:r>
        <w:rPr>
          <w:spacing w:val="-2"/>
          <w:sz w:val="33"/>
          <w:szCs w:val="33"/>
        </w:rPr>
        <w:t>类知识产权不少于3项。企业近三年获得省部级以上科</w:t>
      </w:r>
      <w:r>
        <w:rPr>
          <w:sz w:val="33"/>
          <w:szCs w:val="33"/>
        </w:rPr>
        <w:t xml:space="preserve"> 学技术奖励(排名前三)或拥有经认定的省部级以上研发机构，</w:t>
      </w:r>
      <w:r>
        <w:rPr>
          <w:spacing w:val="3"/>
          <w:sz w:val="33"/>
          <w:szCs w:val="33"/>
        </w:rPr>
        <w:t xml:space="preserve"> </w:t>
      </w:r>
      <w:r>
        <w:rPr>
          <w:spacing w:val="-20"/>
          <w:sz w:val="33"/>
          <w:szCs w:val="33"/>
        </w:rPr>
        <w:t>不考核本项指标。</w:t>
      </w:r>
    </w:p>
    <w:p w14:paraId="7153D2C6">
      <w:pPr>
        <w:spacing w:before="183" w:line="221" w:lineRule="auto"/>
        <w:ind w:left="810"/>
        <w:rPr>
          <w:rFonts w:ascii="楷体" w:hAnsi="楷体" w:eastAsia="楷体" w:cs="楷体"/>
          <w:sz w:val="33"/>
          <w:szCs w:val="33"/>
        </w:rPr>
      </w:pPr>
      <w:r>
        <w:rPr>
          <w:rFonts w:ascii="楷体" w:hAnsi="楷体" w:eastAsia="楷体" w:cs="楷体"/>
          <w:spacing w:val="-22"/>
          <w:sz w:val="33"/>
          <w:szCs w:val="33"/>
        </w:rPr>
        <w:t>(三)专精特新“小巨人”企业后备库入库条件</w:t>
      </w:r>
    </w:p>
    <w:p w14:paraId="34D3F144">
      <w:pPr>
        <w:pStyle w:val="2"/>
        <w:spacing w:before="185" w:line="222" w:lineRule="auto"/>
        <w:ind w:left="700"/>
        <w:rPr>
          <w:sz w:val="35"/>
          <w:szCs w:val="35"/>
        </w:rPr>
      </w:pPr>
      <w:r>
        <w:rPr>
          <w:spacing w:val="-38"/>
          <w:sz w:val="35"/>
          <w:szCs w:val="35"/>
        </w:rPr>
        <w:t>1.有效期内的河北省专精特新中小企业。</w:t>
      </w:r>
    </w:p>
    <w:p w14:paraId="1BB73F64">
      <w:pPr>
        <w:pStyle w:val="2"/>
        <w:spacing w:before="170" w:line="222" w:lineRule="auto"/>
        <w:ind w:left="610"/>
        <w:rPr>
          <w:sz w:val="35"/>
          <w:szCs w:val="35"/>
        </w:rPr>
      </w:pPr>
      <w:r>
        <w:rPr>
          <w:spacing w:val="-26"/>
          <w:sz w:val="35"/>
          <w:szCs w:val="35"/>
        </w:rPr>
        <w:t>2.上年度营业收入总额达5000万元以上，主营业务收入总额</w:t>
      </w:r>
    </w:p>
    <w:p w14:paraId="5AB17ADF">
      <w:pPr>
        <w:spacing w:line="222" w:lineRule="auto"/>
        <w:rPr>
          <w:sz w:val="35"/>
          <w:szCs w:val="35"/>
        </w:rPr>
        <w:sectPr>
          <w:footerReference r:id="rId6" w:type="default"/>
          <w:pgSz w:w="11920" w:h="16830"/>
          <w:pgMar w:top="1430" w:right="1397" w:bottom="1280" w:left="1469" w:header="0" w:footer="1006" w:gutter="0"/>
          <w:cols w:space="720" w:num="1"/>
        </w:sectPr>
      </w:pPr>
    </w:p>
    <w:p w14:paraId="386E3571">
      <w:pPr>
        <w:pStyle w:val="2"/>
        <w:spacing w:before="219" w:line="309" w:lineRule="auto"/>
        <w:ind w:right="22" w:firstLine="70"/>
        <w:rPr>
          <w:sz w:val="35"/>
          <w:szCs w:val="35"/>
        </w:rPr>
      </w:pPr>
      <w:r>
        <w:rPr>
          <w:spacing w:val="-18"/>
          <w:sz w:val="35"/>
          <w:szCs w:val="35"/>
        </w:rPr>
        <w:t>占营业收入总额比重不低于80%;近两年</w:t>
      </w:r>
      <w:r>
        <w:rPr>
          <w:spacing w:val="-19"/>
          <w:sz w:val="35"/>
          <w:szCs w:val="35"/>
        </w:rPr>
        <w:t>营业收入复合增长率为</w:t>
      </w:r>
      <w:r>
        <w:rPr>
          <w:sz w:val="35"/>
          <w:szCs w:val="35"/>
        </w:rPr>
        <w:t xml:space="preserve"> </w:t>
      </w:r>
      <w:r>
        <w:rPr>
          <w:spacing w:val="-23"/>
          <w:sz w:val="35"/>
          <w:szCs w:val="35"/>
        </w:rPr>
        <w:t>正增长；上年末资产负债率不超过80%。</w:t>
      </w:r>
    </w:p>
    <w:p w14:paraId="637D1C65">
      <w:pPr>
        <w:pStyle w:val="2"/>
        <w:spacing w:before="3" w:line="264" w:lineRule="auto"/>
        <w:ind w:right="30" w:firstLine="639"/>
        <w:rPr>
          <w:sz w:val="35"/>
          <w:szCs w:val="35"/>
        </w:rPr>
      </w:pPr>
      <w:r>
        <w:rPr>
          <w:rFonts w:ascii="Times New Roman" w:hAnsi="Times New Roman" w:eastAsia="Times New Roman" w:cs="Times New Roman"/>
          <w:spacing w:val="-23"/>
          <w:sz w:val="35"/>
          <w:szCs w:val="35"/>
        </w:rPr>
        <w:t>3.</w:t>
      </w:r>
      <w:r>
        <w:rPr>
          <w:spacing w:val="-23"/>
          <w:sz w:val="35"/>
          <w:szCs w:val="35"/>
        </w:rPr>
        <w:t>近两年研发费用合计不低于1000万元，且每</w:t>
      </w:r>
      <w:r>
        <w:rPr>
          <w:spacing w:val="-24"/>
          <w:sz w:val="35"/>
          <w:szCs w:val="35"/>
        </w:rPr>
        <w:t>年研发费用占</w:t>
      </w:r>
      <w:r>
        <w:rPr>
          <w:sz w:val="35"/>
          <w:szCs w:val="35"/>
        </w:rPr>
        <w:t xml:space="preserve"> </w:t>
      </w:r>
      <w:r>
        <w:rPr>
          <w:spacing w:val="-21"/>
          <w:sz w:val="35"/>
          <w:szCs w:val="35"/>
        </w:rPr>
        <w:t>营业收入比重均不低于3%。</w:t>
      </w:r>
    </w:p>
    <w:p w14:paraId="6BFC8F38">
      <w:pPr>
        <w:pStyle w:val="2"/>
        <w:spacing w:before="171" w:line="283" w:lineRule="auto"/>
        <w:ind w:right="20" w:firstLine="639"/>
        <w:rPr>
          <w:sz w:val="35"/>
          <w:szCs w:val="35"/>
        </w:rPr>
      </w:pPr>
      <w:r>
        <w:rPr>
          <w:spacing w:val="-23"/>
          <w:sz w:val="35"/>
          <w:szCs w:val="35"/>
        </w:rPr>
        <w:t>4.拥有4项及以上与主导产品相关的</w:t>
      </w:r>
      <w:r>
        <w:rPr>
          <w:rFonts w:ascii="Times New Roman" w:hAnsi="Times New Roman" w:eastAsia="Times New Roman" w:cs="Times New Roman"/>
          <w:spacing w:val="-23"/>
          <w:sz w:val="35"/>
          <w:szCs w:val="35"/>
        </w:rPr>
        <w:t>I</w:t>
      </w:r>
      <w:r>
        <w:rPr>
          <w:rFonts w:ascii="Times New Roman" w:hAnsi="Times New Roman" w:eastAsia="Times New Roman" w:cs="Times New Roman"/>
          <w:spacing w:val="40"/>
          <w:sz w:val="35"/>
          <w:szCs w:val="35"/>
        </w:rPr>
        <w:t xml:space="preserve"> </w:t>
      </w:r>
      <w:r>
        <w:rPr>
          <w:spacing w:val="-23"/>
          <w:sz w:val="35"/>
          <w:szCs w:val="35"/>
        </w:rPr>
        <w:t>类知识产权，或拥有3</w:t>
      </w:r>
      <w:r>
        <w:rPr>
          <w:sz w:val="35"/>
          <w:szCs w:val="35"/>
        </w:rPr>
        <w:t xml:space="preserve"> </w:t>
      </w:r>
      <w:r>
        <w:rPr>
          <w:spacing w:val="-29"/>
          <w:sz w:val="35"/>
          <w:szCs w:val="35"/>
        </w:rPr>
        <w:t>项与主导产品相关的</w:t>
      </w:r>
      <w:r>
        <w:rPr>
          <w:spacing w:val="-83"/>
          <w:sz w:val="35"/>
          <w:szCs w:val="35"/>
        </w:rPr>
        <w:t xml:space="preserve"> </w:t>
      </w:r>
      <w:r>
        <w:rPr>
          <w:rFonts w:ascii="Times New Roman" w:hAnsi="Times New Roman" w:eastAsia="Times New Roman" w:cs="Times New Roman"/>
          <w:spacing w:val="-29"/>
          <w:sz w:val="35"/>
          <w:szCs w:val="35"/>
        </w:rPr>
        <w:t>I</w:t>
      </w:r>
      <w:r>
        <w:rPr>
          <w:rFonts w:ascii="Times New Roman" w:hAnsi="Times New Roman" w:eastAsia="Times New Roman" w:cs="Times New Roman"/>
          <w:spacing w:val="45"/>
          <w:sz w:val="35"/>
          <w:szCs w:val="35"/>
        </w:rPr>
        <w:t xml:space="preserve"> </w:t>
      </w:r>
      <w:r>
        <w:rPr>
          <w:spacing w:val="-29"/>
          <w:sz w:val="35"/>
          <w:szCs w:val="35"/>
        </w:rPr>
        <w:t>类知识产权，且处于申请阶段的</w:t>
      </w:r>
      <w:r>
        <w:rPr>
          <w:spacing w:val="-97"/>
          <w:sz w:val="35"/>
          <w:szCs w:val="35"/>
        </w:rPr>
        <w:t xml:space="preserve"> </w:t>
      </w:r>
      <w:r>
        <w:rPr>
          <w:rFonts w:ascii="Times New Roman" w:hAnsi="Times New Roman" w:eastAsia="Times New Roman" w:cs="Times New Roman"/>
          <w:spacing w:val="-29"/>
          <w:sz w:val="35"/>
          <w:szCs w:val="35"/>
        </w:rPr>
        <w:t>I</w:t>
      </w:r>
      <w:r>
        <w:rPr>
          <w:rFonts w:ascii="Times New Roman" w:hAnsi="Times New Roman" w:eastAsia="Times New Roman" w:cs="Times New Roman"/>
          <w:spacing w:val="55"/>
          <w:sz w:val="35"/>
          <w:szCs w:val="35"/>
        </w:rPr>
        <w:t xml:space="preserve"> </w:t>
      </w:r>
      <w:r>
        <w:rPr>
          <w:spacing w:val="-29"/>
          <w:sz w:val="35"/>
          <w:szCs w:val="35"/>
        </w:rPr>
        <w:t>类知识</w:t>
      </w:r>
      <w:r>
        <w:rPr>
          <w:sz w:val="35"/>
          <w:szCs w:val="35"/>
        </w:rPr>
        <w:t xml:space="preserve"> </w:t>
      </w:r>
      <w:r>
        <w:rPr>
          <w:spacing w:val="-12"/>
          <w:sz w:val="35"/>
          <w:szCs w:val="35"/>
        </w:rPr>
        <w:t>产权不少于3项。对近三年获得国家级科技奖励(排名前三)的</w:t>
      </w:r>
      <w:r>
        <w:rPr>
          <w:spacing w:val="13"/>
          <w:sz w:val="35"/>
          <w:szCs w:val="35"/>
        </w:rPr>
        <w:t xml:space="preserve"> </w:t>
      </w:r>
      <w:r>
        <w:rPr>
          <w:spacing w:val="-37"/>
          <w:sz w:val="35"/>
          <w:szCs w:val="35"/>
        </w:rPr>
        <w:t>企业，不考核本项指标。</w:t>
      </w:r>
    </w:p>
    <w:p w14:paraId="050C501C">
      <w:pPr>
        <w:pStyle w:val="2"/>
        <w:spacing w:before="153" w:line="219" w:lineRule="auto"/>
        <w:ind w:left="639"/>
        <w:rPr>
          <w:sz w:val="35"/>
          <w:szCs w:val="35"/>
        </w:rPr>
      </w:pPr>
      <w:r>
        <w:rPr>
          <w:spacing w:val="-35"/>
          <w:sz w:val="35"/>
          <w:szCs w:val="35"/>
        </w:rPr>
        <w:t>5.主导产品在国内或国际细分市场中有一</w:t>
      </w:r>
      <w:r>
        <w:rPr>
          <w:spacing w:val="-36"/>
          <w:sz w:val="35"/>
          <w:szCs w:val="35"/>
        </w:rPr>
        <w:t>定话语权。</w:t>
      </w:r>
    </w:p>
    <w:p w14:paraId="17A4D83E">
      <w:pPr>
        <w:pStyle w:val="2"/>
        <w:spacing w:before="180" w:line="273" w:lineRule="auto"/>
        <w:ind w:right="47" w:firstLine="639"/>
        <w:rPr>
          <w:sz w:val="35"/>
          <w:szCs w:val="35"/>
        </w:rPr>
      </w:pPr>
      <w:r>
        <w:rPr>
          <w:spacing w:val="-46"/>
          <w:sz w:val="35"/>
          <w:szCs w:val="35"/>
        </w:rPr>
        <w:t>6.主导产品属于“工业六基”,或属于改造提升传统产业、培育</w:t>
      </w:r>
      <w:r>
        <w:rPr>
          <w:spacing w:val="14"/>
          <w:sz w:val="35"/>
          <w:szCs w:val="35"/>
        </w:rPr>
        <w:t xml:space="preserve"> </w:t>
      </w:r>
      <w:r>
        <w:rPr>
          <w:spacing w:val="-30"/>
          <w:sz w:val="35"/>
          <w:szCs w:val="35"/>
        </w:rPr>
        <w:t>壮大新兴产业、布局建设未来产业，位于产业链关键环节，对提</w:t>
      </w:r>
      <w:r>
        <w:rPr>
          <w:spacing w:val="2"/>
          <w:sz w:val="35"/>
          <w:szCs w:val="35"/>
        </w:rPr>
        <w:t xml:space="preserve"> </w:t>
      </w:r>
      <w:r>
        <w:rPr>
          <w:spacing w:val="-35"/>
          <w:sz w:val="35"/>
          <w:szCs w:val="35"/>
        </w:rPr>
        <w:t>升产业链供应链韧性和安全水平发挥重要作用。</w:t>
      </w:r>
    </w:p>
    <w:p w14:paraId="4323E5CD">
      <w:pPr>
        <w:spacing w:before="186" w:line="222" w:lineRule="auto"/>
        <w:ind w:left="63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6"/>
          <w:sz w:val="32"/>
          <w:szCs w:val="32"/>
        </w:rPr>
        <w:t>二、入库程序</w:t>
      </w:r>
    </w:p>
    <w:p w14:paraId="20280985">
      <w:pPr>
        <w:pStyle w:val="2"/>
        <w:tabs>
          <w:tab w:val="left" w:pos="140"/>
        </w:tabs>
        <w:spacing w:before="208" w:line="305" w:lineRule="auto"/>
        <w:ind w:right="2" w:firstLine="780"/>
        <w:rPr>
          <w:sz w:val="33"/>
          <w:szCs w:val="33"/>
        </w:rPr>
      </w:pPr>
      <w:r>
        <w:rPr>
          <w:rFonts w:ascii="楷体" w:hAnsi="楷体" w:eastAsia="楷体" w:cs="楷体"/>
          <w:spacing w:val="-9"/>
          <w:sz w:val="33"/>
          <w:szCs w:val="33"/>
        </w:rPr>
        <w:t xml:space="preserve">(一)入库申报方式。 </w:t>
      </w:r>
      <w:r>
        <w:rPr>
          <w:spacing w:val="-9"/>
          <w:sz w:val="33"/>
          <w:szCs w:val="33"/>
        </w:rPr>
        <w:t>符合条件的企业可通过网上填报的方</w:t>
      </w:r>
      <w:r>
        <w:rPr>
          <w:spacing w:val="8"/>
          <w:sz w:val="33"/>
          <w:szCs w:val="33"/>
        </w:rPr>
        <w:t xml:space="preserve"> </w:t>
      </w:r>
      <w:r>
        <w:rPr>
          <w:spacing w:val="66"/>
          <w:sz w:val="33"/>
          <w:szCs w:val="33"/>
        </w:rPr>
        <w:t>式提交入库申请</w:t>
      </w:r>
      <w:r>
        <w:rPr>
          <w:spacing w:val="-37"/>
          <w:sz w:val="33"/>
          <w:szCs w:val="33"/>
        </w:rPr>
        <w:t xml:space="preserve"> </w:t>
      </w:r>
      <w:r>
        <w:rPr>
          <w:spacing w:val="66"/>
          <w:sz w:val="33"/>
          <w:szCs w:val="33"/>
        </w:rPr>
        <w:t>。</w:t>
      </w:r>
      <w:r>
        <w:rPr>
          <w:spacing w:val="-61"/>
          <w:sz w:val="33"/>
          <w:szCs w:val="33"/>
        </w:rPr>
        <w:t xml:space="preserve"> </w:t>
      </w:r>
      <w:r>
        <w:rPr>
          <w:spacing w:val="66"/>
          <w:sz w:val="33"/>
          <w:szCs w:val="33"/>
        </w:rPr>
        <w:t>企业登录河北工业企业服务</w:t>
      </w:r>
      <w:r>
        <w:rPr>
          <w:spacing w:val="65"/>
          <w:sz w:val="33"/>
          <w:szCs w:val="33"/>
        </w:rPr>
        <w:t>平台</w:t>
      </w:r>
      <w:r>
        <w:rPr>
          <w:sz w:val="33"/>
          <w:szCs w:val="33"/>
        </w:rPr>
        <w:t xml:space="preserve"> </w:t>
      </w:r>
      <w:r>
        <w:rPr>
          <w:rFonts w:ascii="Times New Roman" w:hAnsi="Times New Roman" w:eastAsia="Times New Roman" w:cs="Times New Roman"/>
          <w:sz w:val="33"/>
          <w:szCs w:val="33"/>
        </w:rPr>
        <w:tab/>
      </w:r>
      <w:r>
        <w:rPr>
          <w:rFonts w:ascii="Times New Roman" w:hAnsi="Times New Roman" w:eastAsia="Times New Roman" w:cs="Times New Roman"/>
          <w:spacing w:val="-5"/>
          <w:sz w:val="33"/>
          <w:szCs w:val="33"/>
        </w:rPr>
        <w:t>(</w:t>
      </w:r>
      <w:r>
        <w:fldChar w:fldCharType="begin"/>
      </w:r>
      <w:r>
        <w:instrText xml:space="preserve"> HYPERLINK "http://gxt.hebei.gov.cn/main" </w:instrText>
      </w:r>
      <w:r>
        <w:fldChar w:fldCharType="separate"/>
      </w:r>
      <w:r>
        <w:rPr>
          <w:rFonts w:ascii="Times New Roman" w:hAnsi="Times New Roman" w:eastAsia="Times New Roman" w:cs="Times New Roman"/>
          <w:spacing w:val="-5"/>
          <w:sz w:val="33"/>
          <w:szCs w:val="33"/>
        </w:rPr>
        <w:t>http://gxt.hebei.gov.cn/main</w:t>
      </w:r>
      <w:r>
        <w:rPr>
          <w:rFonts w:ascii="Times New Roman" w:hAnsi="Times New Roman" w:eastAsia="Times New Roman" w:cs="Times New Roman"/>
          <w:spacing w:val="-5"/>
          <w:sz w:val="33"/>
          <w:szCs w:val="33"/>
        </w:rPr>
        <w:fldChar w:fldCharType="end"/>
      </w:r>
      <w:r>
        <w:rPr>
          <w:rFonts w:ascii="Times New Roman" w:hAnsi="Times New Roman" w:eastAsia="Times New Roman" w:cs="Times New Roman"/>
          <w:spacing w:val="-5"/>
          <w:sz w:val="33"/>
          <w:szCs w:val="33"/>
        </w:rPr>
        <w:t>),</w:t>
      </w:r>
      <w:r>
        <w:rPr>
          <w:rFonts w:ascii="Times New Roman" w:hAnsi="Times New Roman" w:eastAsia="Times New Roman" w:cs="Times New Roman"/>
          <w:spacing w:val="35"/>
          <w:sz w:val="33"/>
          <w:szCs w:val="33"/>
        </w:rPr>
        <w:t xml:space="preserve"> </w:t>
      </w:r>
      <w:r>
        <w:rPr>
          <w:spacing w:val="-5"/>
          <w:sz w:val="33"/>
          <w:szCs w:val="33"/>
        </w:rPr>
        <w:t>选择入库类型，如实填写入库</w:t>
      </w:r>
      <w:r>
        <w:rPr>
          <w:spacing w:val="-6"/>
          <w:sz w:val="33"/>
          <w:szCs w:val="33"/>
        </w:rPr>
        <w:t>登记</w:t>
      </w:r>
      <w:r>
        <w:rPr>
          <w:sz w:val="33"/>
          <w:szCs w:val="33"/>
        </w:rPr>
        <w:t xml:space="preserve"> </w:t>
      </w:r>
      <w:r>
        <w:rPr>
          <w:spacing w:val="-8"/>
          <w:sz w:val="33"/>
          <w:szCs w:val="33"/>
        </w:rPr>
        <w:t>表，企业要对填报数据的真实性负责。入库申</w:t>
      </w:r>
      <w:r>
        <w:rPr>
          <w:spacing w:val="-9"/>
          <w:sz w:val="33"/>
          <w:szCs w:val="33"/>
        </w:rPr>
        <w:t>请全程线上办理，</w:t>
      </w:r>
      <w:r>
        <w:rPr>
          <w:sz w:val="33"/>
          <w:szCs w:val="33"/>
        </w:rPr>
        <w:t xml:space="preserve"> </w:t>
      </w:r>
      <w:r>
        <w:rPr>
          <w:spacing w:val="-16"/>
          <w:sz w:val="33"/>
          <w:szCs w:val="33"/>
        </w:rPr>
        <w:t>无需提交纸质材料。填报系统常年开放，企业可随时填报。</w:t>
      </w:r>
    </w:p>
    <w:p w14:paraId="73D96AB8">
      <w:pPr>
        <w:pStyle w:val="2"/>
        <w:spacing w:before="163" w:line="278" w:lineRule="auto"/>
        <w:ind w:firstLine="780"/>
        <w:rPr>
          <w:sz w:val="35"/>
          <w:szCs w:val="35"/>
        </w:rPr>
      </w:pPr>
      <w:r>
        <w:rPr>
          <w:rFonts w:ascii="楷体" w:hAnsi="楷体" w:eastAsia="楷体" w:cs="楷体"/>
          <w:spacing w:val="-20"/>
          <w:sz w:val="35"/>
          <w:szCs w:val="35"/>
        </w:rPr>
        <w:t>(二)市级审核推荐。</w:t>
      </w:r>
      <w:r>
        <w:rPr>
          <w:spacing w:val="-20"/>
          <w:sz w:val="35"/>
          <w:szCs w:val="35"/>
        </w:rPr>
        <w:t>各市工信局、雄安新区工信科技数据</w:t>
      </w:r>
      <w:r>
        <w:rPr>
          <w:sz w:val="35"/>
          <w:szCs w:val="35"/>
        </w:rPr>
        <w:t xml:space="preserve"> </w:t>
      </w:r>
      <w:r>
        <w:rPr>
          <w:spacing w:val="-30"/>
          <w:sz w:val="35"/>
          <w:szCs w:val="35"/>
        </w:rPr>
        <w:t>局负责对本地申请入库企业的行业范围、经营发展和创新能力等</w:t>
      </w:r>
      <w:r>
        <w:rPr>
          <w:spacing w:val="9"/>
          <w:sz w:val="35"/>
          <w:szCs w:val="35"/>
        </w:rPr>
        <w:t xml:space="preserve"> </w:t>
      </w:r>
      <w:r>
        <w:rPr>
          <w:spacing w:val="-34"/>
          <w:sz w:val="35"/>
          <w:szCs w:val="35"/>
        </w:rPr>
        <w:t>方面的核心指标进行网上审核，择优向省厅</w:t>
      </w:r>
      <w:r>
        <w:rPr>
          <w:spacing w:val="-35"/>
          <w:sz w:val="35"/>
          <w:szCs w:val="35"/>
        </w:rPr>
        <w:t>推荐。</w:t>
      </w:r>
    </w:p>
    <w:p w14:paraId="51280E41">
      <w:pPr>
        <w:pStyle w:val="2"/>
        <w:spacing w:before="154" w:line="266" w:lineRule="auto"/>
        <w:ind w:right="9" w:firstLine="780"/>
        <w:rPr>
          <w:sz w:val="35"/>
          <w:szCs w:val="35"/>
        </w:rPr>
      </w:pPr>
      <w:r>
        <w:rPr>
          <w:rFonts w:ascii="楷体" w:hAnsi="楷体" w:eastAsia="楷体" w:cs="楷体"/>
          <w:spacing w:val="-21"/>
          <w:sz w:val="35"/>
          <w:szCs w:val="35"/>
        </w:rPr>
        <w:t>(三)省级筛选确定。</w:t>
      </w:r>
      <w:r>
        <w:rPr>
          <w:spacing w:val="-21"/>
          <w:sz w:val="35"/>
          <w:szCs w:val="35"/>
        </w:rPr>
        <w:t>省厅原则上按季度对各市推荐的入库</w:t>
      </w:r>
      <w:r>
        <w:rPr>
          <w:spacing w:val="16"/>
          <w:sz w:val="35"/>
          <w:szCs w:val="35"/>
        </w:rPr>
        <w:t xml:space="preserve"> </w:t>
      </w:r>
      <w:r>
        <w:rPr>
          <w:spacing w:val="-29"/>
          <w:sz w:val="35"/>
          <w:szCs w:val="35"/>
        </w:rPr>
        <w:t>企业进行筛选，分类确定入库培育企业范围，相关审核结果线上</w:t>
      </w:r>
    </w:p>
    <w:p w14:paraId="60670CB5">
      <w:pPr>
        <w:spacing w:line="266" w:lineRule="auto"/>
        <w:rPr>
          <w:sz w:val="35"/>
          <w:szCs w:val="35"/>
        </w:rPr>
        <w:sectPr>
          <w:footerReference r:id="rId7" w:type="default"/>
          <w:pgSz w:w="11920" w:h="16830"/>
          <w:pgMar w:top="1430" w:right="1628" w:bottom="1239" w:left="1279" w:header="0" w:footer="953" w:gutter="0"/>
          <w:cols w:space="720" w:num="1"/>
        </w:sectPr>
      </w:pPr>
    </w:p>
    <w:p w14:paraId="7D079AC1">
      <w:pPr>
        <w:pStyle w:val="2"/>
        <w:spacing w:before="340" w:line="222" w:lineRule="auto"/>
      </w:pPr>
      <w:r>
        <w:rPr>
          <w:spacing w:val="-9"/>
        </w:rPr>
        <w:t>反馈给各市和企业。</w:t>
      </w:r>
    </w:p>
    <w:p w14:paraId="3537CFD2">
      <w:pPr>
        <w:spacing w:before="196" w:line="222" w:lineRule="auto"/>
        <w:ind w:left="63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三、有关要求</w:t>
      </w:r>
    </w:p>
    <w:p w14:paraId="77A507F0">
      <w:pPr>
        <w:pStyle w:val="2"/>
        <w:spacing w:before="188" w:line="295" w:lineRule="auto"/>
        <w:ind w:firstLine="779"/>
        <w:rPr>
          <w:sz w:val="33"/>
          <w:szCs w:val="33"/>
        </w:rPr>
      </w:pPr>
      <w:r>
        <w:rPr>
          <w:spacing w:val="-5"/>
          <w:sz w:val="33"/>
          <w:szCs w:val="33"/>
        </w:rPr>
        <w:t>(一)请各市工信局、雄安新区工信科技数据局高度重视，</w:t>
      </w:r>
      <w:r>
        <w:rPr>
          <w:spacing w:val="7"/>
          <w:sz w:val="33"/>
          <w:szCs w:val="33"/>
        </w:rPr>
        <w:t xml:space="preserve">  </w:t>
      </w:r>
      <w:r>
        <w:rPr>
          <w:spacing w:val="-17"/>
          <w:sz w:val="33"/>
          <w:szCs w:val="33"/>
        </w:rPr>
        <w:t>加强对入库条件的宣传解读，充分挖掘产业链供应链、股权</w:t>
      </w:r>
      <w:r>
        <w:rPr>
          <w:spacing w:val="-18"/>
          <w:sz w:val="33"/>
          <w:szCs w:val="33"/>
        </w:rPr>
        <w:t>投资、</w:t>
      </w:r>
      <w:r>
        <w:rPr>
          <w:sz w:val="33"/>
          <w:szCs w:val="33"/>
        </w:rPr>
        <w:t xml:space="preserve"> </w:t>
      </w:r>
      <w:r>
        <w:rPr>
          <w:spacing w:val="-10"/>
          <w:sz w:val="33"/>
          <w:szCs w:val="33"/>
        </w:rPr>
        <w:t>知识产权、科技奖项、人才引育等数据，常态化发现潜在优质中</w:t>
      </w:r>
      <w:r>
        <w:rPr>
          <w:sz w:val="33"/>
          <w:szCs w:val="33"/>
        </w:rPr>
        <w:t xml:space="preserve"> </w:t>
      </w:r>
      <w:r>
        <w:rPr>
          <w:spacing w:val="-17"/>
          <w:sz w:val="33"/>
          <w:szCs w:val="33"/>
        </w:rPr>
        <w:t>小企业，积极动员符合条件的企业入库。</w:t>
      </w:r>
    </w:p>
    <w:p w14:paraId="2C6267AB">
      <w:pPr>
        <w:pStyle w:val="2"/>
        <w:spacing w:before="214" w:line="308" w:lineRule="auto"/>
        <w:ind w:right="82" w:firstLine="779"/>
      </w:pPr>
      <w:r>
        <w:rPr>
          <w:spacing w:val="8"/>
        </w:rPr>
        <w:t>(二)请各市工信局、雄安新区工信科技数据局要对入库企</w:t>
      </w:r>
      <w:r>
        <w:rPr>
          <w:spacing w:val="3"/>
        </w:rPr>
        <w:t xml:space="preserve"> </w:t>
      </w:r>
      <w:r>
        <w:rPr>
          <w:spacing w:val="-1"/>
        </w:rPr>
        <w:t>业加强培育，针对本地区不同发展阶段、不同类型中小企业的特</w:t>
      </w:r>
      <w:r>
        <w:rPr>
          <w:spacing w:val="5"/>
        </w:rPr>
        <w:t xml:space="preserve"> </w:t>
      </w:r>
      <w:r>
        <w:rPr>
          <w:spacing w:val="-2"/>
        </w:rPr>
        <w:t>点和需求，强化政策支持、健全服务体系、不断优化中小企业发</w:t>
      </w:r>
      <w:r>
        <w:rPr>
          <w:spacing w:val="16"/>
        </w:rPr>
        <w:t xml:space="preserve"> </w:t>
      </w:r>
      <w:r>
        <w:rPr>
          <w:spacing w:val="-7"/>
        </w:rPr>
        <w:t>展环境，促进中小企业专精特新发展。</w:t>
      </w:r>
    </w:p>
    <w:p w14:paraId="0CB3ADF0">
      <w:pPr>
        <w:pStyle w:val="2"/>
        <w:spacing w:before="183" w:line="297" w:lineRule="auto"/>
        <w:ind w:right="102" w:firstLine="779"/>
      </w:pPr>
      <w:r>
        <w:rPr>
          <w:spacing w:val="7"/>
        </w:rPr>
        <w:t>(三)请各市工信局、雄安新区工信科技数据局于每</w:t>
      </w:r>
      <w:r>
        <w:rPr>
          <w:spacing w:val="6"/>
        </w:rPr>
        <w:t>季度最</w:t>
      </w:r>
      <w:r>
        <w:t xml:space="preserve"> </w:t>
      </w:r>
      <w:r>
        <w:rPr>
          <w:spacing w:val="11"/>
        </w:rPr>
        <w:t>后一个月25日前，将推荐入库企业分类汇总名单(盖章)报送省</w:t>
      </w:r>
      <w:r>
        <w:rPr>
          <w:spacing w:val="12"/>
        </w:rPr>
        <w:t xml:space="preserve"> </w:t>
      </w:r>
      <w:r>
        <w:rPr>
          <w:spacing w:val="-7"/>
        </w:rPr>
        <w:t>厅中小企业处，电子版发邮箱。</w:t>
      </w:r>
    </w:p>
    <w:p w14:paraId="24BEE997">
      <w:pPr>
        <w:pStyle w:val="2"/>
        <w:spacing w:before="211" w:line="223" w:lineRule="auto"/>
        <w:ind w:left="639"/>
      </w:pPr>
      <w:r>
        <w:rPr>
          <w:spacing w:val="-5"/>
        </w:rPr>
        <w:t>联系电话：0311-87802550</w:t>
      </w:r>
    </w:p>
    <w:p w14:paraId="4231DCD9">
      <w:pPr>
        <w:pStyle w:val="2"/>
        <w:spacing w:before="178" w:line="212" w:lineRule="auto"/>
        <w:ind w:left="639"/>
        <w:rPr>
          <w:rFonts w:ascii="Times New Roman" w:hAnsi="Times New Roman" w:eastAsia="Times New Roman" w:cs="Times New Roman"/>
        </w:rPr>
      </w:pPr>
      <w:r>
        <w:rPr>
          <w:spacing w:val="-3"/>
        </w:rPr>
        <w:t>邮箱：</w:t>
      </w:r>
      <w:r>
        <w:rPr>
          <w:rFonts w:ascii="Times New Roman" w:hAnsi="Times New Roman" w:eastAsia="Times New Roman" w:cs="Times New Roman"/>
          <w:spacing w:val="-3"/>
        </w:rPr>
        <w:t>hbszxqyxh2024@126.com</w:t>
      </w:r>
    </w:p>
    <w:p w14:paraId="22CD28D7">
      <w:pPr>
        <w:pStyle w:val="2"/>
        <w:spacing w:before="207" w:line="222" w:lineRule="auto"/>
        <w:ind w:left="639"/>
      </w:pPr>
      <w:r>
        <w:rPr>
          <w:spacing w:val="6"/>
        </w:rPr>
        <w:t>地址：石家庄市和平西路402号</w:t>
      </w:r>
    </w:p>
    <w:p w14:paraId="4A8D0C02">
      <w:pPr>
        <w:pStyle w:val="2"/>
        <w:spacing w:before="206" w:line="222" w:lineRule="auto"/>
        <w:ind w:left="639"/>
      </w:pPr>
      <w:r>
        <w:rPr>
          <w:spacing w:val="-6"/>
        </w:rPr>
        <w:t>附件：</w:t>
      </w:r>
      <w:r>
        <w:rPr>
          <w:rFonts w:ascii="Times New Roman" w:hAnsi="Times New Roman" w:eastAsia="Times New Roman" w:cs="Times New Roman"/>
          <w:spacing w:val="-6"/>
        </w:rPr>
        <w:t>XX</w:t>
      </w:r>
      <w:r>
        <w:rPr>
          <w:rFonts w:ascii="Times New Roman" w:hAnsi="Times New Roman" w:eastAsia="Times New Roman" w:cs="Times New Roman"/>
          <w:spacing w:val="33"/>
        </w:rPr>
        <w:t xml:space="preserve"> </w:t>
      </w:r>
      <w:r>
        <w:rPr>
          <w:spacing w:val="-6"/>
        </w:rPr>
        <w:t>市入库企业分类汇总表</w:t>
      </w:r>
    </w:p>
    <w:p w14:paraId="2ACBB63A">
      <w:pPr>
        <w:spacing w:line="250" w:lineRule="auto"/>
        <w:rPr>
          <w:rFonts w:ascii="Arial"/>
          <w:sz w:val="21"/>
        </w:rPr>
      </w:pPr>
    </w:p>
    <w:p w14:paraId="29683F4C">
      <w:pPr>
        <w:spacing w:line="250" w:lineRule="auto"/>
        <w:rPr>
          <w:rFonts w:ascii="Arial"/>
          <w:sz w:val="21"/>
        </w:rPr>
      </w:pPr>
    </w:p>
    <w:p w14:paraId="54C41E0B">
      <w:pPr>
        <w:spacing w:line="250" w:lineRule="auto"/>
        <w:rPr>
          <w:rFonts w:ascii="Arial"/>
          <w:sz w:val="21"/>
        </w:rPr>
      </w:pPr>
    </w:p>
    <w:p w14:paraId="5C512943">
      <w:pPr>
        <w:spacing w:line="250" w:lineRule="auto"/>
        <w:rPr>
          <w:rFonts w:ascii="Arial"/>
          <w:sz w:val="21"/>
        </w:rPr>
      </w:pPr>
      <w:bookmarkStart w:id="0" w:name="_GoBack"/>
      <w:bookmarkEnd w:id="0"/>
    </w:p>
    <w:p w14:paraId="75E07D81">
      <w:pPr>
        <w:spacing w:line="250" w:lineRule="auto"/>
        <w:rPr>
          <w:rFonts w:ascii="Arial"/>
          <w:sz w:val="21"/>
        </w:rPr>
      </w:pPr>
    </w:p>
    <w:p w14:paraId="4D4EB4FD">
      <w:pPr>
        <w:pStyle w:val="2"/>
        <w:spacing w:before="105" w:line="222" w:lineRule="auto"/>
        <w:ind w:left="4789"/>
      </w:pPr>
      <w:r>
        <w:rPr>
          <w:spacing w:val="-8"/>
        </w:rPr>
        <w:t>河北省工业和信息化厅</w:t>
      </w:r>
    </w:p>
    <w:p w14:paraId="4891117C">
      <w:pPr>
        <w:pStyle w:val="2"/>
        <w:spacing w:before="197" w:line="222" w:lineRule="auto"/>
        <w:ind w:left="5109"/>
      </w:pPr>
      <w:r>
        <w:rPr>
          <w:spacing w:val="38"/>
        </w:rPr>
        <w:t>2026年4月29日</w:t>
      </w:r>
    </w:p>
    <w:p w14:paraId="42A4FC0B">
      <w:pPr>
        <w:spacing w:line="222" w:lineRule="auto"/>
        <w:sectPr>
          <w:footerReference r:id="rId8" w:type="default"/>
          <w:pgSz w:w="11900" w:h="16830"/>
          <w:pgMar w:top="1430" w:right="1424" w:bottom="1187" w:left="1400" w:header="0" w:footer="887" w:gutter="0"/>
          <w:cols w:space="720" w:num="1"/>
        </w:sectPr>
      </w:pPr>
    </w:p>
    <w:p w14:paraId="2E202B44">
      <w:pPr>
        <w:spacing w:before="226" w:line="224" w:lineRule="auto"/>
        <w:ind w:left="105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8"/>
          <w:sz w:val="32"/>
          <w:szCs w:val="32"/>
        </w:rPr>
        <w:t>附件</w:t>
      </w:r>
    </w:p>
    <w:p w14:paraId="67EF058C">
      <w:pPr>
        <w:spacing w:line="279" w:lineRule="auto"/>
        <w:rPr>
          <w:rFonts w:ascii="Arial"/>
          <w:sz w:val="21"/>
        </w:rPr>
      </w:pPr>
    </w:p>
    <w:p w14:paraId="3C7B0C92">
      <w:pPr>
        <w:spacing w:before="156" w:line="219" w:lineRule="auto"/>
        <w:ind w:left="2034"/>
        <w:rPr>
          <w:rFonts w:ascii="宋体" w:hAnsi="宋体" w:eastAsia="宋体" w:cs="宋体"/>
          <w:sz w:val="48"/>
          <w:szCs w:val="48"/>
        </w:rPr>
      </w:pPr>
      <w:r>
        <w:rPr>
          <w:rFonts w:ascii="Times New Roman" w:hAnsi="Times New Roman" w:eastAsia="Times New Roman" w:cs="Times New Roman"/>
          <w:spacing w:val="-39"/>
          <w:sz w:val="48"/>
          <w:szCs w:val="48"/>
        </w:rPr>
        <w:t>XX</w:t>
      </w:r>
      <w:r>
        <w:rPr>
          <w:rFonts w:ascii="Times New Roman" w:hAnsi="Times New Roman" w:eastAsia="Times New Roman" w:cs="Times New Roman"/>
          <w:spacing w:val="-30"/>
          <w:sz w:val="48"/>
          <w:szCs w:val="48"/>
        </w:rPr>
        <w:t xml:space="preserve"> </w:t>
      </w:r>
      <w:r>
        <w:rPr>
          <w:rFonts w:ascii="宋体" w:hAnsi="宋体" w:eastAsia="宋体" w:cs="宋体"/>
          <w:b/>
          <w:bCs/>
          <w:spacing w:val="-39"/>
          <w:sz w:val="48"/>
          <w:szCs w:val="48"/>
        </w:rPr>
        <w:t>市人库企业分类汇总表</w:t>
      </w:r>
    </w:p>
    <w:p w14:paraId="4C921CEC">
      <w:pPr>
        <w:spacing w:line="453" w:lineRule="auto"/>
        <w:rPr>
          <w:rFonts w:ascii="Arial"/>
          <w:sz w:val="21"/>
        </w:rPr>
      </w:pPr>
    </w:p>
    <w:p w14:paraId="0C310ED0">
      <w:pPr>
        <w:tabs>
          <w:tab w:val="left" w:pos="1075"/>
        </w:tabs>
        <w:spacing w:before="91" w:line="219" w:lineRule="auto"/>
        <w:ind w:left="10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  <w:u w:val="single" w:color="auto"/>
        </w:rPr>
        <w:tab/>
      </w:r>
      <w:r>
        <w:rPr>
          <w:rFonts w:ascii="宋体" w:hAnsi="宋体" w:eastAsia="宋体" w:cs="宋体"/>
          <w:spacing w:val="25"/>
          <w:sz w:val="28"/>
          <w:szCs w:val="28"/>
        </w:rPr>
        <w:t>市级(新区)工信部门(盖章):</w:t>
      </w:r>
    </w:p>
    <w:p w14:paraId="6C981DAF">
      <w:pPr>
        <w:spacing w:line="153" w:lineRule="exact"/>
      </w:pPr>
    </w:p>
    <w:tbl>
      <w:tblPr>
        <w:tblStyle w:val="5"/>
        <w:tblW w:w="92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4"/>
        <w:gridCol w:w="2967"/>
        <w:gridCol w:w="1828"/>
        <w:gridCol w:w="1878"/>
        <w:gridCol w:w="1723"/>
      </w:tblGrid>
      <w:tr w14:paraId="07AB26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874" w:type="dxa"/>
            <w:vAlign w:val="top"/>
          </w:tcPr>
          <w:p w14:paraId="334D9A4E">
            <w:pPr>
              <w:spacing w:before="54" w:line="210" w:lineRule="auto"/>
              <w:ind w:left="13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9"/>
                <w:szCs w:val="29"/>
              </w:rPr>
              <w:t>序号</w:t>
            </w:r>
          </w:p>
        </w:tc>
        <w:tc>
          <w:tcPr>
            <w:tcW w:w="2967" w:type="dxa"/>
            <w:vAlign w:val="top"/>
          </w:tcPr>
          <w:p w14:paraId="1161FB95">
            <w:pPr>
              <w:spacing w:before="55" w:line="209" w:lineRule="auto"/>
              <w:ind w:left="935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9"/>
                <w:szCs w:val="29"/>
              </w:rPr>
              <w:t>企业名称</w:t>
            </w:r>
          </w:p>
        </w:tc>
        <w:tc>
          <w:tcPr>
            <w:tcW w:w="1828" w:type="dxa"/>
            <w:vAlign w:val="top"/>
          </w:tcPr>
          <w:p w14:paraId="00AFD81F">
            <w:pPr>
              <w:spacing w:before="52" w:line="211" w:lineRule="auto"/>
              <w:ind w:left="368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9"/>
                <w:szCs w:val="29"/>
              </w:rPr>
              <w:t>所在市县</w:t>
            </w:r>
          </w:p>
        </w:tc>
        <w:tc>
          <w:tcPr>
            <w:tcW w:w="1878" w:type="dxa"/>
            <w:vAlign w:val="top"/>
          </w:tcPr>
          <w:p w14:paraId="5B342F92">
            <w:pPr>
              <w:spacing w:before="52" w:line="211" w:lineRule="auto"/>
              <w:ind w:left="390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b/>
                <w:bCs/>
                <w:spacing w:val="-1"/>
                <w:sz w:val="29"/>
                <w:szCs w:val="29"/>
              </w:rPr>
              <w:t>入库类型</w:t>
            </w:r>
          </w:p>
        </w:tc>
        <w:tc>
          <w:tcPr>
            <w:tcW w:w="1723" w:type="dxa"/>
            <w:vAlign w:val="top"/>
          </w:tcPr>
          <w:p w14:paraId="35AF799F">
            <w:pPr>
              <w:spacing w:before="54" w:line="210" w:lineRule="auto"/>
              <w:ind w:left="592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b/>
                <w:bCs/>
                <w:sz w:val="29"/>
                <w:szCs w:val="29"/>
              </w:rPr>
              <w:t>备注</w:t>
            </w:r>
          </w:p>
        </w:tc>
      </w:tr>
      <w:tr w14:paraId="625599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7" w:hRule="atLeast"/>
        </w:trPr>
        <w:tc>
          <w:tcPr>
            <w:tcW w:w="874" w:type="dxa"/>
            <w:vAlign w:val="top"/>
          </w:tcPr>
          <w:p w14:paraId="5505CB7E">
            <w:pPr>
              <w:pStyle w:val="6"/>
              <w:spacing w:line="272" w:lineRule="auto"/>
            </w:pPr>
          </w:p>
          <w:p w14:paraId="4223AF51">
            <w:pPr>
              <w:spacing w:before="65" w:line="241" w:lineRule="auto"/>
              <w:ind w:left="3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2967" w:type="dxa"/>
            <w:vAlign w:val="top"/>
          </w:tcPr>
          <w:p w14:paraId="0166DBCB">
            <w:pPr>
              <w:pStyle w:val="6"/>
            </w:pPr>
          </w:p>
        </w:tc>
        <w:tc>
          <w:tcPr>
            <w:tcW w:w="1828" w:type="dxa"/>
            <w:vAlign w:val="top"/>
          </w:tcPr>
          <w:p w14:paraId="3A552A23">
            <w:pPr>
              <w:pStyle w:val="6"/>
            </w:pPr>
          </w:p>
        </w:tc>
        <w:tc>
          <w:tcPr>
            <w:tcW w:w="1878" w:type="dxa"/>
            <w:vAlign w:val="top"/>
          </w:tcPr>
          <w:p w14:paraId="18E70FCF">
            <w:pPr>
              <w:pStyle w:val="6"/>
            </w:pPr>
          </w:p>
        </w:tc>
        <w:tc>
          <w:tcPr>
            <w:tcW w:w="1723" w:type="dxa"/>
            <w:vAlign w:val="top"/>
          </w:tcPr>
          <w:p w14:paraId="4FB6ACDE">
            <w:pPr>
              <w:pStyle w:val="6"/>
            </w:pPr>
          </w:p>
        </w:tc>
      </w:tr>
      <w:tr w14:paraId="092CDF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8" w:hRule="atLeast"/>
        </w:trPr>
        <w:tc>
          <w:tcPr>
            <w:tcW w:w="874" w:type="dxa"/>
            <w:vAlign w:val="top"/>
          </w:tcPr>
          <w:p w14:paraId="07012C61">
            <w:pPr>
              <w:pStyle w:val="6"/>
              <w:spacing w:line="275" w:lineRule="auto"/>
            </w:pPr>
          </w:p>
          <w:p w14:paraId="53BF7CBD">
            <w:pPr>
              <w:spacing w:before="65" w:line="241" w:lineRule="auto"/>
              <w:ind w:left="3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2967" w:type="dxa"/>
            <w:vAlign w:val="top"/>
          </w:tcPr>
          <w:p w14:paraId="4E333CD3">
            <w:pPr>
              <w:pStyle w:val="6"/>
            </w:pPr>
          </w:p>
        </w:tc>
        <w:tc>
          <w:tcPr>
            <w:tcW w:w="1828" w:type="dxa"/>
            <w:vAlign w:val="top"/>
          </w:tcPr>
          <w:p w14:paraId="456AB60D">
            <w:pPr>
              <w:pStyle w:val="6"/>
            </w:pPr>
          </w:p>
        </w:tc>
        <w:tc>
          <w:tcPr>
            <w:tcW w:w="1878" w:type="dxa"/>
            <w:vAlign w:val="top"/>
          </w:tcPr>
          <w:p w14:paraId="49437D18">
            <w:pPr>
              <w:pStyle w:val="6"/>
            </w:pPr>
          </w:p>
        </w:tc>
        <w:tc>
          <w:tcPr>
            <w:tcW w:w="1723" w:type="dxa"/>
            <w:vAlign w:val="top"/>
          </w:tcPr>
          <w:p w14:paraId="00AB4A03">
            <w:pPr>
              <w:pStyle w:val="6"/>
            </w:pPr>
          </w:p>
        </w:tc>
      </w:tr>
      <w:tr w14:paraId="58EF53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874" w:type="dxa"/>
            <w:vAlign w:val="top"/>
          </w:tcPr>
          <w:p w14:paraId="3361AAC8">
            <w:pPr>
              <w:pStyle w:val="6"/>
              <w:spacing w:line="276" w:lineRule="auto"/>
            </w:pPr>
          </w:p>
          <w:p w14:paraId="75422B58">
            <w:pPr>
              <w:spacing w:before="65"/>
              <w:ind w:left="37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2967" w:type="dxa"/>
            <w:vAlign w:val="top"/>
          </w:tcPr>
          <w:p w14:paraId="09BF45DE">
            <w:pPr>
              <w:pStyle w:val="6"/>
            </w:pPr>
          </w:p>
        </w:tc>
        <w:tc>
          <w:tcPr>
            <w:tcW w:w="1828" w:type="dxa"/>
            <w:vAlign w:val="top"/>
          </w:tcPr>
          <w:p w14:paraId="32876DE5">
            <w:pPr>
              <w:pStyle w:val="6"/>
            </w:pPr>
          </w:p>
        </w:tc>
        <w:tc>
          <w:tcPr>
            <w:tcW w:w="1878" w:type="dxa"/>
            <w:vAlign w:val="top"/>
          </w:tcPr>
          <w:p w14:paraId="55099665">
            <w:pPr>
              <w:pStyle w:val="6"/>
            </w:pPr>
          </w:p>
        </w:tc>
        <w:tc>
          <w:tcPr>
            <w:tcW w:w="1723" w:type="dxa"/>
            <w:vAlign w:val="top"/>
          </w:tcPr>
          <w:p w14:paraId="3B6E6FAB">
            <w:pPr>
              <w:pStyle w:val="6"/>
            </w:pPr>
          </w:p>
        </w:tc>
      </w:tr>
      <w:tr w14:paraId="2EA08A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2" w:hRule="atLeast"/>
        </w:trPr>
        <w:tc>
          <w:tcPr>
            <w:tcW w:w="874" w:type="dxa"/>
            <w:vAlign w:val="top"/>
          </w:tcPr>
          <w:p w14:paraId="6F628DF9">
            <w:pPr>
              <w:pStyle w:val="6"/>
              <w:spacing w:line="388" w:lineRule="auto"/>
            </w:pPr>
          </w:p>
          <w:p w14:paraId="7056C707">
            <w:pPr>
              <w:spacing w:before="65" w:line="315" w:lineRule="exact"/>
              <w:ind w:left="32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position w:val="2"/>
                <w:sz w:val="20"/>
                <w:szCs w:val="20"/>
              </w:rPr>
              <w:t>…</w:t>
            </w:r>
          </w:p>
        </w:tc>
        <w:tc>
          <w:tcPr>
            <w:tcW w:w="2967" w:type="dxa"/>
            <w:vAlign w:val="top"/>
          </w:tcPr>
          <w:p w14:paraId="6BA76929">
            <w:pPr>
              <w:pStyle w:val="6"/>
            </w:pPr>
          </w:p>
        </w:tc>
        <w:tc>
          <w:tcPr>
            <w:tcW w:w="1828" w:type="dxa"/>
            <w:vAlign w:val="top"/>
          </w:tcPr>
          <w:p w14:paraId="32C2E782">
            <w:pPr>
              <w:pStyle w:val="6"/>
            </w:pPr>
          </w:p>
        </w:tc>
        <w:tc>
          <w:tcPr>
            <w:tcW w:w="1878" w:type="dxa"/>
            <w:vAlign w:val="top"/>
          </w:tcPr>
          <w:p w14:paraId="22ED0994">
            <w:pPr>
              <w:pStyle w:val="6"/>
            </w:pPr>
          </w:p>
        </w:tc>
        <w:tc>
          <w:tcPr>
            <w:tcW w:w="1723" w:type="dxa"/>
            <w:vAlign w:val="top"/>
          </w:tcPr>
          <w:p w14:paraId="1CBC2A5C">
            <w:pPr>
              <w:pStyle w:val="6"/>
            </w:pPr>
          </w:p>
        </w:tc>
      </w:tr>
    </w:tbl>
    <w:p w14:paraId="764E0D16">
      <w:pPr>
        <w:rPr>
          <w:rFonts w:ascii="Arial"/>
          <w:sz w:val="21"/>
        </w:rPr>
      </w:pPr>
    </w:p>
    <w:sectPr>
      <w:footerReference r:id="rId9" w:type="default"/>
      <w:pgSz w:w="11920" w:h="16830"/>
      <w:pgMar w:top="1430" w:right="1354" w:bottom="1247" w:left="1284" w:header="0" w:footer="94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C578C5">
    <w:pPr>
      <w:spacing w:after="162" w:line="60" w:lineRule="exact"/>
    </w:pPr>
    <w:r>
      <w:rPr>
        <w:position w:val="-1"/>
      </w:rPr>
      <w:drawing>
        <wp:inline distT="0" distB="0" distL="0" distR="0">
          <wp:extent cx="5949950" cy="38100"/>
          <wp:effectExtent l="0" t="0" r="0" b="0"/>
          <wp:docPr id="2" name="I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49987" cy="381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253A440">
    <w:pPr>
      <w:spacing w:before="1" w:line="232" w:lineRule="auto"/>
      <w:ind w:left="8550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3"/>
        <w:sz w:val="23"/>
        <w:szCs w:val="23"/>
      </w:rPr>
      <w:t>—1—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CCDDDC">
    <w:pPr>
      <w:spacing w:line="232" w:lineRule="auto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3"/>
        <w:sz w:val="21"/>
        <w:szCs w:val="21"/>
      </w:rPr>
      <w:t>—2—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478A01">
    <w:pPr>
      <w:spacing w:line="231" w:lineRule="auto"/>
      <w:ind w:left="8310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3"/>
        <w:sz w:val="22"/>
        <w:szCs w:val="22"/>
      </w:rPr>
      <w:t>—3—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07E0A1">
    <w:pPr>
      <w:spacing w:before="1" w:line="232" w:lineRule="auto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3"/>
        <w:sz w:val="23"/>
        <w:szCs w:val="23"/>
      </w:rPr>
      <w:t>—4—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FB0762">
    <w:pPr>
      <w:spacing w:line="231" w:lineRule="auto"/>
      <w:ind w:left="8425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3"/>
        <w:sz w:val="23"/>
        <w:szCs w:val="23"/>
      </w:rPr>
      <w:t>—5—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8AC7F1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1704</Words>
  <Characters>1837</Characters>
  <TotalTime>0</TotalTime>
  <ScaleCrop>false</ScaleCrop>
  <LinksUpToDate>false</LinksUpToDate>
  <CharactersWithSpaces>1894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2026-05-06T16:03:00Z</dcterms:created>
  <dc:creator>Lenovo</dc:creator>
  <cp:lastModifiedBy>孟子</cp:lastModifiedBy>
  <dcterms:modified xsi:type="dcterms:W3CDTF">2026-05-06T08:03:46Z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2026-05-06T16:03:35Z</vt:filetime>
  </property>
  <property fmtid="{D5CDD505-2E9C-101B-9397-08002B2CF9AE}" pid="4" name="UsrData">
    <vt:lpwstr>69faf5d2259dfc001f69ec48wl</vt:lpwstr>
  </property>
  <property fmtid="{D5CDD505-2E9C-101B-9397-08002B2CF9AE}" pid="5" name="KSOTemplateDocerSaveRecord">
    <vt:lpwstr>eyJoZGlkIjoiMWNjZWRlYmUwZWEwMTQ1MGVhMGRiZmU1NTlkYzRlMGUiLCJ1c2VySWQiOiIyMDk2NTEyMzAifQ==</vt:lpwstr>
  </property>
  <property fmtid="{D5CDD505-2E9C-101B-9397-08002B2CF9AE}" pid="6" name="KSOProductBuildVer">
    <vt:lpwstr>2052-12.1.0.25865</vt:lpwstr>
  </property>
  <property fmtid="{D5CDD505-2E9C-101B-9397-08002B2CF9AE}" pid="7" name="ICV">
    <vt:lpwstr>95E87D7E34294ED29E05E66BFD976AEB_12</vt:lpwstr>
  </property>
</Properties>
</file>