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r>
        <w:rPr>
          <w:rFonts w:hint="eastAsia"/>
        </w:rPr>
        <w:drawing>
          <wp:anchor distT="0" distB="0" distL="114300" distR="114300" simplePos="0" relativeHeight="251661312" behindDoc="1" locked="0" layoutInCell="1" allowOverlap="1">
            <wp:simplePos x="0" y="0"/>
            <wp:positionH relativeFrom="column">
              <wp:posOffset>-887730</wp:posOffset>
            </wp:positionH>
            <wp:positionV relativeFrom="page">
              <wp:posOffset>-201295</wp:posOffset>
            </wp:positionV>
            <wp:extent cx="7569835" cy="10692130"/>
            <wp:effectExtent l="0" t="0" r="12065" b="13970"/>
            <wp:wrapNone/>
            <wp:docPr id="4" name="图片 4" descr="H:\稻壳儿相关资料\封面-非模\01.jp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稻壳儿相关资料\封面-非模\01.jpg01"/>
                    <pic:cNvPicPr>
                      <a:picLocks noChangeAspect="1"/>
                    </pic:cNvPicPr>
                  </pic:nvPicPr>
                  <pic:blipFill>
                    <a:blip r:embed="rId13"/>
                    <a:srcRect/>
                    <a:stretch>
                      <a:fillRect/>
                    </a:stretch>
                  </pic:blipFill>
                  <pic:spPr>
                    <a:xfrm>
                      <a:off x="0" y="0"/>
                      <a:ext cx="7569835" cy="10692130"/>
                    </a:xfrm>
                    <a:prstGeom prst="rect">
                      <a:avLst/>
                    </a:prstGeom>
                  </pic:spPr>
                </pic:pic>
              </a:graphicData>
            </a:graphic>
          </wp:anchor>
        </w:drawing>
      </w:r>
      <w:r>
        <mc:AlternateContent>
          <mc:Choice Requires="wps">
            <w:drawing>
              <wp:anchor distT="0" distB="0" distL="114300" distR="114300" simplePos="0" relativeHeight="251659264" behindDoc="0" locked="0" layoutInCell="1" allowOverlap="1">
                <wp:simplePos x="0" y="0"/>
                <wp:positionH relativeFrom="column">
                  <wp:posOffset>-472440</wp:posOffset>
                </wp:positionH>
                <wp:positionV relativeFrom="paragraph">
                  <wp:posOffset>-17145</wp:posOffset>
                </wp:positionV>
                <wp:extent cx="6431280" cy="2862580"/>
                <wp:effectExtent l="0" t="0" r="0" b="0"/>
                <wp:wrapNone/>
                <wp:docPr id="1" name="文本框 1" descr="7b0a2020202022776f7264617274223a20227b5c2269645c223a32353030323136362c5c227469645c223a5c225c227d220a7d0a"/>
                <wp:cNvGraphicFramePr>
                  <a:extLst xmlns:a="http://schemas.openxmlformats.org/drawingml/2006/main">
                    <a:ext uri="{7FBC4E63-A832-4D11-8238-D91031DB1400}">
                      <s:tag xmlns="http://www.wps.cn/officeDocument/2013/wpsCustomData" xmlns:s="http://www.wps.cn/officeDocument/2013/wpsCustomData">
                        <s:item s:name="KSO_DOCER_RESOURCE_TRACE_INFO" s:val="{&quot;id&quot;:&quot;&quot;,&quot;origin&quot;:0,&quot;type&quot;:&quot;wordart&quot;,&quot;user&quot;:&quot;292216292&quot;}"/>
                      </s:tag>
                    </a:ext>
                  </a:extLst>
                </wp:cNvGraphicFramePr>
                <a:graphic xmlns:a="http://schemas.openxmlformats.org/drawingml/2006/main">
                  <a:graphicData uri="http://schemas.microsoft.com/office/word/2010/wordprocessingShape">
                    <wps:wsp>
                      <wps:cNvSpPr txBox="1"/>
                      <wps:spPr>
                        <a:xfrm>
                          <a:off x="0" y="0"/>
                          <a:ext cx="6431280" cy="2862580"/>
                        </a:xfrm>
                        <a:prstGeom prst="rect">
                          <a:avLst/>
                        </a:prstGeom>
                        <a:noFill/>
                        <a:ln>
                          <a:noFill/>
                        </a:ln>
                        <a:effectLst/>
                      </wps:spPr>
                      <wps:txbx>
                        <w:txbxContent>
                          <w:p>
                            <w:pPr>
                              <w:pStyle w:val="10"/>
                              <w:spacing w:before="0" w:beforeAutospacing="0" w:after="0" w:afterAutospacing="0" w:line="1400" w:lineRule="exact"/>
                              <w:ind w:left="0" w:right="0"/>
                              <w:jc w:val="left"/>
                              <w:rPr>
                                <w:rFonts w:hint="eastAsia" w:ascii="微软雅黑" w:hAnsi="微软雅黑" w:eastAsia="微软雅黑" w:cs="微软雅黑"/>
                                <w:b/>
                                <w:color w:val="FFFFFF" w:themeColor="background1"/>
                                <w:kern w:val="2"/>
                                <w:sz w:val="96"/>
                                <w:szCs w:val="96"/>
                                <w:lang w:bidi="ar-SA"/>
                                <w14:textFill>
                                  <w14:solidFill>
                                    <w14:schemeClr w14:val="bg1"/>
                                  </w14:solidFill>
                                </w14:textFill>
                              </w:rPr>
                            </w:pP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202</w:t>
                            </w:r>
                            <w:r>
                              <w:rPr>
                                <w:rFonts w:hint="eastAsia" w:ascii="微软雅黑" w:hAnsi="微软雅黑" w:eastAsia="微软雅黑" w:cs="微软雅黑"/>
                                <w:b/>
                                <w:color w:val="FFFFFF" w:themeColor="background1"/>
                                <w:kern w:val="2"/>
                                <w:sz w:val="96"/>
                                <w:szCs w:val="96"/>
                                <w:lang w:val="en-US" w:eastAsia="zh-CN" w:bidi="ar-SA"/>
                                <w14:textFill>
                                  <w14:solidFill>
                                    <w14:schemeClr w14:val="bg1"/>
                                  </w14:solidFill>
                                </w14:textFill>
                              </w:rPr>
                              <w:t>5</w:t>
                            </w: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年度</w:t>
                            </w:r>
                          </w:p>
                          <w:p>
                            <w:pPr>
                              <w:pStyle w:val="10"/>
                              <w:spacing w:before="0" w:beforeAutospacing="0" w:after="0" w:afterAutospacing="0" w:line="1400" w:lineRule="exact"/>
                              <w:ind w:left="0" w:right="0"/>
                              <w:jc w:val="left"/>
                              <w:rPr>
                                <w:rFonts w:hint="eastAsia" w:ascii="微软雅黑" w:hAnsi="微软雅黑" w:eastAsia="微软雅黑" w:cs="微软雅黑"/>
                                <w:b/>
                                <w:color w:val="FFFFFF" w:themeColor="background1"/>
                                <w:kern w:val="2"/>
                                <w:sz w:val="96"/>
                                <w:szCs w:val="96"/>
                                <w:lang w:bidi="ar-SA"/>
                                <w14:textFill>
                                  <w14:solidFill>
                                    <w14:schemeClr w14:val="bg1"/>
                                  </w14:solidFill>
                                </w14:textFill>
                              </w:rPr>
                            </w:pP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部门决算公开文本</w:t>
                            </w:r>
                          </w:p>
                        </w:txbxContent>
                      </wps:txbx>
                      <wps:bodyPr upright="1"/>
                    </wps:wsp>
                  </a:graphicData>
                </a:graphic>
              </wp:anchor>
            </w:drawing>
          </mc:Choice>
          <mc:Fallback>
            <w:pict>
              <v:shape id="_x0000_s1026" o:spid="_x0000_s1026" o:spt="202" alt="7b0a2020202022776f7264617274223a20227b5c2269645c223a32353030323136362c5c227469645c223a5c225c227d220a7d0a" type="#_x0000_t202" style="position:absolute;left:0pt;margin-left:-37.2pt;margin-top:-1.35pt;height:225.4pt;width:506.4pt;z-index:251659264;mso-width-relative:page;mso-height-relative:page;" filled="f" stroked="f" coordsize="21600,21600" o:gfxdata="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lysnNNcAAAAKAQAADwAAAAAAAAABACAAAAAiAAAAZHJzL2Rvd25yZXYueG1sUEsB&#10;AhQAFAAAAAgAh07iQKNa9/H2AQAAzgMAAA4AAAAAAAAAAQAgAAAAJgEAAGRycy9lMm9Eb2MueG1s&#10;UEsFBgAAAAAGAAYAWQEAAI4FAAAAAA==&#10;">
                <v:fill on="f" focussize="0,0"/>
                <v:stroke on="f"/>
                <v:imagedata o:title=""/>
                <o:lock v:ext="edit" aspectratio="f"/>
                <v:textbox>
                  <w:txbxContent>
                    <w:p>
                      <w:pPr>
                        <w:pStyle w:val="10"/>
                        <w:spacing w:before="0" w:beforeAutospacing="0" w:after="0" w:afterAutospacing="0" w:line="1400" w:lineRule="exact"/>
                        <w:ind w:left="0" w:right="0"/>
                        <w:jc w:val="left"/>
                        <w:rPr>
                          <w:rFonts w:hint="eastAsia" w:ascii="微软雅黑" w:hAnsi="微软雅黑" w:eastAsia="微软雅黑" w:cs="微软雅黑"/>
                          <w:b/>
                          <w:color w:val="FFFFFF" w:themeColor="background1"/>
                          <w:kern w:val="2"/>
                          <w:sz w:val="96"/>
                          <w:szCs w:val="96"/>
                          <w:lang w:bidi="ar-SA"/>
                          <w14:textFill>
                            <w14:solidFill>
                              <w14:schemeClr w14:val="bg1"/>
                            </w14:solidFill>
                          </w14:textFill>
                        </w:rPr>
                      </w:pP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202</w:t>
                      </w:r>
                      <w:r>
                        <w:rPr>
                          <w:rFonts w:hint="eastAsia" w:ascii="微软雅黑" w:hAnsi="微软雅黑" w:eastAsia="微软雅黑" w:cs="微软雅黑"/>
                          <w:b/>
                          <w:color w:val="FFFFFF" w:themeColor="background1"/>
                          <w:kern w:val="2"/>
                          <w:sz w:val="96"/>
                          <w:szCs w:val="96"/>
                          <w:lang w:val="en-US" w:eastAsia="zh-CN" w:bidi="ar-SA"/>
                          <w14:textFill>
                            <w14:solidFill>
                              <w14:schemeClr w14:val="bg1"/>
                            </w14:solidFill>
                          </w14:textFill>
                        </w:rPr>
                        <w:t>5</w:t>
                      </w: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年度</w:t>
                      </w:r>
                    </w:p>
                    <w:p>
                      <w:pPr>
                        <w:pStyle w:val="10"/>
                        <w:spacing w:before="0" w:beforeAutospacing="0" w:after="0" w:afterAutospacing="0" w:line="1400" w:lineRule="exact"/>
                        <w:ind w:left="0" w:right="0"/>
                        <w:jc w:val="left"/>
                        <w:rPr>
                          <w:rFonts w:hint="eastAsia" w:ascii="微软雅黑" w:hAnsi="微软雅黑" w:eastAsia="微软雅黑" w:cs="微软雅黑"/>
                          <w:b/>
                          <w:color w:val="FFFFFF" w:themeColor="background1"/>
                          <w:kern w:val="2"/>
                          <w:sz w:val="96"/>
                          <w:szCs w:val="96"/>
                          <w:lang w:bidi="ar-SA"/>
                          <w14:textFill>
                            <w14:solidFill>
                              <w14:schemeClr w14:val="bg1"/>
                            </w14:solidFill>
                          </w14:textFill>
                        </w:rPr>
                      </w:pP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部门决算公开文本</w:t>
                      </w:r>
                    </w:p>
                  </w:txbxContent>
                </v:textbox>
              </v:shape>
            </w:pict>
          </mc:Fallback>
        </mc:AlternateContent>
      </w:r>
    </w:p>
    <w:p>
      <w:pPr>
        <w:spacing w:line="600" w:lineRule="auto"/>
        <w:jc w:val="both"/>
        <w:rPr>
          <w:rFonts w:hint="eastAsia" w:ascii="楷体_GB2312" w:hAnsi="楷体_GB2312" w:eastAsia="楷体_GB2312" w:cs="楷体_GB2312"/>
          <w:color w:val="000000"/>
          <w:sz w:val="40"/>
          <w:szCs w:val="40"/>
        </w:rPr>
      </w:pPr>
    </w:p>
    <w:p>
      <w:pPr>
        <w:spacing w:line="600" w:lineRule="auto"/>
        <w:jc w:val="both"/>
        <w:rPr>
          <w:rFonts w:hint="eastAsia" w:ascii="楷体_GB2312" w:hAnsi="楷体_GB2312" w:eastAsia="楷体_GB2312" w:cs="楷体_GB2312"/>
          <w:color w:val="000000"/>
          <w:sz w:val="40"/>
          <w:szCs w:val="40"/>
        </w:rPr>
      </w:pPr>
    </w:p>
    <w:p>
      <w:pPr>
        <w:spacing w:line="600" w:lineRule="auto"/>
        <w:jc w:val="both"/>
        <w:rPr>
          <w:rFonts w:hint="eastAsia" w:ascii="楷体_GB2312" w:hAnsi="楷体_GB2312" w:eastAsia="楷体_GB2312" w:cs="楷体_GB2312"/>
          <w:color w:val="000000"/>
          <w:sz w:val="40"/>
          <w:szCs w:val="40"/>
        </w:rPr>
      </w:pPr>
    </w:p>
    <w:p>
      <w:pPr>
        <w:spacing w:line="600" w:lineRule="auto"/>
        <w:jc w:val="both"/>
        <w:rPr>
          <w:rFonts w:hint="eastAsia" w:ascii="楷体_GB2312" w:hAnsi="楷体_GB2312" w:eastAsia="楷体_GB2312" w:cs="楷体_GB2312"/>
          <w:color w:val="000000"/>
          <w:sz w:val="40"/>
          <w:szCs w:val="40"/>
        </w:rPr>
      </w:pPr>
    </w:p>
    <w:p>
      <w:pPr>
        <w:spacing w:line="600" w:lineRule="auto"/>
        <w:jc w:val="both"/>
        <w:rPr>
          <w:rFonts w:hint="eastAsia" w:ascii="楷体_GB2312" w:hAnsi="楷体_GB2312" w:eastAsia="楷体_GB2312" w:cs="楷体_GB2312"/>
          <w:color w:val="000000"/>
          <w:sz w:val="40"/>
          <w:szCs w:val="40"/>
        </w:rPr>
      </w:pPr>
    </w:p>
    <w:p>
      <w:pPr>
        <w:spacing w:line="600" w:lineRule="auto"/>
        <w:jc w:val="both"/>
        <w:rPr>
          <w:rFonts w:hint="eastAsia" w:ascii="楷体_GB2312" w:hAnsi="楷体_GB2312" w:eastAsia="楷体_GB2312" w:cs="楷体_GB2312"/>
          <w:color w:val="000000"/>
          <w:sz w:val="40"/>
          <w:szCs w:val="40"/>
        </w:rPr>
      </w:pPr>
    </w:p>
    <w:p>
      <w:pPr>
        <w:spacing w:line="600" w:lineRule="auto"/>
        <w:jc w:val="both"/>
        <w:rPr>
          <w:rFonts w:hint="eastAsia" w:ascii="楷体_GB2312" w:hAnsi="楷体_GB2312" w:eastAsia="楷体_GB2312" w:cs="楷体_GB2312"/>
          <w:color w:val="000000"/>
          <w:sz w:val="40"/>
          <w:szCs w:val="40"/>
        </w:rPr>
      </w:pPr>
    </w:p>
    <w:p>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pPr>
        <w:jc w:val="both"/>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t>石家庄高新技术产业开发区</w:t>
      </w:r>
    </w:p>
    <w:p>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t>科学技术局(本级)</w:t>
      </w:r>
    </w:p>
    <w:p>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t>预算代码：</w:t>
      </w:r>
      <w:r>
        <w:rPr>
          <w:rFonts w:hint="eastAsia" w:ascii="楷体_GB2312" w:hAnsi="楷体_GB2312" w:eastAsia="楷体_GB2312" w:cs="楷体_GB2312"/>
          <w:b/>
          <w:bCs/>
          <w:color w:val="0D0D0D" w:themeColor="text1" w:themeTint="F2"/>
          <w:kern w:val="2"/>
          <w:sz w:val="48"/>
          <w:szCs w:val="56"/>
          <w:lang w:val="en-US" w:eastAsia="zh-CN"/>
          <w14:textFill>
            <w14:solidFill>
              <w14:schemeClr w14:val="tx1">
                <w14:lumMod w14:val="95000"/>
                <w14:lumOff w14:val="5000"/>
              </w14:schemeClr>
            </w14:solidFill>
          </w14:textFill>
        </w:rPr>
        <w:t>306001</w:t>
      </w:r>
    </w:p>
    <w:p>
      <w:pPr>
        <w:jc w:val="center"/>
        <w:rPr>
          <w:rFonts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pPr>
    </w:p>
    <w:p>
      <w:pPr>
        <w:jc w:val="center"/>
        <w:rPr>
          <w:rFonts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t>二〇二六年八月</w:t>
      </w:r>
    </w:p>
    <w:p>
      <w:pPr>
        <w:spacing w:line="600" w:lineRule="auto"/>
        <w:jc w:val="both"/>
        <w:rPr>
          <w:rFonts w:hint="eastAsia" w:ascii="楷体_GB2312" w:hAnsi="楷体_GB2312" w:eastAsia="楷体_GB2312" w:cs="楷体_GB2312"/>
          <w:color w:val="000000"/>
          <w:sz w:val="40"/>
          <w:szCs w:val="40"/>
        </w:rPr>
        <w:sectPr>
          <w:footerReference r:id="rId3" w:type="default"/>
          <w:pgSz w:w="11906" w:h="16838"/>
          <w:pgMar w:top="2098" w:right="1417" w:bottom="1871" w:left="1417" w:header="851" w:footer="992" w:gutter="0"/>
          <w:pgBorders>
            <w:top w:val="none" w:sz="0" w:space="0"/>
            <w:left w:val="none" w:sz="0" w:space="0"/>
            <w:bottom w:val="none" w:sz="0" w:space="0"/>
            <w:right w:val="none" w:sz="0" w:space="0"/>
          </w:pgBorders>
          <w:cols w:space="720" w:num="1"/>
          <w:docGrid w:type="lines" w:linePitch="312" w:charSpace="0"/>
        </w:sectPr>
      </w:pPr>
    </w:p>
    <w:p>
      <w:pPr>
        <w:spacing w:line="600" w:lineRule="auto"/>
        <w:jc w:val="center"/>
        <w:rPr>
          <w:rFonts w:hint="eastAsia" w:ascii="楷体_GB2312" w:hAnsi="楷体_GB2312" w:eastAsia="楷体_GB2312" w:cs="楷体_GB2312"/>
          <w:color w:val="000000"/>
          <w:sz w:val="40"/>
          <w:szCs w:val="40"/>
        </w:rPr>
      </w:pPr>
    </w:p>
    <w:p>
      <w:pPr>
        <w:rPr>
          <w:rFonts w:hint="eastAsia" w:ascii="黑体" w:hAnsi="黑体" w:eastAsia="黑体" w:cs="黑体"/>
          <w:b/>
          <w:bCs/>
          <w:sz w:val="32"/>
          <w:szCs w:val="36"/>
          <w:highlight w:val="yellow"/>
        </w:rPr>
      </w:pPr>
    </w:p>
    <w:p>
      <w:pPr>
        <w:widowControl/>
        <w:spacing w:before="0" w:beforeLines="0" w:beforeAutospacing="0" w:after="0" w:afterLines="0" w:afterAutospacing="0" w:line="360" w:lineRule="auto"/>
        <w:jc w:val="center"/>
        <w:rPr>
          <w:rFonts w:ascii="Times New Roman" w:eastAsia="方正小标宋_GBK"/>
          <w:sz w:val="72"/>
          <w:szCs w:val="72"/>
        </w:rPr>
      </w:pPr>
      <w:r>
        <w:rPr>
          <w:rFonts w:ascii="Times New Roman" w:eastAsia="方正小标宋_GBK"/>
          <w:b w:val="0"/>
          <w:sz w:val="72"/>
          <w:szCs w:val="72"/>
        </w:rPr>
        <w:t>石家庄高新技术产业开发区科学技术局(本级)</w:t>
      </w:r>
    </w:p>
    <w:p>
      <w:pPr>
        <w:widowControl/>
        <w:spacing w:before="0" w:beforeLines="0" w:beforeAutospacing="0" w:after="0" w:afterLines="0" w:afterAutospacing="0" w:line="360" w:lineRule="auto"/>
        <w:jc w:val="center"/>
        <w:rPr>
          <w:rFonts w:ascii="Times New Roman" w:eastAsia="方正小标宋_GBK"/>
          <w:sz w:val="72"/>
          <w:szCs w:val="72"/>
        </w:rPr>
      </w:pPr>
      <w:r>
        <w:rPr>
          <w:rFonts w:ascii="Times New Roman" w:eastAsia="仿宋_GB2312"/>
          <w:b w:val="0"/>
          <w:sz w:val="72"/>
          <w:szCs w:val="72"/>
        </w:rPr>
        <w:t>2025</w:t>
      </w:r>
      <w:r>
        <w:rPr>
          <w:rFonts w:ascii="Times New Roman" w:eastAsia="方正小标宋_GBK"/>
          <w:b w:val="0"/>
          <w:sz w:val="72"/>
          <w:szCs w:val="72"/>
        </w:rPr>
        <w:t>年度部门决算公开文本</w:t>
      </w:r>
    </w:p>
    <w:p>
      <w:pPr>
        <w:spacing w:line="360" w:lineRule="auto"/>
        <w:jc w:val="center"/>
        <w:rPr>
          <w:rFonts w:ascii="黑体" w:hAnsi="黑体" w:eastAsia="黑体" w:cs="黑体"/>
          <w:sz w:val="56"/>
          <w:szCs w:val="72"/>
        </w:rPr>
      </w:pPr>
    </w:p>
    <w:p>
      <w:pPr>
        <w:spacing w:line="480" w:lineRule="auto"/>
        <w:jc w:val="both"/>
        <w:rPr>
          <w:rFonts w:ascii="黑体" w:hAnsi="黑体" w:eastAsia="黑体" w:cs="黑体"/>
          <w:sz w:val="56"/>
          <w:szCs w:val="72"/>
        </w:rPr>
      </w:pPr>
    </w:p>
    <w:p>
      <w:pPr>
        <w:widowControl/>
        <w:spacing w:before="0" w:beforeLines="0" w:beforeAutospacing="0" w:after="0" w:afterLines="0" w:afterAutospacing="0" w:line="360" w:lineRule="auto"/>
        <w:jc w:val="center"/>
        <w:rPr>
          <w:rFonts w:ascii="Times New Roman" w:eastAsia="楷体_GB2312"/>
          <w:sz w:val="44"/>
          <w:szCs w:val="44"/>
        </w:rPr>
      </w:pPr>
      <w:r>
        <w:rPr>
          <w:rFonts w:ascii="Times New Roman" w:eastAsia="楷体_GB2312"/>
          <w:b w:val="0"/>
          <w:sz w:val="44"/>
          <w:szCs w:val="44"/>
        </w:rPr>
        <w:t>石家庄高新技术产业开发区科学技术局(本级)</w:t>
      </w:r>
    </w:p>
    <w:p>
      <w:pPr>
        <w:widowControl/>
        <w:spacing w:before="0" w:beforeLines="0" w:beforeAutospacing="0" w:after="0" w:afterLines="0" w:afterAutospacing="0" w:line="240" w:lineRule="auto"/>
        <w:jc w:val="center"/>
        <w:rPr>
          <w:rFonts w:ascii="Times New Roman" w:eastAsia="楷体_GB2312"/>
          <w:sz w:val="44"/>
          <w:szCs w:val="44"/>
        </w:rPr>
      </w:pPr>
      <w:r>
        <w:rPr>
          <w:rFonts w:ascii="Times New Roman" w:eastAsia="楷体_GB2312"/>
          <w:b w:val="0"/>
          <w:sz w:val="44"/>
          <w:szCs w:val="44"/>
        </w:rPr>
        <w:t>(加盖公章）</w:t>
      </w:r>
    </w:p>
    <w:p>
      <w:pPr>
        <w:widowControl/>
        <w:spacing w:before="0" w:beforeLines="0" w:beforeAutospacing="0" w:after="0" w:afterLines="0" w:afterAutospacing="0" w:line="360" w:lineRule="auto"/>
        <w:jc w:val="center"/>
        <w:rPr>
          <w:rFonts w:ascii="Times New Roman" w:eastAsia="楷体_GB2312"/>
          <w:sz w:val="44"/>
          <w:szCs w:val="44"/>
        </w:rPr>
      </w:pPr>
      <w:r>
        <w:rPr>
          <w:rFonts w:ascii="Times New Roman" w:eastAsia="楷体_GB2312"/>
          <w:b w:val="0"/>
          <w:sz w:val="44"/>
          <w:szCs w:val="44"/>
        </w:rPr>
        <w:t>二〇二六年八月</w:t>
      </w:r>
    </w:p>
    <w:p>
      <w:pPr>
        <w:rPr>
          <w:rFonts w:hint="eastAsia" w:ascii="楷体_GB2312" w:hAnsi="楷体_GB2312" w:eastAsia="楷体_GB2312" w:cs="楷体_GB2312"/>
          <w:color w:val="000000" w:themeColor="text1"/>
          <w:kern w:val="0"/>
          <w:sz w:val="44"/>
          <w:szCs w:val="44"/>
          <w:lang w:val="en-US"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default" w:ascii="楷体_GB2312" w:hAnsi="楷体_GB2312" w:eastAsia="楷体_GB2312" w:cs="楷体_GB2312"/>
          <w:color w:val="000000" w:themeColor="text1"/>
          <w:kern w:val="0"/>
          <w:sz w:val="44"/>
          <w:szCs w:val="44"/>
          <w:lang w:val="en-US"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br w:type="page"/>
      </w:r>
    </w:p>
    <w:p>
      <w:pPr>
        <w:snapToGrid w:val="0"/>
        <w:jc w:val="left"/>
        <w:rPr>
          <w:rFonts w:hint="default" w:ascii="楷体_GB2312" w:hAnsi="楷体_GB2312" w:eastAsia="楷体_GB2312" w:cs="楷体_GB2312"/>
          <w:color w:val="000000" w:themeColor="text1"/>
          <w:kern w:val="0"/>
          <w:sz w:val="44"/>
          <w:szCs w:val="44"/>
          <w:lang w:val="en-US"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sectPr>
          <w:footerReference r:id="rId4" w:type="default"/>
          <w:pgSz w:w="11906" w:h="16838"/>
          <w:pgMar w:top="1531" w:right="1984" w:bottom="1531" w:left="2098" w:header="851" w:footer="992" w:gutter="0"/>
          <w:pgBorders>
            <w:top w:val="none" w:sz="0" w:space="0"/>
            <w:left w:val="none" w:sz="0" w:space="0"/>
            <w:bottom w:val="none" w:sz="0" w:space="0"/>
            <w:right w:val="none" w:sz="0" w:space="0"/>
          </w:pgBorders>
          <w:pgNumType w:start="1"/>
          <w:cols w:space="720" w:num="1"/>
          <w:docGrid w:type="lines" w:linePitch="312" w:charSpace="0"/>
        </w:sectPr>
      </w:pPr>
    </w:p>
    <w:p>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目  录</w:t>
      </w:r>
    </w:p>
    <w:p>
      <w:pPr>
        <w:widowControl/>
        <w:spacing w:after="160" w:line="580" w:lineRule="exact"/>
        <w:ind w:firstLine="640" w:firstLineChars="200"/>
        <w:rPr>
          <w:rFonts w:ascii="Times New Roman" w:hAnsi="Times New Roman" w:eastAsia="黑体" w:cs="Times New Roman"/>
          <w:sz w:val="32"/>
          <w:szCs w:val="32"/>
        </w:rPr>
      </w:pPr>
    </w:p>
    <w:p>
      <w:pPr>
        <w:widowControl/>
        <w:spacing w:before="0" w:beforeLines="0" w:beforeAutospacing="0" w:after="0" w:afterLines="0" w:afterAutospacing="0" w:line="360" w:lineRule="auto"/>
        <w:jc w:val="left"/>
        <w:rPr>
          <w:rFonts w:ascii="Times New Roman" w:eastAsia="黑体"/>
          <w:sz w:val="32"/>
          <w:szCs w:val="32"/>
        </w:rPr>
      </w:pPr>
      <w:r>
        <w:rPr>
          <w:rFonts w:ascii="Times New Roman" w:eastAsia="黑体"/>
          <w:b w:val="0"/>
          <w:sz w:val="32"/>
          <w:szCs w:val="32"/>
        </w:rPr>
        <w:t>第一部分单位概况</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一、单位职责</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二、机构设置</w:t>
      </w:r>
    </w:p>
    <w:p>
      <w:pPr>
        <w:widowControl/>
        <w:spacing w:before="0" w:beforeLines="0" w:beforeAutospacing="0" w:after="0" w:afterLines="0" w:afterAutospacing="0" w:line="360" w:lineRule="auto"/>
        <w:jc w:val="left"/>
        <w:outlineLvl w:val="0"/>
        <w:rPr>
          <w:rFonts w:ascii="Times New Roman" w:eastAsia="黑体"/>
          <w:sz w:val="32"/>
          <w:szCs w:val="32"/>
        </w:rPr>
      </w:pPr>
      <w:r>
        <w:rPr>
          <w:rFonts w:ascii="Times New Roman" w:eastAsia="黑体"/>
          <w:b w:val="0"/>
          <w:sz w:val="32"/>
          <w:szCs w:val="32"/>
        </w:rPr>
        <w:t>第二部分 2025年度部门决算报表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一、收入支出决算总表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二、收入决算表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三、支出决算表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四、财政拨款收入支出决算总表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五、一般公共预算财政拨款支出决算表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六、一般公共预算财政拨款基本支出决算明细表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七、政府性基金预算财政拨款收入支出决算表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八、国有资本经营预算财政拨款支出决算表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九、财政拨款“三公”经费支出决算表</w:t>
      </w:r>
    </w:p>
    <w:p>
      <w:pPr>
        <w:widowControl/>
        <w:spacing w:before="0" w:beforeLines="0" w:beforeAutospacing="0" w:after="0" w:afterLines="0" w:afterAutospacing="0" w:line="360" w:lineRule="auto"/>
        <w:jc w:val="left"/>
        <w:rPr>
          <w:rFonts w:ascii="Times New Roman" w:eastAsia="黑体"/>
          <w:sz w:val="32"/>
          <w:szCs w:val="32"/>
        </w:rPr>
      </w:pPr>
      <w:r>
        <w:rPr>
          <w:rFonts w:ascii="Times New Roman" w:eastAsia="黑体"/>
          <w:b w:val="0"/>
          <w:sz w:val="32"/>
          <w:szCs w:val="32"/>
        </w:rPr>
        <w:t>第三部分 2025年度部门决算情况说明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一、收入支出决算总体情况说明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二、收入决算情况说明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三、支出决算情况说明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四、财政拨款收入支出决算总体情况说明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五、财政拨款“三公”经费支出决算情况说明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六、机关运行经费支出说明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七、政府采购支出说明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八、国有资产占用情况说明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九、关于2025年度绩效评价情况的说明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十、其他需要说明的情况</w:t>
      </w:r>
    </w:p>
    <w:p>
      <w:pPr>
        <w:widowControl/>
        <w:spacing w:before="0" w:beforeLines="0" w:beforeAutospacing="0" w:after="0" w:afterLines="0" w:afterAutospacing="0" w:line="360" w:lineRule="auto"/>
        <w:jc w:val="left"/>
        <w:rPr>
          <w:rFonts w:ascii="Times New Roman" w:eastAsia="黑体"/>
          <w:sz w:val="32"/>
          <w:szCs w:val="32"/>
        </w:rPr>
      </w:pPr>
      <w:r>
        <w:rPr>
          <w:rFonts w:ascii="Times New Roman" w:eastAsia="黑体"/>
          <w:b w:val="0"/>
          <w:sz w:val="32"/>
          <w:szCs w:val="32"/>
        </w:rPr>
        <w:t>第四部分 名词解释</w:t>
      </w:r>
    </w:p>
    <w:p>
      <w:pPr>
        <w:widowControl/>
        <w:spacing w:after="160" w:line="580" w:lineRule="exact"/>
        <w:rPr>
          <w:rFonts w:hint="eastAsia" w:ascii="Times New Roman" w:hAnsi="Times New Roman" w:eastAsia="黑体" w:cs="Times New Roman"/>
          <w:sz w:val="32"/>
          <w:szCs w:val="32"/>
          <w:lang w:val="en-US" w:eastAsia="zh-CN"/>
        </w:rPr>
        <w:sectPr>
          <w:headerReference r:id="rId6" w:type="first"/>
          <w:footerReference r:id="rId8" w:type="first"/>
          <w:headerReference r:id="rId5" w:type="default"/>
          <w:footerReference r:id="rId7" w:type="default"/>
          <w:pgSz w:w="11906" w:h="16838"/>
          <w:pgMar w:top="1474" w:right="1531" w:bottom="1474" w:left="1531" w:header="851" w:footer="992" w:gutter="0"/>
          <w:pgBorders>
            <w:top w:val="none" w:sz="0" w:space="0"/>
            <w:left w:val="none" w:sz="0" w:space="0"/>
            <w:bottom w:val="none" w:sz="0" w:space="0"/>
            <w:right w:val="none" w:sz="0" w:space="0"/>
          </w:pgBorders>
          <w:cols w:space="0" w:num="1"/>
          <w:titlePg/>
          <w:docGrid w:type="lines" w:linePitch="312" w:charSpace="0"/>
        </w:sect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第一部分单位概况</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outlineLvl w:val="1"/>
        <w:rPr>
          <w:rFonts w:hint="eastAsia" w:ascii="黑体" w:hAnsi="宋体" w:eastAsia="黑体" w:cs="黑体"/>
          <w:i w:val="0"/>
          <w:iCs w:val="0"/>
          <w:caps w:val="0"/>
          <w:color w:val="000000"/>
          <w:spacing w:val="0"/>
          <w:sz w:val="32"/>
          <w:szCs w:val="32"/>
          <w:highlight w:val="none"/>
          <w:shd w:val="clear" w:fill="FFFFFF"/>
          <w:lang w:val="en-US" w:eastAsia="zh-CN"/>
        </w:rPr>
      </w:pPr>
    </w:p>
    <w:p>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一、单位职责</w:t>
      </w:r>
    </w:p>
    <w:p>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r>
        <w:rPr>
          <w:rFonts w:ascii="Times New Roman" w:eastAsia="仿宋_GB2312"/>
          <w:b w:val="0"/>
          <w:sz w:val="32"/>
          <w:szCs w:val="32"/>
        </w:rPr>
        <w:t xml:space="preserve">根据《石家庄高新技术产业开发区科学技术局职能配置、内设机构和人员编制规定》，石家庄高新技术产业开发区科学技术局的主要职责： </w:t>
      </w:r>
    </w:p>
    <w:p>
      <w:pPr>
        <w:widowControl/>
        <w:numPr>
          <w:ilvl w:val="0"/>
          <w:numId w:val="2"/>
        </w:numPr>
        <w:spacing w:before="0" w:beforeLines="0" w:beforeAutospacing="0" w:after="0" w:afterLines="0" w:afterAutospacing="0" w:line="360" w:lineRule="auto"/>
        <w:ind w:firstLine="640" w:firstLineChars="200"/>
        <w:jc w:val="left"/>
        <w:rPr>
          <w:rFonts w:ascii="Times New Roman" w:eastAsia="仿宋_GB2312"/>
          <w:b w:val="0"/>
          <w:sz w:val="32"/>
          <w:szCs w:val="32"/>
        </w:rPr>
      </w:pPr>
      <w:r>
        <w:rPr>
          <w:rFonts w:ascii="Times New Roman" w:eastAsia="仿宋_GB2312"/>
          <w:b w:val="0"/>
          <w:sz w:val="32"/>
          <w:szCs w:val="32"/>
        </w:rPr>
        <w:t xml:space="preserve">贯彻落实国家、省、市科技工作方针政策，研究制订并组织实施全区科技发展战略、政策和措施，完善区域科技创新体系，增强全区科技创新能力。 </w:t>
      </w:r>
    </w:p>
    <w:p>
      <w:pPr>
        <w:widowControl/>
        <w:numPr>
          <w:ilvl w:val="0"/>
          <w:numId w:val="2"/>
        </w:numPr>
        <w:spacing w:before="0" w:beforeLines="0" w:beforeAutospacing="0" w:after="0" w:afterLines="0" w:afterAutospacing="0" w:line="360" w:lineRule="auto"/>
        <w:ind w:left="0" w:leftChars="0" w:firstLine="640" w:firstLineChars="200"/>
        <w:jc w:val="left"/>
        <w:rPr>
          <w:rFonts w:ascii="Times New Roman" w:eastAsia="仿宋_GB2312"/>
          <w:b w:val="0"/>
          <w:sz w:val="32"/>
          <w:szCs w:val="32"/>
        </w:rPr>
      </w:pPr>
      <w:r>
        <w:rPr>
          <w:rFonts w:ascii="Times New Roman" w:eastAsia="仿宋_GB2312"/>
          <w:b w:val="0"/>
          <w:sz w:val="32"/>
          <w:szCs w:val="32"/>
        </w:rPr>
        <w:t xml:space="preserve">负责高新技术企业的组织申报和科技型中小企业的认定工作;负责对国家、省、市科技发展计划的组织、申报、项目验收及管理工作。 </w:t>
      </w:r>
    </w:p>
    <w:p>
      <w:pPr>
        <w:widowControl/>
        <w:numPr>
          <w:ilvl w:val="0"/>
          <w:numId w:val="2"/>
        </w:numPr>
        <w:spacing w:before="0" w:beforeLines="0" w:beforeAutospacing="0" w:after="0" w:afterLines="0" w:afterAutospacing="0" w:line="360" w:lineRule="auto"/>
        <w:ind w:left="0" w:leftChars="0" w:firstLine="640" w:firstLineChars="200"/>
        <w:jc w:val="left"/>
        <w:rPr>
          <w:rFonts w:ascii="Times New Roman" w:eastAsia="仿宋_GB2312"/>
          <w:b w:val="0"/>
          <w:sz w:val="32"/>
          <w:szCs w:val="32"/>
        </w:rPr>
      </w:pPr>
      <w:r>
        <w:rPr>
          <w:rFonts w:ascii="Times New Roman" w:eastAsia="仿宋_GB2312"/>
          <w:b w:val="0"/>
          <w:sz w:val="32"/>
          <w:szCs w:val="32"/>
        </w:rPr>
        <w:t xml:space="preserve">研究制订并组织实施全区高新技术产业发展规划，组织实施并管理全区科技支撑、成果转化等各类科技发展计划;负责管理和使用区科学技术费用及各类专项科技费用，协同财政部门加强对科技创新工作的支持。 </w:t>
      </w:r>
    </w:p>
    <w:p>
      <w:pPr>
        <w:widowControl/>
        <w:numPr>
          <w:ilvl w:val="0"/>
          <w:numId w:val="2"/>
        </w:numPr>
        <w:spacing w:before="0" w:beforeLines="0" w:beforeAutospacing="0" w:after="0" w:afterLines="0" w:afterAutospacing="0" w:line="360" w:lineRule="auto"/>
        <w:ind w:left="0" w:leftChars="0" w:firstLine="640" w:firstLineChars="200"/>
        <w:jc w:val="left"/>
        <w:rPr>
          <w:rFonts w:ascii="Times New Roman" w:eastAsia="仿宋_GB2312"/>
          <w:b w:val="0"/>
          <w:sz w:val="32"/>
          <w:szCs w:val="32"/>
        </w:rPr>
      </w:pPr>
      <w:r>
        <w:rPr>
          <w:rFonts w:ascii="Times New Roman" w:eastAsia="仿宋_GB2312"/>
          <w:b w:val="0"/>
          <w:sz w:val="32"/>
          <w:szCs w:val="32"/>
        </w:rPr>
        <w:t xml:space="preserve">研究制订并组织实施全区众创空间、科技企业化器、加速器发展规划，制订相关政策和措施，负责全区众创空间、科技企业孵化器、加速器认定、管理、考核工作。 </w:t>
      </w:r>
    </w:p>
    <w:p>
      <w:pPr>
        <w:widowControl/>
        <w:numPr>
          <w:ilvl w:val="0"/>
          <w:numId w:val="2"/>
        </w:numPr>
        <w:spacing w:before="0" w:beforeLines="0" w:beforeAutospacing="0" w:after="0" w:afterLines="0" w:afterAutospacing="0" w:line="360" w:lineRule="auto"/>
        <w:ind w:left="0" w:leftChars="0" w:firstLine="640" w:firstLineChars="200"/>
        <w:jc w:val="left"/>
        <w:rPr>
          <w:rFonts w:ascii="Times New Roman" w:eastAsia="仿宋_GB2312"/>
          <w:b w:val="0"/>
          <w:sz w:val="32"/>
          <w:szCs w:val="32"/>
        </w:rPr>
      </w:pPr>
      <w:r>
        <w:rPr>
          <w:rFonts w:ascii="Times New Roman" w:eastAsia="仿宋_GB2312"/>
          <w:b w:val="0"/>
          <w:sz w:val="32"/>
          <w:szCs w:val="32"/>
        </w:rPr>
        <w:t xml:space="preserve">研究制订并组织实施全区科技服务业发展规划，制订相关政策和措施，负责引进和培育研发、技术转移、中介、咨询等各类科技服务机构;负责技术市场工作。 </w:t>
      </w:r>
    </w:p>
    <w:p>
      <w:pPr>
        <w:widowControl/>
        <w:numPr>
          <w:ilvl w:val="0"/>
          <w:numId w:val="2"/>
        </w:numPr>
        <w:spacing w:before="0" w:beforeLines="0" w:beforeAutospacing="0" w:after="0" w:afterLines="0" w:afterAutospacing="0" w:line="360" w:lineRule="auto"/>
        <w:ind w:left="0" w:leftChars="0" w:firstLine="640" w:firstLineChars="200"/>
        <w:jc w:val="left"/>
        <w:rPr>
          <w:rFonts w:ascii="Times New Roman" w:eastAsia="仿宋_GB2312"/>
          <w:b w:val="0"/>
          <w:sz w:val="32"/>
          <w:szCs w:val="32"/>
        </w:rPr>
      </w:pPr>
      <w:r>
        <w:rPr>
          <w:rFonts w:ascii="Times New Roman" w:eastAsia="仿宋_GB2312"/>
          <w:b w:val="0"/>
          <w:sz w:val="32"/>
          <w:szCs w:val="32"/>
        </w:rPr>
        <w:t xml:space="preserve">负责全区科技成果、科技奖励、产学研合作工作;负责组建产业技术联盟等创新组织。 </w:t>
      </w:r>
    </w:p>
    <w:p>
      <w:pPr>
        <w:widowControl/>
        <w:numPr>
          <w:ilvl w:val="0"/>
          <w:numId w:val="2"/>
        </w:numPr>
        <w:spacing w:before="0" w:beforeLines="0" w:beforeAutospacing="0" w:after="0" w:afterLines="0" w:afterAutospacing="0" w:line="360" w:lineRule="auto"/>
        <w:ind w:left="0" w:leftChars="0" w:firstLine="640" w:firstLineChars="200"/>
        <w:jc w:val="left"/>
        <w:rPr>
          <w:rFonts w:ascii="Times New Roman" w:eastAsia="仿宋_GB2312"/>
          <w:b w:val="0"/>
          <w:sz w:val="32"/>
          <w:szCs w:val="32"/>
        </w:rPr>
      </w:pPr>
      <w:r>
        <w:rPr>
          <w:rFonts w:ascii="Times New Roman" w:eastAsia="仿宋_GB2312"/>
          <w:b w:val="0"/>
          <w:sz w:val="32"/>
          <w:szCs w:val="32"/>
        </w:rPr>
        <w:t xml:space="preserve">负责科技金融创新工作。 </w:t>
      </w:r>
    </w:p>
    <w:p>
      <w:pPr>
        <w:widowControl/>
        <w:numPr>
          <w:ilvl w:val="0"/>
          <w:numId w:val="2"/>
        </w:numPr>
        <w:spacing w:before="0" w:beforeLines="0" w:beforeAutospacing="0" w:after="0" w:afterLines="0" w:afterAutospacing="0" w:line="360" w:lineRule="auto"/>
        <w:ind w:left="0" w:leftChars="0" w:firstLine="640" w:firstLineChars="200"/>
        <w:jc w:val="left"/>
        <w:rPr>
          <w:rFonts w:ascii="Times New Roman" w:eastAsia="仿宋_GB2312"/>
          <w:b w:val="0"/>
          <w:sz w:val="32"/>
          <w:szCs w:val="32"/>
        </w:rPr>
      </w:pPr>
      <w:r>
        <w:rPr>
          <w:rFonts w:ascii="Times New Roman" w:eastAsia="仿宋_GB2312"/>
          <w:b w:val="0"/>
          <w:sz w:val="32"/>
          <w:szCs w:val="32"/>
        </w:rPr>
        <w:t xml:space="preserve">负责科协工作。 </w:t>
      </w:r>
    </w:p>
    <w:p>
      <w:pPr>
        <w:widowControl/>
        <w:numPr>
          <w:ilvl w:val="0"/>
          <w:numId w:val="2"/>
        </w:numPr>
        <w:spacing w:before="0" w:beforeLines="0" w:beforeAutospacing="0" w:after="0" w:afterLines="0" w:afterAutospacing="0" w:line="360" w:lineRule="auto"/>
        <w:ind w:left="0" w:leftChars="0" w:firstLine="640" w:firstLineChars="200"/>
        <w:jc w:val="left"/>
        <w:rPr>
          <w:rFonts w:ascii="Times New Roman" w:eastAsia="仿宋_GB2312"/>
          <w:b w:val="0"/>
          <w:sz w:val="32"/>
          <w:szCs w:val="32"/>
        </w:rPr>
      </w:pPr>
      <w:r>
        <w:rPr>
          <w:rFonts w:ascii="Times New Roman" w:eastAsia="仿宋_GB2312"/>
          <w:b w:val="0"/>
          <w:sz w:val="32"/>
          <w:szCs w:val="32"/>
        </w:rPr>
        <w:t xml:space="preserve">负责对外科技合作与交流工作，负责外国专家管理工作。 </w:t>
      </w:r>
    </w:p>
    <w:p>
      <w:pPr>
        <w:widowControl/>
        <w:numPr>
          <w:ilvl w:val="0"/>
          <w:numId w:val="2"/>
        </w:numPr>
        <w:spacing w:before="0" w:beforeLines="0" w:beforeAutospacing="0" w:after="0" w:afterLines="0" w:afterAutospacing="0" w:line="360" w:lineRule="auto"/>
        <w:ind w:left="0" w:leftChars="0" w:firstLine="640" w:firstLineChars="200"/>
        <w:jc w:val="left"/>
        <w:rPr>
          <w:rFonts w:ascii="Times New Roman" w:eastAsia="仿宋_GB2312"/>
          <w:b w:val="0"/>
          <w:sz w:val="32"/>
          <w:szCs w:val="32"/>
        </w:rPr>
      </w:pPr>
      <w:r>
        <w:rPr>
          <w:rFonts w:ascii="Times New Roman" w:eastAsia="仿宋_GB2312"/>
          <w:b w:val="0"/>
          <w:sz w:val="32"/>
          <w:szCs w:val="32"/>
        </w:rPr>
        <w:t xml:space="preserve">会同统计部门负责科技统计工作。 </w:t>
      </w:r>
    </w:p>
    <w:p>
      <w:pPr>
        <w:widowControl/>
        <w:numPr>
          <w:ilvl w:val="0"/>
          <w:numId w:val="2"/>
        </w:numPr>
        <w:spacing w:before="0" w:beforeLines="0" w:beforeAutospacing="0" w:after="0" w:afterLines="0" w:afterAutospacing="0" w:line="360" w:lineRule="auto"/>
        <w:ind w:left="0" w:leftChars="0" w:firstLine="640" w:firstLineChars="200"/>
        <w:jc w:val="left"/>
        <w:rPr>
          <w:rFonts w:ascii="Times New Roman" w:eastAsia="仿宋_GB2312"/>
          <w:b w:val="0"/>
          <w:sz w:val="32"/>
          <w:szCs w:val="32"/>
        </w:rPr>
      </w:pPr>
      <w:r>
        <w:rPr>
          <w:rFonts w:ascii="Times New Roman" w:eastAsia="仿宋_GB2312"/>
          <w:b w:val="0"/>
          <w:sz w:val="32"/>
          <w:szCs w:val="32"/>
        </w:rPr>
        <w:t xml:space="preserve">贯彻挑行国家、省、市有关金融工作的法律、法规和政策依职权牵头开展全区地方金融监督管理工作;牵头全区金融突发事件应急机制建设，协调配合有关部门依法做好非法金融案件的调查处理、善后处置和金融稳定工作。协调有关部门依法做好防范和处置非法集资以及社会稳定工作。 </w:t>
      </w:r>
    </w:p>
    <w:p>
      <w:pPr>
        <w:widowControl/>
        <w:numPr>
          <w:numId w:val="0"/>
        </w:numPr>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（十二） 完成工委、管委会和上级部门交办的其他任务。</w:t>
      </w:r>
    </w:p>
    <w:p>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二、机构设置</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从决算编报单位构成看，纳入2025年度本部门决算汇编范围的独立核算单位（以下简称“单位”）共1个，具体情况如下：</w:t>
      </w:r>
    </w:p>
    <w:tbl>
      <w:tblPr>
        <w:tblStyle w:val="11"/>
        <w:tblpPr w:leftFromText="180" w:rightFromText="180" w:vertAnchor="text" w:horzAnchor="page" w:tblpXSpec="center" w:tblpY="10"/>
        <w:tblOverlap w:val="never"/>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3485"/>
        <w:gridCol w:w="2445"/>
        <w:gridCol w:w="2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985" w:type="dxa"/>
            <w:vAlign w:val="center"/>
          </w:tcPr>
          <w:p>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序号</w:t>
            </w:r>
          </w:p>
        </w:tc>
        <w:tc>
          <w:tcPr>
            <w:tcW w:w="3485" w:type="dxa"/>
            <w:vAlign w:val="center"/>
          </w:tcPr>
          <w:p>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单位名称</w:t>
            </w:r>
          </w:p>
        </w:tc>
        <w:tc>
          <w:tcPr>
            <w:tcW w:w="2445" w:type="dxa"/>
            <w:vAlign w:val="center"/>
          </w:tcPr>
          <w:p>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单位基本性质</w:t>
            </w:r>
          </w:p>
        </w:tc>
        <w:tc>
          <w:tcPr>
            <w:tcW w:w="2665" w:type="dxa"/>
            <w:vAlign w:val="center"/>
          </w:tcPr>
          <w:p>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经费形式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85" w:type="dxa"/>
          </w:tcPr>
          <w:p>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lang w:val="en-US" w:eastAsia="zh-CN"/>
              </w:rPr>
              <w:t>1</w:t>
            </w:r>
          </w:p>
        </w:tc>
        <w:tc>
          <w:tcPr>
            <w:tcW w:w="3485" w:type="dxa"/>
          </w:tcPr>
          <w:p>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lang w:val="en-US" w:eastAsia="zh-CN"/>
              </w:rPr>
              <w:t>石家庄高新技术产业开发区科学技术局(本级)</w:t>
            </w:r>
          </w:p>
        </w:tc>
        <w:tc>
          <w:tcPr>
            <w:tcW w:w="2445" w:type="dxa"/>
          </w:tcPr>
          <w:p>
            <w:pPr>
              <w:spacing w:line="560" w:lineRule="exact"/>
              <w:jc w:val="center"/>
              <w:rPr>
                <w:rFonts w:ascii="仿宋_GB2312" w:hAnsi="Calibri" w:eastAsia="仿宋_GB2312" w:cs="ArialUnicodeMS"/>
                <w:kern w:val="0"/>
                <w:sz w:val="28"/>
                <w:szCs w:val="28"/>
              </w:rPr>
            </w:pPr>
          </w:p>
        </w:tc>
        <w:tc>
          <w:tcPr>
            <w:tcW w:w="2665" w:type="dxa"/>
          </w:tcPr>
          <w:p>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lang w:val="en-US" w:eastAsia="zh-CN"/>
              </w:rPr>
              <w:t>全额</w:t>
            </w:r>
          </w:p>
        </w:tc>
      </w:tr>
    </w:tbl>
    <w:p>
      <w:pPr>
        <w:rPr>
          <w:rFonts w:hint="eastAsia" w:ascii="Times New Roman" w:hAnsi="Times New Roman" w:eastAsia="黑体" w:cs="Times New Roman"/>
          <w:sz w:val="32"/>
          <w:szCs w:val="32"/>
          <w:highlight w:val="yellow"/>
        </w:rPr>
      </w:pPr>
      <w:r>
        <w:rPr>
          <w:rFonts w:hint="eastAsia" w:ascii="Times New Roman" w:hAnsi="Times New Roman" w:eastAsia="黑体" w:cs="Times New Roman"/>
          <w:sz w:val="32"/>
          <w:szCs w:val="32"/>
          <w:highlight w:val="yellow"/>
        </w:rPr>
        <w:br w:type="page"/>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第二部分</w:t>
      </w:r>
      <w:r>
        <w:rPr>
          <w:rFonts w:ascii="Times New Roman" w:eastAsia="仿宋_GB2312"/>
          <w:b w:val="0"/>
          <w:sz w:val="44"/>
          <w:szCs w:val="44"/>
        </w:rPr>
        <w:t>2025</w:t>
      </w:r>
      <w:r>
        <w:rPr>
          <w:rFonts w:ascii="Times New Roman" w:eastAsia="黑体"/>
          <w:b w:val="0"/>
          <w:sz w:val="44"/>
          <w:szCs w:val="44"/>
        </w:rPr>
        <w:t>年度部门决算表</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bidi w:val="0"/>
        <w:rPr>
          <w:rFonts w:hint="default"/>
          <w:lang w:val="en-US" w:eastAsia="zh-CN"/>
        </w:rPr>
      </w:pPr>
    </w:p>
    <w:p>
      <w:pPr>
        <w:bidi w:val="0"/>
        <w:rPr>
          <w:rFonts w:hint="default"/>
          <w:lang w:val="en-US" w:eastAsia="zh-CN"/>
        </w:rPr>
      </w:pPr>
    </w:p>
    <w:tbl>
      <w:tblPr>
        <w:tblStyle w:val="11"/>
        <w:tblW w:w="7250" w:type="pct"/>
        <w:tblInd w:w="-181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46"/>
        <w:gridCol w:w="624"/>
        <w:gridCol w:w="611"/>
        <w:gridCol w:w="1154"/>
        <w:gridCol w:w="1791"/>
        <w:gridCol w:w="1300"/>
        <w:gridCol w:w="675"/>
        <w:gridCol w:w="2124"/>
        <w:gridCol w:w="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61" w:hRule="atLeast"/>
        </w:trPr>
        <w:tc>
          <w:tcPr>
            <w:tcW w:w="4985" w:type="pct"/>
            <w:gridSpan w:val="8"/>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57" w:hRule="atLeast"/>
        </w:trPr>
        <w:tc>
          <w:tcPr>
            <w:tcW w:w="4985" w:type="pct"/>
            <w:gridSpan w:val="8"/>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 公开</w:t>
            </w:r>
            <w:r>
              <w:rPr>
                <w:rFonts w:hint="eastAsia" w:ascii="Times New Roman" w:hAnsi="Times New Roman" w:eastAsia="宋体" w:cs="Times New Roman"/>
                <w:i w:val="0"/>
                <w:iCs w:val="0"/>
                <w:color w:val="000000"/>
                <w:sz w:val="20"/>
                <w:szCs w:val="20"/>
                <w:highlight w:val="none"/>
                <w:u w:val="none"/>
                <w:lang w:val="en-US" w:eastAsia="zh-CN"/>
              </w:rPr>
              <w:t>01</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51" w:hRule="atLeast"/>
        </w:trPr>
        <w:tc>
          <w:tcPr>
            <w:tcW w:w="1964" w:type="pct"/>
            <w:gridSpan w:val="3"/>
            <w:tcBorders>
              <w:top w:val="nil"/>
              <w:left w:val="nil"/>
              <w:bottom w:val="single" w:color="000000" w:themeColor="text1" w:sz="8" w:space="0"/>
              <w:right w:val="nil"/>
            </w:tcBorders>
            <w:noWrap/>
            <w:vAlign w:val="bottom"/>
          </w:tcPr>
          <w:p>
            <w:pPr>
              <w:jc w:val="both"/>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部门（单位）：石家庄高新技术产业开发区科学技术局(本级)</w:t>
            </w:r>
          </w:p>
        </w:tc>
        <w:tc>
          <w:tcPr>
            <w:tcW w:w="1262" w:type="pct"/>
            <w:gridSpan w:val="2"/>
            <w:tcBorders>
              <w:top w:val="nil"/>
              <w:left w:val="nil"/>
              <w:bottom w:val="single" w:color="000000" w:themeColor="text1" w:sz="8" w:space="0"/>
              <w:right w:val="nil"/>
            </w:tcBorders>
            <w:noWrap/>
            <w:vAlign w:val="bottom"/>
          </w:tcPr>
          <w:p>
            <w:pPr>
              <w:jc w:val="center"/>
              <w:rPr>
                <w:rFonts w:hint="default" w:ascii="宋体" w:hAnsi="宋体" w:eastAsia="宋体" w:cs="宋体"/>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sz w:val="20"/>
                <w:szCs w:val="20"/>
                <w:highlight w:val="none"/>
                <w:u w:val="none"/>
                <w:lang w:val="en-US" w:eastAsia="zh-CN"/>
              </w:rPr>
              <w:t>2025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757" w:type="pct"/>
            <w:gridSpan w:val="3"/>
            <w:tcBorders>
              <w:top w:val="nil"/>
              <w:left w:val="nil"/>
              <w:bottom w:val="single" w:color="000000" w:themeColor="text1" w:sz="8" w:space="0"/>
              <w:right w:val="nil"/>
            </w:tcBorders>
            <w:noWrap/>
            <w:vAlign w:val="bottom"/>
          </w:tcPr>
          <w:p>
            <w:pPr>
              <w:jc w:val="right"/>
              <w:rPr>
                <w:rFonts w:hint="default" w:ascii="宋体" w:hAnsi="宋体" w:eastAsia="宋体" w:cs="宋体"/>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544" w:hRule="atLeast"/>
        </w:trPr>
        <w:tc>
          <w:tcPr>
            <w:tcW w:w="2459" w:type="pct"/>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收入</w:t>
            </w:r>
          </w:p>
        </w:tc>
        <w:tc>
          <w:tcPr>
            <w:tcW w:w="2525" w:type="pct"/>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08"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决算数</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Times New Roman" w:hAnsi="Times New Roman" w:eastAsia="宋体" w:cs="Times New Roman"/>
                <w:i w:val="0"/>
                <w:iCs w:val="0"/>
                <w:color w:val="000000"/>
                <w:sz w:val="20"/>
                <w:szCs w:val="20"/>
                <w:highlight w:val="none"/>
                <w:u w:val="none"/>
                <w:lang w:val="en-US" w:eastAsia="zh-CN"/>
              </w:rPr>
              <w:t>1</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Times New Roman" w:hAnsi="Times New Roman" w:eastAsia="宋体" w:cs="Times New Roman"/>
                <w:i w:val="0"/>
                <w:iCs w:val="0"/>
                <w:color w:val="000000"/>
                <w:sz w:val="20"/>
                <w:szCs w:val="20"/>
                <w:highlight w:val="none"/>
                <w:u w:val="none"/>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宋体" w:hAnsi="宋体" w:eastAsia="宋体" w:cs="宋体"/>
                <w:i w:val="0"/>
                <w:iCs w:val="0"/>
                <w:color w:val="000000"/>
                <w:sz w:val="20"/>
                <w:szCs w:val="20"/>
                <w:highlight w:val="none"/>
                <w:u w:val="none"/>
                <w:lang w:val="en-US" w:eastAsia="zh-CN"/>
              </w:rPr>
              <w:t>1</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10,717.20</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一、一般公共服务支出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32</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二、外交支出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33</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三、国防支出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34</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四、上级补助收入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四、公共安全支出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35</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五、事业收入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五、教育支出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36</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六、经营收入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六、科学技术支出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37</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10,645.66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七、附属单位上缴收入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7</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七、文化旅游体育与传媒支出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38</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八、其他收入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8</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八、社会保障和就业支出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39</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9</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九、卫生健康支出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40</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10</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十、节能环保支出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41</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11</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十一、城乡社区支出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42</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12</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十二、农林水支出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43</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539"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13</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十三、交通运输支出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44</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681"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14</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十四、资源勘探工业信息等支出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45</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780"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15</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十五、商业服务业等支出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46</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90"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16</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十六、金融支出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47</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17</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十七、援助其他地区支出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48</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539"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18</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十八、自然资源海洋气象等支出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49</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19</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十九、住房保障支出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50</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33.23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20</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二十、粮油物资储备支出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51</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21</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二十一、国有资本经营预算支出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52</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22</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二十二、灾害防治及应急管理支出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53</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23</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二十三、其他支出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54</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24</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二十四、债务还本支出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55</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25</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二十五、债务付息支出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56</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26</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二十六、抗疫特别国债安排的支出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57</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本年收入合计</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27</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10,717.20</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本年支出合计</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58</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10,717.20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使用非财政拨款结余（含专用结余）</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28</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结余分配</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59</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年初结转和结余</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29</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年末结转和结余</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60</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30</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pP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61</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08"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31</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10,717.20</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62</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10,717.20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nil"/>
              <w:left w:val="nil"/>
              <w:bottom w:val="nil"/>
              <w:right w:val="nil"/>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注：1.本表反映部门本年度的总收支和年末结转结余情况。</w:t>
            </w:r>
          </w:p>
          <w:p>
            <w:pPr>
              <w:keepNext w:val="0"/>
              <w:keepLines w:val="0"/>
              <w:widowControl/>
              <w:suppressLineNumbers w:val="0"/>
              <w:ind w:firstLine="400" w:firstLineChars="20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2.本套报表金额转换时可能存在尾数误差。</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92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0"/>
        <w:gridCol w:w="1160"/>
        <w:gridCol w:w="1037"/>
        <w:gridCol w:w="1037"/>
        <w:gridCol w:w="1037"/>
        <w:gridCol w:w="964"/>
        <w:gridCol w:w="367"/>
        <w:gridCol w:w="597"/>
        <w:gridCol w:w="1027"/>
        <w:gridCol w:w="9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9230" w:type="dxa"/>
            <w:gridSpan w:val="10"/>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230" w:type="dxa"/>
            <w:gridSpan w:val="10"/>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eastAsia" w:ascii="Times New Roman" w:hAnsi="Times New Roman" w:eastAsia="宋体" w:cs="Times New Roman"/>
                <w:i w:val="0"/>
                <w:iCs w:val="0"/>
                <w:color w:val="000000"/>
                <w:sz w:val="20"/>
                <w:szCs w:val="20"/>
                <w:highlight w:val="none"/>
                <w:u w:val="none"/>
                <w:lang w:val="en-US" w:eastAsia="zh-CN"/>
              </w:rPr>
              <w:t>02</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237" w:type="dxa"/>
            <w:gridSpan w:val="3"/>
            <w:tcBorders>
              <w:top w:val="nil"/>
              <w:left w:val="nil"/>
              <w:bottom w:val="single" w:color="000000" w:themeColor="text1" w:sz="8" w:space="0"/>
              <w:right w:val="nil"/>
            </w:tcBorders>
            <w:noWrap/>
            <w:vAlign w:val="bottom"/>
          </w:tcPr>
          <w:p>
            <w:pP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部门（单位）：石家庄高新技术产业开发区科学技术局(本级)                                                                                                         </w:t>
            </w:r>
          </w:p>
        </w:tc>
        <w:tc>
          <w:tcPr>
            <w:tcW w:w="3405" w:type="dxa"/>
            <w:gridSpan w:val="4"/>
            <w:tcBorders>
              <w:top w:val="nil"/>
              <w:left w:val="nil"/>
              <w:bottom w:val="single" w:color="000000" w:themeColor="text1" w:sz="8" w:space="0"/>
              <w:right w:val="nil"/>
            </w:tcBorders>
            <w:noWrap/>
            <w:vAlign w:val="bottom"/>
          </w:tcPr>
          <w:p>
            <w:pPr>
              <w:jc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default" w:ascii="Times New Roman" w:hAnsi="Times New Roman" w:eastAsia="方正仿宋_GB2312" w:cs="Times New Roman"/>
                <w:i w:val="0"/>
                <w:iCs w:val="0"/>
                <w:color w:val="000000"/>
                <w:sz w:val="20"/>
                <w:szCs w:val="20"/>
                <w:highlight w:val="none"/>
                <w:u w:val="none"/>
                <w:lang w:val="en-US" w:eastAsia="zh-CN"/>
              </w:rPr>
              <w:t>202</w:t>
            </w:r>
            <w:r>
              <w:rPr>
                <w:rFonts w:hint="eastAsia" w:ascii="Times New Roman" w:hAnsi="Times New Roman" w:eastAsia="方正仿宋_GB2312" w:cs="Times New Roman"/>
                <w:i w:val="0"/>
                <w:iCs w:val="0"/>
                <w:color w:val="000000"/>
                <w:sz w:val="20"/>
                <w:szCs w:val="20"/>
                <w:highlight w:val="none"/>
                <w:u w:val="none"/>
                <w:lang w:val="en-US" w:eastAsia="zh-CN"/>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2588" w:type="dxa"/>
            <w:gridSpan w:val="3"/>
            <w:tcBorders>
              <w:top w:val="nil"/>
              <w:left w:val="nil"/>
              <w:bottom w:val="single" w:color="000000" w:themeColor="text1" w:sz="8" w:space="0"/>
              <w:right w:val="nil"/>
            </w:tcBorders>
            <w:noWrap/>
            <w:vAlign w:val="bottom"/>
          </w:tcPr>
          <w:p>
            <w:pPr>
              <w:jc w:val="right"/>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20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1037"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本年收入合计</w:t>
            </w:r>
          </w:p>
        </w:tc>
        <w:tc>
          <w:tcPr>
            <w:tcW w:w="1037"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财政拨款收入</w:t>
            </w:r>
          </w:p>
        </w:tc>
        <w:tc>
          <w:tcPr>
            <w:tcW w:w="1037"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上级补助收入</w:t>
            </w:r>
          </w:p>
        </w:tc>
        <w:tc>
          <w:tcPr>
            <w:tcW w:w="964"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事业收入</w:t>
            </w:r>
          </w:p>
        </w:tc>
        <w:tc>
          <w:tcPr>
            <w:tcW w:w="964" w:type="dxa"/>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经营收入</w:t>
            </w:r>
          </w:p>
        </w:tc>
        <w:tc>
          <w:tcPr>
            <w:tcW w:w="1027"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附属单位上缴收入</w:t>
            </w:r>
          </w:p>
        </w:tc>
        <w:tc>
          <w:tcPr>
            <w:tcW w:w="964"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1160"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c>
          <w:tcPr>
            <w:tcW w:w="964"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2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6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2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6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2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20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4</w:t>
            </w: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20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10,717.20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10,717.20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科学技术支出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10,645.66</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10,645.66</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科学技术管理事务</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610.43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610.43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2060101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行政运行</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610.43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610.43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20602</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基础研究</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775.22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775.22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2060208</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科技人才队伍建设</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775.22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775.22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20604</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技术研究与开发</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231.79</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231.79</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2060404</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科技成果转化与扩散</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231.79</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231.79</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20605</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科技条件与服务</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2,496.12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2,496.12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2060502</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技术创新服务体系</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2,375.13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2,375.13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2060503</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科技条件专项</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120.99</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120.99</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20608</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科技交流与合作</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659.30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659.30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2060801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国际交流与合作</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659.30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659.30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20609</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科技重大项目</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2,000.00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2,000.00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2060901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科技重大专项</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600.00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600.00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2060902</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重点研发计划</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300.00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300.00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2060999</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其他科技重大项目</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1,100.00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1,100.00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20699</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其他科学技术支出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3,872.79</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3,872.79</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2069901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科技奖励</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240.00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240.00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2069999</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其他科学技术支出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3,632.79</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3,632.79</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社会保障和就业支出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30.22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30.22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20805</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行政事业单位养老支出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30.22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30.22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2080501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行政单位离退休</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15.07</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15.07</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2080505</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机关事业单位基本养老保险缴费支出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15.15</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15.15</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210</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卫生健康支出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8.10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8.10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21011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行政事业单位医疗</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8.10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8.10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2101101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行政单位医疗</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8.10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8.10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221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住房保障支出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33.23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33.23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22102</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住房改革支出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33.23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33.23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2210201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住房公积金</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33.23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33.23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230" w:type="dxa"/>
            <w:gridSpan w:val="10"/>
            <w:tcBorders>
              <w:top w:val="single" w:color="000000" w:themeColor="text1" w:sz="8" w:space="0"/>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注：本表反映部门本年度取得的各项收入情况。</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黑体" w:hAnsi="黑体" w:eastAsia="黑体" w:cs="宋体"/>
          <w:bCs/>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581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0"/>
        <w:gridCol w:w="1187"/>
        <w:gridCol w:w="1128"/>
        <w:gridCol w:w="126"/>
        <w:gridCol w:w="1000"/>
        <w:gridCol w:w="1126"/>
        <w:gridCol w:w="497"/>
        <w:gridCol w:w="629"/>
        <w:gridCol w:w="1126"/>
        <w:gridCol w:w="14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5000" w:type="pct"/>
            <w:gridSpan w:val="10"/>
            <w:tcBorders>
              <w:top w:val="nil"/>
              <w:left w:val="nil"/>
              <w:bottom w:val="nil"/>
              <w:right w:val="nil"/>
            </w:tcBorders>
            <w:noWrap/>
            <w:vAlign w:val="bottom"/>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1"/>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br w:type="page"/>
            </w:r>
            <w:r>
              <w:rPr>
                <w:rFonts w:hint="eastAsia" w:ascii="方正仿宋_GB2312" w:hAnsi="方正仿宋_GB2312" w:eastAsia="方正仿宋_GB2312" w:cs="方正仿宋_GB2312"/>
                <w:b w:val="0"/>
                <w:bCs/>
                <w:color w:val="auto"/>
                <w:kern w:val="0"/>
                <w:sz w:val="32"/>
                <w:szCs w:val="32"/>
                <w:highlight w:val="none"/>
                <w:lang w:val="en-US" w:eastAsia="zh-CN"/>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000" w:type="pct"/>
            <w:gridSpan w:val="10"/>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宋体" w:cs="Times New Roman"/>
                <w:i w:val="0"/>
                <w:iCs w:val="0"/>
                <w:color w:val="000000"/>
                <w:kern w:val="0"/>
                <w:sz w:val="20"/>
                <w:szCs w:val="20"/>
                <w:highlight w:val="none"/>
                <w:u w:val="none"/>
                <w:lang w:val="en-US" w:eastAsia="zh-CN" w:bidi="ar"/>
              </w:rPr>
              <w:t>03</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862" w:type="pct"/>
            <w:gridSpan w:val="4"/>
            <w:tcBorders>
              <w:top w:val="nil"/>
              <w:left w:val="nil"/>
              <w:bottom w:val="single" w:color="000000" w:themeColor="text1" w:sz="8" w:space="0"/>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部门（单位）：石家庄高新技术产业开发区科学技术局(本级) </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 xml:space="preserve">                                                                                                         </w:t>
            </w:r>
          </w:p>
        </w:tc>
        <w:tc>
          <w:tcPr>
            <w:tcW w:w="1403" w:type="pct"/>
            <w:gridSpan w:val="3"/>
            <w:tcBorders>
              <w:top w:val="nil"/>
              <w:left w:val="nil"/>
              <w:bottom w:val="single" w:color="000000" w:themeColor="text1" w:sz="8" w:space="0"/>
              <w:right w:val="nil"/>
            </w:tcBorders>
            <w:noWrap/>
            <w:vAlign w:val="bottom"/>
          </w:tcPr>
          <w:p>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highlight w:val="none"/>
                <w:u w:val="none"/>
                <w:lang w:val="en-US" w:eastAsia="zh-CN" w:bidi="ar"/>
              </w:rPr>
            </w:pPr>
            <w:r>
              <w:rPr>
                <w:rFonts w:hint="default" w:ascii="Times New Roman" w:hAnsi="Times New Roman" w:cs="Times New Roman" w:eastAsiaTheme="minorEastAsia"/>
                <w:i w:val="0"/>
                <w:iCs w:val="0"/>
                <w:color w:val="000000"/>
                <w:kern w:val="0"/>
                <w:sz w:val="20"/>
                <w:szCs w:val="20"/>
                <w:highlight w:val="none"/>
                <w:u w:val="none"/>
                <w:lang w:val="en-US" w:eastAsia="zh-CN" w:bidi="ar"/>
              </w:rPr>
              <w:t>202</w:t>
            </w:r>
            <w:r>
              <w:rPr>
                <w:rFonts w:hint="eastAsia" w:ascii="Times New Roman" w:hAnsi="Times New Roman"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734" w:type="pct"/>
            <w:gridSpan w:val="3"/>
            <w:tcBorders>
              <w:top w:val="nil"/>
              <w:left w:val="nil"/>
              <w:bottom w:val="single" w:color="000000" w:themeColor="text1" w:sz="8" w:space="0"/>
              <w:right w:val="nil"/>
            </w:tcBorders>
            <w:noWrap/>
            <w:vAlign w:val="bottom"/>
          </w:tcPr>
          <w:p>
            <w:pPr>
              <w:keepNext w:val="0"/>
              <w:keepLines w:val="0"/>
              <w:widowControl/>
              <w:suppressLineNumbers w:val="0"/>
              <w:jc w:val="right"/>
              <w:textAlignment w:val="bottom"/>
              <w:rPr>
                <w:rFonts w:hint="eastAsia" w:asciiTheme="minorEastAsia" w:hAnsiTheme="minorEastAsia" w:eastAsiaTheme="minorEastAsia" w:cstheme="minorEastAsia"/>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 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191"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603"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本年支出合计</w:t>
            </w:r>
          </w:p>
        </w:tc>
        <w:tc>
          <w:tcPr>
            <w:tcW w:w="602"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基本支出</w:t>
            </w:r>
          </w:p>
        </w:tc>
        <w:tc>
          <w:tcPr>
            <w:tcW w:w="602"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项目支出</w:t>
            </w:r>
          </w:p>
        </w:tc>
        <w:tc>
          <w:tcPr>
            <w:tcW w:w="602"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上缴上级支出</w:t>
            </w:r>
          </w:p>
        </w:tc>
        <w:tc>
          <w:tcPr>
            <w:tcW w:w="602"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经营支出</w:t>
            </w:r>
          </w:p>
        </w:tc>
        <w:tc>
          <w:tcPr>
            <w:tcW w:w="795"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635"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6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79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3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6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79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3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6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79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191"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191"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10,717.20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681.97</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10,035.23</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科学技术支出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10,645.66</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610.43</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10,035.23</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科学技术管理事务</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610.43</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610.43</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2060101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行政运行</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610.43</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610.43</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20602</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基础研究</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775.22</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775.22</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2060208</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科技人才队伍建设</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775.22</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775.22</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20604</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技术研究与开发</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231.79</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231.79</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2060404</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科技成果转化与扩散</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231.79</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231.79</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20605</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科技条件与服务</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2,496.12</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2,496.12</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2060502</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技术创新服务体系</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2,375.13</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2,375.13</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2060503</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科技条件专项</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120.99</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120.99</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20608</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科技交流与合作</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659.30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659.30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2060801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国际交流与合作</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659.30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659.30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20609</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科技重大项目</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2,000.00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2,000.00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2060901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科技重大专项</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600.00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600.00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2060902</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重点研发计划</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300.00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300.00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2060999</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其他科技重大项目</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1,100.00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1,100.00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20699</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其他科学技术支出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3,872.79</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3,872.79</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2069901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科技奖励</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240.00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240.00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2069999</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其他科学技术支出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3,632.79</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3,632.79</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社会保障和就业支出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30.22</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30.22</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行政事业单位养老支出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30.22</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30.22</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2080501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行政单位离退休</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15.07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15.07</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2080505</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机关事业单位基本养老保险缴费支出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15.15</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15.15</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卫生健康支出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8.10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8.10</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21011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行政事业单位医疗</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8.10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8.10</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2101101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行政单位医疗</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8.10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8.10</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住房保障支出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33.23</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33.23</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22102</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住房改革支出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33.23</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33.23</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2210201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住房公积金</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33.23</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33.23</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000" w:type="pct"/>
            <w:gridSpan w:val="10"/>
            <w:tcBorders>
              <w:top w:val="single" w:color="000000" w:themeColor="text1" w:sz="8" w:space="0"/>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注：本表反映部门本年度各项支出情况。</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7281" w:type="pct"/>
        <w:tblInd w:w="-18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84"/>
        <w:gridCol w:w="624"/>
        <w:gridCol w:w="1427"/>
        <w:gridCol w:w="1659"/>
        <w:gridCol w:w="439"/>
        <w:gridCol w:w="624"/>
        <w:gridCol w:w="458"/>
        <w:gridCol w:w="837"/>
        <w:gridCol w:w="1219"/>
        <w:gridCol w:w="1219"/>
        <w:gridCol w:w="12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11"/>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11"/>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方正仿宋_GB2312" w:cs="Times New Roman"/>
                <w:i w:val="0"/>
                <w:iCs w:val="0"/>
                <w:color w:val="000000"/>
                <w:kern w:val="0"/>
                <w:sz w:val="20"/>
                <w:szCs w:val="20"/>
                <w:highlight w:val="none"/>
                <w:u w:val="none"/>
                <w:lang w:val="en-US" w:eastAsia="zh-CN" w:bidi="ar"/>
              </w:rPr>
              <w:t>04</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31" w:type="pct"/>
            <w:gridSpan w:val="4"/>
            <w:tcBorders>
              <w:top w:val="nil"/>
              <w:left w:val="nil"/>
              <w:bottom w:val="single" w:color="000000" w:themeColor="text1" w:sz="8" w:space="0"/>
              <w:right w:val="nil"/>
            </w:tcBorders>
            <w:noWrap/>
            <w:vAlign w:val="bottom"/>
          </w:tcPr>
          <w:p>
            <w:pPr>
              <w:rPr>
                <w:rFonts w:hint="eastAsia" w:ascii="仿宋" w:hAnsi="仿宋" w:eastAsia="仿宋" w:cs="仿宋"/>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部门（单位）：石家庄高新技术产业开发区科学技术局(本级) </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 xml:space="preserve">                                                                                                   </w:t>
            </w:r>
          </w:p>
        </w:tc>
        <w:tc>
          <w:tcPr>
            <w:tcW w:w="649" w:type="pct"/>
            <w:gridSpan w:val="3"/>
            <w:tcBorders>
              <w:top w:val="nil"/>
              <w:left w:val="nil"/>
              <w:bottom w:val="single" w:color="000000" w:themeColor="text1" w:sz="8" w:space="0"/>
              <w:right w:val="nil"/>
            </w:tcBorders>
            <w:noWrap/>
            <w:vAlign w:val="bottom"/>
          </w:tcPr>
          <w:p>
            <w:pPr>
              <w:jc w:val="center"/>
              <w:rPr>
                <w:rFonts w:hint="default" w:asciiTheme="minorEastAsia" w:hAnsiTheme="minorEastAsia" w:eastAsiaTheme="minorEastAsia" w:cstheme="minorEastAsia"/>
                <w:i w:val="0"/>
                <w:iCs w:val="0"/>
                <w:color w:val="000000"/>
                <w:kern w:val="0"/>
                <w:sz w:val="20"/>
                <w:szCs w:val="20"/>
                <w:highlight w:val="none"/>
                <w:u w:val="none"/>
                <w:lang w:val="en-US" w:eastAsia="zh-CN" w:bidi="ar"/>
              </w:rPr>
            </w:pPr>
            <w:r>
              <w:rPr>
                <w:rFonts w:hint="default" w:ascii="Times New Roman" w:hAnsi="Times New Roman" w:cs="Times New Roman"/>
                <w:i w:val="0"/>
                <w:iCs w:val="0"/>
                <w:color w:val="000000"/>
                <w:kern w:val="0"/>
                <w:sz w:val="20"/>
                <w:szCs w:val="20"/>
                <w:highlight w:val="none"/>
                <w:u w:val="none"/>
                <w:lang w:val="en-US" w:eastAsia="zh-CN" w:bidi="ar"/>
              </w:rPr>
              <w:t>202</w:t>
            </w:r>
            <w:r>
              <w:rPr>
                <w:rFonts w:hint="eastAsia" w:ascii="Times New Roman" w:hAnsi="Times New Roman"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919" w:type="pct"/>
            <w:gridSpan w:val="4"/>
            <w:tcBorders>
              <w:top w:val="nil"/>
              <w:left w:val="nil"/>
              <w:bottom w:val="single" w:color="000000" w:themeColor="text1" w:sz="8" w:space="0"/>
              <w:right w:val="nil"/>
            </w:tcBorders>
            <w:noWrap/>
            <w:vAlign w:val="bottom"/>
          </w:tcPr>
          <w:p>
            <w:pPr>
              <w:jc w:val="right"/>
              <w:rPr>
                <w:rFonts w:hint="default" w:asciiTheme="minorEastAsia" w:hAnsiTheme="minorEastAsia" w:eastAsiaTheme="minorEastAsia" w:cstheme="minorEastAsia"/>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23"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收入</w:t>
            </w:r>
          </w:p>
        </w:tc>
        <w:tc>
          <w:tcPr>
            <w:tcW w:w="3276" w:type="pct"/>
            <w:gridSpan w:val="8"/>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7"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    目</w:t>
            </w:r>
          </w:p>
        </w:tc>
        <w:tc>
          <w:tcPr>
            <w:tcW w:w="26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609"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金额</w:t>
            </w:r>
          </w:p>
        </w:tc>
        <w:tc>
          <w:tcPr>
            <w:tcW w:w="895"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26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552"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合计</w:t>
            </w:r>
          </w:p>
        </w:tc>
        <w:tc>
          <w:tcPr>
            <w:tcW w:w="520"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一般公共预算财政拨款</w:t>
            </w:r>
          </w:p>
        </w:tc>
        <w:tc>
          <w:tcPr>
            <w:tcW w:w="520"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政府性基金预算财政拨款</w:t>
            </w:r>
          </w:p>
        </w:tc>
        <w:tc>
          <w:tcPr>
            <w:tcW w:w="520"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7"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26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609"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895"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26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5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520"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520"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520"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    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    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10,717.20</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一、一般公共服务支出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33</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二、外交支出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34</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三、国防支出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35</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四、公共安全支出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36</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五、教育支出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37</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六、科学技术支出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38</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10,645.66</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10,645.66</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7</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七、文化旅游体育与传媒支出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39</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8</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八、社会保障和就业支出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40</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30.22</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30.22</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9</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九、卫生健康支出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41</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8.10</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8.10</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10</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十、节能环保支出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42</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11</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十一、城乡社区支出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43</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12</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十二、农林水支出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44</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13</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十三、交通运输支出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45</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14</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十四、资源勘探工业信息等支出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46</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15</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十五、商业服务业等支出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47</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16</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十六、金融支出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48</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17</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十七、援助其他地区支出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49</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18</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十八、自然资源海洋气象等支出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50</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19</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十九、住房保障支出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51</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33.23</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33.23</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20</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二十、粮油物资储备支出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52</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21</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二十一、国有资本经营预算支出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53</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22</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二十二、灾害防治及应急管理支出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54</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23</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二十三、其他支出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55</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24</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二十四、债务还本支出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56</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b/>
                <w:bCs/>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25</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二十五、债务付息支出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57</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26</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二十六、抗疫特别国债安排的支出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58</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本年收入合计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27</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10,717.20</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本年支出合计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59</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10,717.20</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10,717.20</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年初财政拨款结转和结余</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28</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年末财政拨款结转和结余</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60</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both"/>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both"/>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29</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61</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30</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62</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31</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63</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32</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10,717.20</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64</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10,717.20</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cs="Times New Roman"/>
                <w:sz w:val="20"/>
                <w:szCs w:val="20"/>
                <w:highlight w:val="none"/>
              </w:rPr>
            </w:pPr>
          </w:p>
          <w:p>
            <w:pPr>
              <w:jc w:val="righ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10,717.20</w:t>
            </w:r>
          </w:p>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11"/>
            <w:tcBorders>
              <w:top w:val="single" w:color="000000" w:themeColor="text1" w:sz="8" w:space="0"/>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注：本表反映部门本年度一般公共预算财政拨款、政府性基金预算财政拨款和国有资本经营预算财政拨款的总收支和年末结转结余情况。</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5348" w:type="pct"/>
        <w:tblInd w:w="-6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34"/>
        <w:gridCol w:w="3146"/>
        <w:gridCol w:w="1113"/>
        <w:gridCol w:w="489"/>
        <w:gridCol w:w="511"/>
        <w:gridCol w:w="352"/>
        <w:gridCol w:w="11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7" w:hRule="atLeast"/>
        </w:trPr>
        <w:tc>
          <w:tcPr>
            <w:tcW w:w="5000" w:type="pct"/>
            <w:gridSpan w:val="7"/>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5000" w:type="pct"/>
            <w:gridSpan w:val="7"/>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方正仿宋_GB2312" w:cs="Times New Roman"/>
                <w:i w:val="0"/>
                <w:iCs w:val="0"/>
                <w:color w:val="000000"/>
                <w:kern w:val="0"/>
                <w:sz w:val="20"/>
                <w:szCs w:val="20"/>
                <w:highlight w:val="none"/>
                <w:u w:val="none"/>
                <w:lang w:val="en-US" w:eastAsia="zh-CN" w:bidi="ar"/>
              </w:rPr>
              <w:t>05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1868" w:type="pct"/>
            <w:gridSpan w:val="3"/>
            <w:tcBorders>
              <w:top w:val="nil"/>
              <w:left w:val="nil"/>
              <w:bottom w:val="single" w:color="000000" w:themeColor="text1" w:sz="8" w:space="0"/>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部门（单位）：石家庄高新技术产业开发区科学技术局(本级)</w:t>
            </w:r>
          </w:p>
        </w:tc>
        <w:tc>
          <w:tcPr>
            <w:tcW w:w="1541" w:type="pct"/>
            <w:gridSpan w:val="2"/>
            <w:tcBorders>
              <w:top w:val="nil"/>
              <w:left w:val="nil"/>
              <w:bottom w:val="single" w:color="000000" w:themeColor="text1" w:sz="8" w:space="0"/>
              <w:right w:val="nil"/>
            </w:tcBorders>
            <w:noWrap/>
            <w:vAlign w:val="bottom"/>
          </w:tcPr>
          <w:p>
            <w:pPr>
              <w:keepNext w:val="0"/>
              <w:keepLines w:val="0"/>
              <w:widowControl/>
              <w:suppressLineNumbers w:val="0"/>
              <w:jc w:val="center"/>
              <w:textAlignment w:val="bottom"/>
              <w:rPr>
                <w:rFonts w:hint="default" w:asciiTheme="minorEastAsia" w:hAnsiTheme="minorEastAsia" w:eastAsiaTheme="minorEastAsia" w:cstheme="minorEastAsia"/>
                <w:i w:val="0"/>
                <w:iCs w:val="0"/>
                <w:color w:val="000000"/>
                <w:kern w:val="0"/>
                <w:sz w:val="20"/>
                <w:szCs w:val="20"/>
                <w:highlight w:val="none"/>
                <w:u w:val="none"/>
                <w:lang w:val="en-US" w:eastAsia="zh-CN" w:bidi="ar"/>
              </w:rPr>
            </w:pPr>
            <w:r>
              <w:rPr>
                <w:rFonts w:hint="default" w:ascii="Times New Roman" w:hAnsi="Times New Roman" w:cs="Times New Roman"/>
                <w:i w:val="0"/>
                <w:iCs w:val="0"/>
                <w:color w:val="000000"/>
                <w:kern w:val="0"/>
                <w:sz w:val="20"/>
                <w:szCs w:val="20"/>
                <w:highlight w:val="none"/>
                <w:u w:val="none"/>
                <w:lang w:val="en-US" w:eastAsia="zh-CN" w:bidi="ar"/>
              </w:rPr>
              <w:t>202</w:t>
            </w:r>
            <w:r>
              <w:rPr>
                <w:rFonts w:hint="eastAsia" w:ascii="Times New Roman" w:hAnsi="Times New Roman"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590" w:type="pct"/>
            <w:gridSpan w:val="2"/>
            <w:tcBorders>
              <w:top w:val="nil"/>
              <w:left w:val="nil"/>
              <w:bottom w:val="single" w:color="000000" w:themeColor="text1" w:sz="8" w:space="0"/>
              <w:right w:val="nil"/>
            </w:tcBorders>
            <w:noWrap/>
            <w:vAlign w:val="bottom"/>
          </w:tcPr>
          <w:p>
            <w:pPr>
              <w:keepNext w:val="0"/>
              <w:keepLines w:val="0"/>
              <w:widowControl/>
              <w:suppressLineNumbers w:val="0"/>
              <w:jc w:val="right"/>
              <w:textAlignment w:val="bottom"/>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461" w:type="pct"/>
            <w:gridSpan w:val="2"/>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3538" w:type="pct"/>
            <w:gridSpan w:val="5"/>
            <w:tcBorders>
              <w:top w:val="single" w:color="000000" w:themeColor="text1" w:sz="8" w:space="0"/>
              <w:left w:val="single" w:color="000000" w:themeColor="text1" w:sz="8" w:space="0"/>
              <w:bottom w:val="single" w:color="000000" w:themeColor="text1" w:sz="8" w:space="0"/>
              <w:right w:val="single" w:color="auto"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704" w:type="pct"/>
            <w:vMerge w:val="restart"/>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科目代码</w:t>
            </w:r>
          </w:p>
        </w:tc>
        <w:tc>
          <w:tcPr>
            <w:tcW w:w="75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1160"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小计</w:t>
            </w:r>
          </w:p>
        </w:tc>
        <w:tc>
          <w:tcPr>
            <w:tcW w:w="1160"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基本支出</w:t>
            </w:r>
          </w:p>
        </w:tc>
        <w:tc>
          <w:tcPr>
            <w:tcW w:w="1218" w:type="pct"/>
            <w:vMerge w:val="restart"/>
            <w:tcBorders>
              <w:top w:val="single" w:color="000000" w:themeColor="text1" w:sz="8" w:space="0"/>
              <w:left w:val="single" w:color="000000" w:themeColor="text1" w:sz="8" w:space="0"/>
              <w:bottom w:val="single" w:color="000000" w:themeColor="text1" w:sz="8" w:space="0"/>
              <w:right w:val="single" w:color="auto"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704" w:type="pct"/>
            <w:vMerge w:val="continue"/>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75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160"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160"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218" w:type="pct"/>
            <w:vMerge w:val="continue"/>
            <w:tcBorders>
              <w:top w:val="single" w:color="000000" w:themeColor="text1" w:sz="8" w:space="0"/>
              <w:left w:val="single" w:color="000000" w:themeColor="text1" w:sz="8" w:space="0"/>
              <w:bottom w:val="single" w:color="000000" w:themeColor="text1" w:sz="8" w:space="0"/>
              <w:right w:val="single" w:color="auto"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704" w:type="pct"/>
            <w:vMerge w:val="continue"/>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75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160"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160"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218" w:type="pct"/>
            <w:vMerge w:val="continue"/>
            <w:tcBorders>
              <w:top w:val="single" w:color="000000" w:themeColor="text1" w:sz="8" w:space="0"/>
              <w:left w:val="single" w:color="000000" w:themeColor="text1" w:sz="8" w:space="0"/>
              <w:bottom w:val="single" w:color="000000" w:themeColor="text1" w:sz="8" w:space="0"/>
              <w:right w:val="single" w:color="auto"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461" w:type="pct"/>
            <w:gridSpan w:val="2"/>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1</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2</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461" w:type="pct"/>
            <w:gridSpan w:val="2"/>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10,717.20</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681.97</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10,035.23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科学技术支出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10,645.66</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610.43</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10,035.23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科学技术管理事务</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610.43</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610.43</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2060101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行政运行</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610.43</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610.43</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20602</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基础研究</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775.22</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775.22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2060208</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科技人才队伍建设</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775.22</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775.22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20604</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技术研究与开发</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231.79</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231.79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2060404</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科技成果转化与扩散</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231.79</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231.79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20605</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科技条件与服务</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2,496.12</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2,496.12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2060502</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技术创新服务体系</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2,375.13</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2,375.13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2060503</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科技条件专项</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120.99</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120.99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20608</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科技交流与合作</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659.30</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659.30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2060801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国际交流与合作</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659.30</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659.30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20609</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科技重大项目</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2,000.00</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2060901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科技重大专项</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600.00</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2060902</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重点研发计划</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300.00</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2060999</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其他科技重大项目</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1,100.00</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20699</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其他科学技术支出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3,872.79</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3,872.79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2069901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科技奖励</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240.00</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2069999</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其他科学技术支出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3,632.79</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3,632.79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社会保障和就业支出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30.22</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30.22</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行政事业单位养老支出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30.22</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30.22</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行政单位离退休</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15.07</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15.07</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2080505</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机关事业单位基本养老保险缴费支出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15.15</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15.15</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卫生健康支出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8.10</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8.10</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21011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行政事业单位医疗</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8.10</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8.10</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2101101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行政单位医疗</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8.10</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8.10</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住房保障支出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33.23</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33.23</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22102</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住房改革支出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33.23</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33.23</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2210201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住房公积金</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33.23</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33.23</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5000" w:type="pct"/>
            <w:gridSpan w:val="7"/>
            <w:tcBorders>
              <w:top w:val="single" w:color="000000" w:themeColor="text1" w:sz="8" w:space="0"/>
              <w:left w:val="nil"/>
              <w:bottom w:val="nil"/>
              <w:right w:val="nil"/>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注：本表反映部门本年度一般公共预算财政拨款支出情况。</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116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6"/>
        <w:gridCol w:w="1332"/>
        <w:gridCol w:w="1896"/>
        <w:gridCol w:w="666"/>
        <w:gridCol w:w="933"/>
        <w:gridCol w:w="122"/>
        <w:gridCol w:w="1774"/>
        <w:gridCol w:w="666"/>
        <w:gridCol w:w="1650"/>
        <w:gridCol w:w="18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601" w:type="dxa"/>
            <w:gridSpan w:val="10"/>
            <w:tcBorders>
              <w:top w:val="nil"/>
              <w:left w:val="nil"/>
              <w:bottom w:val="nil"/>
              <w:right w:val="nil"/>
            </w:tcBorders>
            <w:shd w:val="clear" w:color="auto" w:fill="auto"/>
            <w:noWrap/>
            <w:vAlign w:val="bottom"/>
          </w:tcPr>
          <w:p>
            <w:pPr>
              <w:keepNext w:val="0"/>
              <w:keepLines w:val="0"/>
              <w:widowControl/>
              <w:suppressLineNumbers w:val="0"/>
              <w:snapToGrid w:val="0"/>
              <w:jc w:val="center"/>
              <w:textAlignment w:val="bottom"/>
              <w:rPr>
                <w:rFonts w:ascii="方正仿宋_GB2312" w:hAnsi="方正仿宋_GB2312" w:eastAsia="方正仿宋_GB2312" w:cs="方正仿宋_GB2312"/>
                <w:i w:val="0"/>
                <w:iCs w:val="0"/>
                <w:color w:val="000000"/>
                <w:sz w:val="32"/>
                <w:szCs w:val="32"/>
                <w:u w:val="none"/>
              </w:rPr>
            </w:pPr>
            <w:r>
              <w:rPr>
                <w:rFonts w:hint="eastAsia" w:ascii="方正仿宋_GB2312" w:hAnsi="方正仿宋_GB2312" w:eastAsia="方正仿宋_GB2312" w:cs="方正仿宋_GB2312"/>
                <w:i w:val="0"/>
                <w:iCs w:val="0"/>
                <w:color w:val="000000"/>
                <w:kern w:val="0"/>
                <w:sz w:val="32"/>
                <w:szCs w:val="32"/>
                <w:u w:val="none"/>
                <w:lang w:val="en-US" w:eastAsia="zh-CN" w:bidi="ar"/>
              </w:rPr>
              <w:t>一般公共预算财政拨款基本支出决算明细表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601" w:type="dxa"/>
            <w:gridSpan w:val="10"/>
            <w:tcBorders>
              <w:top w:val="nil"/>
              <w:left w:val="nil"/>
              <w:bottom w:val="nil"/>
              <w:right w:val="nil"/>
            </w:tcBorders>
            <w:shd w:val="clear" w:color="auto" w:fill="auto"/>
            <w:noWrap/>
            <w:vAlign w:val="bottom"/>
          </w:tcPr>
          <w:p>
            <w:pPr>
              <w:keepNext w:val="0"/>
              <w:keepLines w:val="0"/>
              <w:widowControl/>
              <w:suppressLineNumbers w:val="0"/>
              <w:snapToGrid w:val="0"/>
              <w:jc w:val="right"/>
              <w:textAlignment w:val="bottom"/>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公开</w:t>
            </w:r>
            <w:r>
              <w:rPr>
                <w:rFonts w:hint="default" w:ascii="Times New Roman" w:hAnsi="Times New Roman" w:eastAsia="方正仿宋_GB2312" w:cs="Times New Roman"/>
                <w:i w:val="0"/>
                <w:iCs w:val="0"/>
                <w:color w:val="000000"/>
                <w:kern w:val="0"/>
                <w:sz w:val="18"/>
                <w:szCs w:val="18"/>
                <w:u w:val="none"/>
                <w:lang w:val="en-US" w:eastAsia="zh-CN" w:bidi="ar"/>
              </w:rPr>
              <w:t>06</w:t>
            </w:r>
            <w:r>
              <w:rPr>
                <w:rStyle w:val="25"/>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15" w:type="dxa"/>
            <w:gridSpan w:val="6"/>
            <w:tcBorders>
              <w:top w:val="nil"/>
              <w:left w:val="nil"/>
              <w:bottom w:val="single" w:color="000000" w:sz="8" w:space="0"/>
              <w:right w:val="nil"/>
            </w:tcBorders>
            <w:shd w:val="clear" w:color="auto" w:fill="auto"/>
            <w:noWrap/>
            <w:vAlign w:val="bottom"/>
          </w:tcPr>
          <w:p>
            <w:pPr>
              <w:keepNext w:val="0"/>
              <w:keepLines w:val="0"/>
              <w:widowControl/>
              <w:suppressLineNumbers w:val="0"/>
              <w:snapToGrid w:val="0"/>
              <w:jc w:val="both"/>
              <w:textAlignment w:val="bottom"/>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部门（单位）：石家庄高新技术产业开发区科学技术局(本级) </w:t>
            </w:r>
            <w:r>
              <w:rPr>
                <w:rFonts w:hint="eastAsia" w:ascii="宋体" w:hAnsi="宋体" w:eastAsia="宋体" w:cs="宋体"/>
                <w:i w:val="0"/>
                <w:iCs w:val="0"/>
                <w:color w:val="000000"/>
                <w:kern w:val="0"/>
                <w:sz w:val="18"/>
                <w:szCs w:val="18"/>
                <w:u w:val="none"/>
                <w:lang w:val="en-US" w:eastAsia="zh-CN" w:bidi="ar"/>
              </w:rPr>
              <w:t xml:space="preserve">                                                                   </w:t>
            </w:r>
          </w:p>
        </w:tc>
        <w:tc>
          <w:tcPr>
            <w:tcW w:w="1774" w:type="dxa"/>
            <w:tcBorders>
              <w:top w:val="nil"/>
              <w:left w:val="nil"/>
              <w:bottom w:val="single" w:color="000000" w:sz="8" w:space="0"/>
              <w:right w:val="nil"/>
            </w:tcBorders>
            <w:shd w:val="clear" w:color="auto" w:fill="auto"/>
            <w:noWrap/>
            <w:vAlign w:val="bottom"/>
          </w:tcPr>
          <w:p>
            <w:pPr>
              <w:keepNext w:val="0"/>
              <w:keepLines w:val="0"/>
              <w:widowControl/>
              <w:suppressLineNumbers w:val="0"/>
              <w:snapToGrid w:val="0"/>
              <w:jc w:val="center"/>
              <w:textAlignment w:val="bottom"/>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2025</w:t>
            </w:r>
            <w:r>
              <w:rPr>
                <w:rStyle w:val="25"/>
                <w:lang w:val="en-US" w:eastAsia="zh-CN" w:bidi="ar"/>
              </w:rPr>
              <w:t>年度</w:t>
            </w:r>
          </w:p>
        </w:tc>
        <w:tc>
          <w:tcPr>
            <w:tcW w:w="4212" w:type="dxa"/>
            <w:gridSpan w:val="3"/>
            <w:tcBorders>
              <w:top w:val="nil"/>
              <w:left w:val="nil"/>
              <w:bottom w:val="single" w:color="000000" w:sz="8" w:space="0"/>
              <w:right w:val="nil"/>
            </w:tcBorders>
            <w:shd w:val="clear" w:color="auto" w:fill="auto"/>
            <w:noWrap/>
            <w:vAlign w:val="bottom"/>
          </w:tcPr>
          <w:p>
            <w:pPr>
              <w:keepNext w:val="0"/>
              <w:keepLines w:val="0"/>
              <w:widowControl/>
              <w:suppressLineNumbers w:val="0"/>
              <w:snapToGrid w:val="0"/>
              <w:jc w:val="right"/>
              <w:textAlignment w:val="bottom"/>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94"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人员经费</w:t>
            </w:r>
          </w:p>
        </w:tc>
        <w:tc>
          <w:tcPr>
            <w:tcW w:w="7707" w:type="dxa"/>
            <w:gridSpan w:val="7"/>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科目代码</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科目名称</w:t>
            </w:r>
          </w:p>
        </w:tc>
        <w:tc>
          <w:tcPr>
            <w:tcW w:w="1896"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金额</w:t>
            </w:r>
          </w:p>
        </w:tc>
        <w:tc>
          <w:tcPr>
            <w:tcW w:w="666"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科目代码</w:t>
            </w:r>
          </w:p>
        </w:tc>
        <w:tc>
          <w:tcPr>
            <w:tcW w:w="1055" w:type="dxa"/>
            <w:gridSpan w:val="2"/>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科目名称</w:t>
            </w:r>
          </w:p>
        </w:tc>
        <w:tc>
          <w:tcPr>
            <w:tcW w:w="1774"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金额</w:t>
            </w:r>
          </w:p>
        </w:tc>
        <w:tc>
          <w:tcPr>
            <w:tcW w:w="666"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科目代码</w:t>
            </w:r>
          </w:p>
        </w:tc>
        <w:tc>
          <w:tcPr>
            <w:tcW w:w="1650"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科目名称</w:t>
            </w:r>
          </w:p>
        </w:tc>
        <w:tc>
          <w:tcPr>
            <w:tcW w:w="1896"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工资福利支出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527.06</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商品和服务支出</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139.84</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307</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债务利息及费用支出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30101</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基本工资</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108.40</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30201</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办公费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8.64</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30701</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国内债务付息</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30102</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津贴补贴</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11.22</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30202</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印刷费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30702</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国外债务付息</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30103</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奖金</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349.20</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30204</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手续费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资本性支出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30106</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伙食补助费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30205</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水费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31001</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房屋建筑物购建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30107</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绩效工资</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30206</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电费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31002</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办公设备购置</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30108</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机关事业单位基本养老保险缴费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15.15</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30207</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邮电费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5.43</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31003</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专用设备购置</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30109</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职业年金缴费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30208</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取暖费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31005</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基础设施建设</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30110</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职工基本医疗保险缴费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8.10</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30209</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物业管理费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31006</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大型修缮</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30111</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公务员医疗补助缴费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30211</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差旅费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31007</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信息网络及软件购置更新</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30112</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其他社会保障缴费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1.76</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30212</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因公出国（境）费用</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31008</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物资储备</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30113</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住房公积金</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33.23</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30213</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维修（护）费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31009</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土地补偿</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30114</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医疗费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30214</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租赁费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31010</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安置补助</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30199</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其他工资福利支出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30215</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会议费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31011</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地上附着物和青苗补偿</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对个人和家庭的补助</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15.07</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30216</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培训费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31012</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拆迁补偿</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30301</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离休费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30217</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公务接待费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31013</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公务用车购置</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30302</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退休费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15.07</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30218</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专用材料费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31019</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其他交通工具购置</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30303</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退职（役）费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30224</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被装购置费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31021</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文物和陈列品购置</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30304</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抚恤金</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30225</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专用燃料费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31022</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无形资产购置</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30305</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生活补助</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30226</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劳务费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115.49</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31099</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其他资本性支出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30306</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救济费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30227</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委托业务费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30307</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医疗费补助</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30228</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工会经费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1.87</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39907</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国家赔偿费用支出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30308</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助学金</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30229</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福利费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0.77</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39908</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对民间非营利组织和群众性自治组织补贴</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30309</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奖励金</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30231</w:t>
            </w:r>
          </w:p>
        </w:tc>
        <w:tc>
          <w:tcPr>
            <w:tcW w:w="933"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公务用车运行维护费</w:t>
            </w:r>
          </w:p>
        </w:tc>
        <w:tc>
          <w:tcPr>
            <w:tcW w:w="1896"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39909</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经常性赠与</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30310</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个人农业生产补贴</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30239</w:t>
            </w:r>
          </w:p>
        </w:tc>
        <w:tc>
          <w:tcPr>
            <w:tcW w:w="933"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其他交通费用</w:t>
            </w:r>
          </w:p>
        </w:tc>
        <w:tc>
          <w:tcPr>
            <w:tcW w:w="1896"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7.38</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39910</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资本性赠与</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30311</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代缴社会保险费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30240</w:t>
            </w:r>
          </w:p>
        </w:tc>
        <w:tc>
          <w:tcPr>
            <w:tcW w:w="933"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税金及附加费用</w:t>
            </w:r>
          </w:p>
        </w:tc>
        <w:tc>
          <w:tcPr>
            <w:tcW w:w="1896"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39999</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30399</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其他对个人和家庭的补助</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30299</w:t>
            </w:r>
          </w:p>
        </w:tc>
        <w:tc>
          <w:tcPr>
            <w:tcW w:w="933"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其他商品和服务支出</w:t>
            </w:r>
          </w:p>
        </w:tc>
        <w:tc>
          <w:tcPr>
            <w:tcW w:w="1896"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0.25</w:t>
            </w:r>
          </w:p>
        </w:tc>
        <w:tc>
          <w:tcPr>
            <w:tcW w:w="666" w:type="dxa"/>
            <w:tcBorders>
              <w:top w:val="nil"/>
              <w:left w:val="nil"/>
              <w:bottom w:val="single" w:color="000000" w:sz="8" w:space="0"/>
              <w:right w:val="single" w:color="000000" w:sz="8" w:space="0"/>
            </w:tcBorders>
            <w:shd w:val="clear" w:color="auto" w:fill="auto"/>
            <w:noWrap/>
            <w:vAlign w:val="center"/>
          </w:tcPr>
          <w:p>
            <w:pPr>
              <w:snapToGrid w:val="0"/>
              <w:jc w:val="center"/>
              <w:rPr>
                <w:rFonts w:hint="default" w:ascii="Times New Roman" w:hAnsi="Times New Roman" w:eastAsia="宋体" w:cs="Times New Roman"/>
                <w:i w:val="0"/>
                <w:iCs w:val="0"/>
                <w:color w:val="000000"/>
                <w:sz w:val="18"/>
                <w:szCs w:val="18"/>
                <w:u w:val="none"/>
              </w:rPr>
            </w:pPr>
          </w:p>
        </w:tc>
        <w:tc>
          <w:tcPr>
            <w:tcW w:w="1650" w:type="dxa"/>
            <w:tcBorders>
              <w:top w:val="nil"/>
              <w:left w:val="nil"/>
              <w:bottom w:val="single" w:color="000000" w:sz="8" w:space="0"/>
              <w:right w:val="single" w:color="000000" w:sz="8" w:space="0"/>
            </w:tcBorders>
            <w:shd w:val="clear" w:color="auto" w:fill="auto"/>
            <w:noWrap/>
            <w:vAlign w:val="center"/>
          </w:tcPr>
          <w:p>
            <w:pPr>
              <w:snapToGrid w:val="0"/>
              <w:jc w:val="left"/>
              <w:rPr>
                <w:rFonts w:hint="eastAsia" w:ascii="方正仿宋_GB2312" w:hAnsi="方正仿宋_GB2312" w:eastAsia="方正仿宋_GB2312" w:cs="方正仿宋_GB2312"/>
                <w:i w:val="0"/>
                <w:iCs w:val="0"/>
                <w:color w:val="000000"/>
                <w:sz w:val="18"/>
                <w:szCs w:val="18"/>
                <w:u w:val="none"/>
              </w:rPr>
            </w:pPr>
          </w:p>
        </w:tc>
        <w:tc>
          <w:tcPr>
            <w:tcW w:w="1896" w:type="dxa"/>
            <w:tcBorders>
              <w:top w:val="nil"/>
              <w:left w:val="nil"/>
              <w:bottom w:val="single" w:color="000000" w:sz="8" w:space="0"/>
              <w:right w:val="single" w:color="000000" w:sz="8" w:space="0"/>
            </w:tcBorders>
            <w:shd w:val="clear" w:color="auto" w:fill="auto"/>
            <w:noWrap/>
            <w:vAlign w:val="center"/>
          </w:tcPr>
          <w:p>
            <w:pPr>
              <w:snapToGrid w:val="0"/>
              <w:jc w:val="right"/>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98" w:type="dxa"/>
            <w:gridSpan w:val="2"/>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人员经费合计</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542.13</w:t>
            </w:r>
          </w:p>
        </w:tc>
        <w:tc>
          <w:tcPr>
            <w:tcW w:w="5811" w:type="dxa"/>
            <w:gridSpan w:val="6"/>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公用经费合计</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139.84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601" w:type="dxa"/>
            <w:gridSpan w:val="10"/>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注：本表反映部门本年度一般公共预算财政拨款基本支出明细情况。</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6517" w:type="pct"/>
        <w:tblInd w:w="-14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0"/>
        <w:gridCol w:w="1474"/>
        <w:gridCol w:w="1306"/>
        <w:gridCol w:w="1027"/>
        <w:gridCol w:w="1107"/>
        <w:gridCol w:w="418"/>
        <w:gridCol w:w="702"/>
        <w:gridCol w:w="1146"/>
        <w:gridCol w:w="20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9"/>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0" w:type="pct"/>
            <w:gridSpan w:val="9"/>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宋体" w:cs="Times New Roman"/>
                <w:i w:val="0"/>
                <w:iCs w:val="0"/>
                <w:color w:val="000000"/>
                <w:kern w:val="0"/>
                <w:sz w:val="20"/>
                <w:szCs w:val="20"/>
                <w:highlight w:val="none"/>
                <w:u w:val="none"/>
                <w:lang w:val="en-US" w:eastAsia="zh-CN" w:bidi="ar"/>
              </w:rPr>
              <w:t>07</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27" w:type="pct"/>
            <w:gridSpan w:val="3"/>
            <w:tcBorders>
              <w:top w:val="nil"/>
              <w:left w:val="nil"/>
              <w:bottom w:val="single" w:color="000000" w:themeColor="text1" w:sz="8" w:space="0"/>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部门（单位）：石家庄高新技术产业开发区科学技术局(本级) </w:t>
            </w:r>
            <w:r>
              <w:rPr>
                <w:rFonts w:hint="eastAsia" w:ascii="宋体" w:hAnsi="宋体" w:eastAsia="宋体" w:cs="宋体"/>
                <w:i w:val="0"/>
                <w:iCs w:val="0"/>
                <w:color w:val="000000"/>
                <w:kern w:val="0"/>
                <w:sz w:val="20"/>
                <w:szCs w:val="20"/>
                <w:highlight w:val="none"/>
                <w:u w:val="none"/>
                <w:lang w:val="en-US" w:eastAsia="zh-CN" w:bidi="ar"/>
              </w:rPr>
              <w:t xml:space="preserve">                                                                                     </w:t>
            </w:r>
          </w:p>
        </w:tc>
        <w:tc>
          <w:tcPr>
            <w:tcW w:w="1217" w:type="pct"/>
            <w:gridSpan w:val="3"/>
            <w:tcBorders>
              <w:top w:val="nil"/>
              <w:left w:val="nil"/>
              <w:bottom w:val="single" w:color="000000" w:themeColor="text1" w:sz="8" w:space="0"/>
              <w:right w:val="nil"/>
            </w:tcBorders>
            <w:noWrap/>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202</w:t>
            </w:r>
            <w:r>
              <w:rPr>
                <w:rFonts w:hint="eastAsia" w:ascii="Times New Roman" w:hAnsi="Times New Roman" w:eastAsia="宋体"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854" w:type="pct"/>
            <w:gridSpan w:val="3"/>
            <w:tcBorders>
              <w:top w:val="nil"/>
              <w:left w:val="nil"/>
              <w:bottom w:val="single" w:color="000000" w:themeColor="text1" w:sz="8" w:space="0"/>
              <w:right w:val="nil"/>
            </w:tcBorders>
            <w:noWrap/>
            <w:vAlign w:val="bottom"/>
          </w:tcPr>
          <w:p>
            <w:pPr>
              <w:keepNext w:val="0"/>
              <w:keepLines w:val="0"/>
              <w:widowControl/>
              <w:suppressLineNumbers w:val="0"/>
              <w:jc w:val="right"/>
              <w:textAlignment w:val="bottom"/>
              <w:rPr>
                <w:rFonts w:hint="default" w:ascii="宋体" w:hAnsi="宋体" w:eastAsia="宋体" w:cs="宋体"/>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0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623"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年初结转和结余</w:t>
            </w:r>
          </w:p>
        </w:tc>
        <w:tc>
          <w:tcPr>
            <w:tcW w:w="489"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本年收入</w:t>
            </w:r>
          </w:p>
        </w:tc>
        <w:tc>
          <w:tcPr>
            <w:tcW w:w="1609" w:type="pct"/>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本年支出</w:t>
            </w:r>
          </w:p>
        </w:tc>
        <w:tc>
          <w:tcPr>
            <w:tcW w:w="973"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703"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62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489"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28"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小计</w:t>
            </w:r>
          </w:p>
        </w:tc>
        <w:tc>
          <w:tcPr>
            <w:tcW w:w="534"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基本支出</w:t>
            </w:r>
          </w:p>
        </w:tc>
        <w:tc>
          <w:tcPr>
            <w:tcW w:w="54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项目支出</w:t>
            </w:r>
          </w:p>
        </w:tc>
        <w:tc>
          <w:tcPr>
            <w:tcW w:w="97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结转</w:t>
            </w:r>
          </w:p>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62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489"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28"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34"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4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97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62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489"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28"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34"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4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97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0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62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1</w:t>
            </w:r>
          </w:p>
        </w:tc>
        <w:tc>
          <w:tcPr>
            <w:tcW w:w="4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2</w:t>
            </w: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3</w:t>
            </w:r>
          </w:p>
        </w:tc>
        <w:tc>
          <w:tcPr>
            <w:tcW w:w="53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4</w:t>
            </w:r>
          </w:p>
        </w:tc>
        <w:tc>
          <w:tcPr>
            <w:tcW w:w="54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5</w:t>
            </w:r>
          </w:p>
        </w:tc>
        <w:tc>
          <w:tcPr>
            <w:tcW w:w="97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lang w:val="en-US" w:eastAsia="zh-CN"/>
              </w:rPr>
            </w:pPr>
            <w:r>
              <w:rPr>
                <w:rFonts w:hint="default" w:ascii="Times New Roman" w:hAnsi="Times New Roman" w:eastAsia="方正仿宋_GB2312" w:cs="Times New Roman"/>
                <w:i w:val="0"/>
                <w:iCs w:val="0"/>
                <w:color w:val="000000"/>
                <w:sz w:val="20"/>
                <w:szCs w:val="20"/>
                <w:highlight w:val="none"/>
                <w:u w:val="none"/>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trPr>
        <w:tc>
          <w:tcPr>
            <w:tcW w:w="130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62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4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3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4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97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single" w:color="000000" w:themeColor="text1" w:sz="8" w:space="0"/>
              <w:left w:val="nil"/>
              <w:bottom w:val="nil"/>
              <w:right w:val="nil"/>
            </w:tcBorders>
            <w:noWrap/>
            <w:vAlign w:val="center"/>
          </w:tcPr>
          <w:p>
            <w:pP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注：本表反映部门本年度政府性基金预算财政拨款收入、支出及结转和结余情况。（如无相关数据，则需注明空表列示）</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br w:type="page"/>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5863" w:type="pct"/>
        <w:tblInd w:w="-9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93"/>
        <w:gridCol w:w="731"/>
        <w:gridCol w:w="1296"/>
        <w:gridCol w:w="1332"/>
        <w:gridCol w:w="5"/>
        <w:gridCol w:w="47"/>
        <w:gridCol w:w="1281"/>
        <w:gridCol w:w="10"/>
        <w:gridCol w:w="17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9"/>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9"/>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方正仿宋_GB2312" w:cs="Times New Roman"/>
                <w:i w:val="0"/>
                <w:iCs w:val="0"/>
                <w:color w:val="000000"/>
                <w:kern w:val="0"/>
                <w:sz w:val="20"/>
                <w:szCs w:val="20"/>
                <w:highlight w:val="none"/>
                <w:u w:val="none"/>
                <w:lang w:val="en-US" w:eastAsia="zh-CN" w:bidi="ar"/>
              </w:rPr>
              <w:t>08</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74" w:type="pct"/>
            <w:gridSpan w:val="2"/>
            <w:tcBorders>
              <w:top w:val="nil"/>
              <w:left w:val="nil"/>
              <w:bottom w:val="single" w:color="000000" w:themeColor="text1" w:sz="8" w:space="0"/>
              <w:right w:val="nil"/>
            </w:tcBorders>
            <w:noWrap/>
            <w:vAlign w:val="bottom"/>
          </w:tcPr>
          <w:p>
            <w:pPr>
              <w:keepNext w:val="0"/>
              <w:keepLines w:val="0"/>
              <w:widowControl/>
              <w:suppressLineNumbers w:val="0"/>
              <w:jc w:val="both"/>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部门（单位）：石家庄高新技术产业开发区科学技术局(本级)</w:t>
            </w:r>
          </w:p>
        </w:tc>
        <w:tc>
          <w:tcPr>
            <w:tcW w:w="1421" w:type="pct"/>
            <w:gridSpan w:val="4"/>
            <w:tcBorders>
              <w:top w:val="nil"/>
              <w:left w:val="nil"/>
              <w:bottom w:val="single" w:color="000000" w:themeColor="text1" w:sz="8" w:space="0"/>
              <w:right w:val="nil"/>
            </w:tcBorders>
            <w:noWrap/>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202</w:t>
            </w:r>
            <w:r>
              <w:rPr>
                <w:rFonts w:hint="eastAsia" w:ascii="Times New Roman" w:hAnsi="Times New Roman" w:eastAsia="宋体"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603" w:type="pct"/>
            <w:gridSpan w:val="3"/>
            <w:tcBorders>
              <w:top w:val="nil"/>
              <w:left w:val="nil"/>
              <w:bottom w:val="single" w:color="000000" w:themeColor="text1" w:sz="8" w:space="0"/>
              <w:right w:val="nil"/>
            </w:tcBorders>
            <w:noWrap/>
            <w:vAlign w:val="bottom"/>
          </w:tcPr>
          <w:p>
            <w:pPr>
              <w:keepNext w:val="0"/>
              <w:keepLines w:val="0"/>
              <w:widowControl/>
              <w:suppressLineNumbers w:val="0"/>
              <w:jc w:val="right"/>
              <w:textAlignment w:val="bottom"/>
              <w:rPr>
                <w:rFonts w:hint="default" w:ascii="宋体" w:hAnsi="宋体" w:eastAsia="宋体" w:cs="宋体"/>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662" w:type="pct"/>
            <w:gridSpan w:val="3"/>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 项目</w:t>
            </w:r>
          </w:p>
        </w:tc>
        <w:tc>
          <w:tcPr>
            <w:tcW w:w="2337" w:type="pct"/>
            <w:gridSpan w:val="6"/>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662" w:type="pct"/>
            <w:gridSpan w:val="3"/>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2337" w:type="pct"/>
            <w:gridSpan w:val="6"/>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87"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1074"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科目名称</w:t>
            </w:r>
          </w:p>
        </w:tc>
        <w:tc>
          <w:tcPr>
            <w:tcW w:w="709"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合计</w:t>
            </w:r>
          </w:p>
        </w:tc>
        <w:tc>
          <w:tcPr>
            <w:tcW w:w="709" w:type="pct"/>
            <w:gridSpan w:val="3"/>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基本支出</w:t>
            </w:r>
          </w:p>
        </w:tc>
        <w:tc>
          <w:tcPr>
            <w:tcW w:w="919" w:type="pct"/>
            <w:vMerge w:val="restart"/>
            <w:tcBorders>
              <w:top w:val="single" w:color="000000" w:themeColor="text1" w:sz="8" w:space="0"/>
              <w:left w:val="single" w:color="000000" w:themeColor="text1" w:sz="8" w:space="0"/>
              <w:bottom w:val="single" w:color="000000" w:themeColor="text1" w:sz="8" w:space="0"/>
              <w:right w:val="single" w:color="000000" w:sz="4" w:space="0"/>
            </w:tcBorders>
            <w:noWrap w:val="0"/>
            <w:vAlign w:val="center"/>
          </w:tcPr>
          <w:p>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87"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74"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9"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9" w:type="pct"/>
            <w:gridSpan w:val="3"/>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919" w:type="pct"/>
            <w:vMerge w:val="continue"/>
            <w:tcBorders>
              <w:top w:val="single" w:color="000000" w:themeColor="text1" w:sz="8" w:space="0"/>
              <w:left w:val="single" w:color="000000" w:themeColor="text1" w:sz="8" w:space="0"/>
              <w:bottom w:val="single" w:color="000000" w:themeColor="text1" w:sz="8" w:space="0"/>
              <w:right w:val="single" w:color="000000" w:sz="4"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2"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栏次</w:t>
            </w:r>
          </w:p>
        </w:tc>
        <w:tc>
          <w:tcPr>
            <w:tcW w:w="70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1</w:t>
            </w:r>
          </w:p>
        </w:tc>
        <w:tc>
          <w:tcPr>
            <w:tcW w:w="706"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2</w:t>
            </w:r>
          </w:p>
        </w:tc>
        <w:tc>
          <w:tcPr>
            <w:tcW w:w="924" w:type="pct"/>
            <w:gridSpan w:val="2"/>
            <w:tcBorders>
              <w:top w:val="single" w:color="000000" w:themeColor="text1" w:sz="8" w:space="0"/>
              <w:left w:val="single" w:color="000000" w:themeColor="text1" w:sz="8" w:space="0"/>
              <w:bottom w:val="single" w:color="000000" w:themeColor="text1" w:sz="8"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2"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default" w:ascii="Times New Roman" w:hAnsi="Times New Roman" w:eastAsia="宋体"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合计</w:t>
            </w:r>
          </w:p>
        </w:tc>
        <w:tc>
          <w:tcPr>
            <w:tcW w:w="70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06"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924" w:type="pct"/>
            <w:gridSpan w:val="2"/>
            <w:tcBorders>
              <w:top w:val="single" w:color="000000" w:themeColor="text1" w:sz="8" w:space="0"/>
              <w:left w:val="single" w:color="000000" w:themeColor="text1" w:sz="8" w:space="0"/>
              <w:bottom w:val="single" w:color="000000" w:themeColor="text1" w:sz="8"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single" w:color="000000" w:themeColor="text1" w:sz="8" w:space="0"/>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注：本表反映部门本年度国有资本经营预算财政拨款支出情况。（如无相关数据，则需注明空表列示）</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pPr w:leftFromText="180" w:rightFromText="180" w:vertAnchor="text" w:horzAnchor="page" w:tblpX="282" w:tblpY="39"/>
        <w:tblOverlap w:val="never"/>
        <w:tblW w:w="721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87"/>
        <w:gridCol w:w="1226"/>
        <w:gridCol w:w="814"/>
        <w:gridCol w:w="946"/>
        <w:gridCol w:w="519"/>
        <w:gridCol w:w="544"/>
        <w:gridCol w:w="777"/>
        <w:gridCol w:w="845"/>
        <w:gridCol w:w="5"/>
        <w:gridCol w:w="1133"/>
        <w:gridCol w:w="640"/>
        <w:gridCol w:w="1027"/>
        <w:gridCol w:w="946"/>
        <w:gridCol w:w="11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14"/>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000" w:type="pct"/>
            <w:gridSpan w:val="14"/>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公开</w:t>
            </w:r>
            <w:r>
              <w:rPr>
                <w:rFonts w:hint="default" w:ascii="Times New Roman" w:hAnsi="Times New Roman" w:eastAsia="方正仿宋_GB2312" w:cs="Times New Roman"/>
                <w:i w:val="0"/>
                <w:iCs w:val="0"/>
                <w:color w:val="000000"/>
                <w:kern w:val="0"/>
                <w:sz w:val="18"/>
                <w:szCs w:val="18"/>
                <w:highlight w:val="none"/>
                <w:u w:val="none"/>
                <w:lang w:val="en-US" w:eastAsia="zh-CN" w:bidi="ar"/>
              </w:rPr>
              <w:t>09</w:t>
            </w: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1936" w:type="pct"/>
            <w:gridSpan w:val="5"/>
            <w:tcBorders>
              <w:top w:val="nil"/>
              <w:left w:val="nil"/>
              <w:bottom w:val="single" w:color="000000" w:themeColor="text1" w:sz="8" w:space="0"/>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部门（单位）：石家庄高新技术产业开发区科学技术局(本级)</w:t>
            </w:r>
          </w:p>
        </w:tc>
        <w:tc>
          <w:tcPr>
            <w:tcW w:w="933" w:type="pct"/>
            <w:gridSpan w:val="3"/>
            <w:tcBorders>
              <w:top w:val="nil"/>
              <w:left w:val="nil"/>
              <w:bottom w:val="single" w:color="000000" w:themeColor="text1" w:sz="8" w:space="0"/>
              <w:right w:val="nil"/>
            </w:tcBorders>
            <w:noWrap/>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202</w:t>
            </w:r>
            <w:r>
              <w:rPr>
                <w:rFonts w:hint="eastAsia" w:ascii="Times New Roman" w:hAnsi="Times New Roman" w:eastAsia="宋体" w:cs="Times New Roman"/>
                <w:i w:val="0"/>
                <w:iCs w:val="0"/>
                <w:color w:val="000000"/>
                <w:kern w:val="0"/>
                <w:sz w:val="18"/>
                <w:szCs w:val="18"/>
                <w:highlight w:val="none"/>
                <w:u w:val="none"/>
                <w:lang w:val="en-US" w:eastAsia="zh-CN" w:bidi="ar"/>
              </w:rPr>
              <w:t>5</w:t>
            </w: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年度</w:t>
            </w:r>
          </w:p>
        </w:tc>
        <w:tc>
          <w:tcPr>
            <w:tcW w:w="2129" w:type="pct"/>
            <w:gridSpan w:val="6"/>
            <w:tcBorders>
              <w:top w:val="nil"/>
              <w:left w:val="nil"/>
              <w:bottom w:val="single" w:color="000000" w:themeColor="text1" w:sz="8" w:space="0"/>
              <w:right w:val="nil"/>
            </w:tcBorders>
            <w:noWrap/>
            <w:vAlign w:val="bottom"/>
          </w:tcPr>
          <w:p>
            <w:pPr>
              <w:keepNext w:val="0"/>
              <w:keepLines w:val="0"/>
              <w:widowControl/>
              <w:suppressLineNumbers w:val="0"/>
              <w:jc w:val="right"/>
              <w:textAlignment w:val="bottom"/>
              <w:rPr>
                <w:rFonts w:hint="default" w:ascii="宋体" w:hAnsi="宋体" w:eastAsia="宋体" w:cs="宋体"/>
                <w:i w:val="0"/>
                <w:iCs w:val="0"/>
                <w:color w:val="000000"/>
                <w:kern w:val="0"/>
                <w:sz w:val="18"/>
                <w:szCs w:val="18"/>
                <w:highlight w:val="none"/>
                <w:u w:val="none"/>
                <w:lang w:val="en-US" w:eastAsia="zh-CN" w:bidi="ar"/>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2506" w:type="pct"/>
            <w:gridSpan w:val="7"/>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预算数</w:t>
            </w:r>
          </w:p>
        </w:tc>
        <w:tc>
          <w:tcPr>
            <w:tcW w:w="2493" w:type="pct"/>
            <w:gridSpan w:val="7"/>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合计</w:t>
            </w:r>
          </w:p>
        </w:tc>
        <w:tc>
          <w:tcPr>
            <w:tcW w:w="528"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因公出国（境）费</w:t>
            </w:r>
          </w:p>
        </w:tc>
        <w:tc>
          <w:tcPr>
            <w:tcW w:w="1217" w:type="pct"/>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公务用车购置及运行维护费</w:t>
            </w:r>
          </w:p>
        </w:tc>
        <w:tc>
          <w:tcPr>
            <w:tcW w:w="335"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公务接待费</w:t>
            </w:r>
          </w:p>
        </w:tc>
        <w:tc>
          <w:tcPr>
            <w:tcW w:w="366"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合计</w:t>
            </w:r>
          </w:p>
        </w:tc>
        <w:tc>
          <w:tcPr>
            <w:tcW w:w="488"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因公出国（境）费</w:t>
            </w:r>
          </w:p>
        </w:tc>
        <w:tc>
          <w:tcPr>
            <w:tcW w:w="1126"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公务用车购置及运行维护费</w:t>
            </w:r>
          </w:p>
        </w:tc>
        <w:tc>
          <w:tcPr>
            <w:tcW w:w="511"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528"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35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小计</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公务用车购置费</w:t>
            </w:r>
          </w:p>
        </w:tc>
        <w:tc>
          <w:tcPr>
            <w:tcW w:w="458"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公务用车运行维护费</w:t>
            </w:r>
          </w:p>
        </w:tc>
        <w:tc>
          <w:tcPr>
            <w:tcW w:w="33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366"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488"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27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小计</w:t>
            </w:r>
          </w:p>
        </w:tc>
        <w:tc>
          <w:tcPr>
            <w:tcW w:w="44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公务用车购置费</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公务用车运行维护费</w:t>
            </w:r>
          </w:p>
        </w:tc>
        <w:tc>
          <w:tcPr>
            <w:tcW w:w="511"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w:t>
            </w: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2</w:t>
            </w:r>
          </w:p>
        </w:tc>
        <w:tc>
          <w:tcPr>
            <w:tcW w:w="35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3</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4</w:t>
            </w:r>
          </w:p>
        </w:tc>
        <w:tc>
          <w:tcPr>
            <w:tcW w:w="458"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5</w:t>
            </w:r>
          </w:p>
        </w:tc>
        <w:tc>
          <w:tcPr>
            <w:tcW w:w="3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6</w:t>
            </w:r>
          </w:p>
        </w:tc>
        <w:tc>
          <w:tcPr>
            <w:tcW w:w="36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7</w:t>
            </w:r>
          </w:p>
        </w:tc>
        <w:tc>
          <w:tcPr>
            <w:tcW w:w="48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8</w:t>
            </w:r>
          </w:p>
        </w:tc>
        <w:tc>
          <w:tcPr>
            <w:tcW w:w="27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9</w:t>
            </w:r>
          </w:p>
        </w:tc>
        <w:tc>
          <w:tcPr>
            <w:tcW w:w="44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10</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11</w:t>
            </w:r>
          </w:p>
        </w:tc>
        <w:tc>
          <w:tcPr>
            <w:tcW w:w="511"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2.48</w:t>
            </w: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2.48</w:t>
            </w:r>
          </w:p>
        </w:tc>
        <w:tc>
          <w:tcPr>
            <w:tcW w:w="35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458"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3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36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2.48</w:t>
            </w:r>
          </w:p>
        </w:tc>
        <w:tc>
          <w:tcPr>
            <w:tcW w:w="48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2.48</w:t>
            </w:r>
          </w:p>
        </w:tc>
        <w:tc>
          <w:tcPr>
            <w:tcW w:w="27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44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511"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000" w:type="pct"/>
            <w:gridSpan w:val="14"/>
            <w:tcBorders>
              <w:top w:val="single" w:color="000000" w:themeColor="text1" w:sz="8" w:space="0"/>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sectPr>
          <w:headerReference r:id="rId9" w:type="default"/>
          <w:footerReference r:id="rId10" w:type="default"/>
          <w:pgSz w:w="11906" w:h="16838"/>
          <w:pgMar w:top="1531" w:right="1984" w:bottom="1531" w:left="2098" w:header="851" w:footer="992" w:gutter="0"/>
          <w:pgBorders>
            <w:top w:val="none" w:sz="0" w:space="0"/>
            <w:left w:val="none" w:sz="0" w:space="0"/>
            <w:bottom w:val="none" w:sz="0" w:space="0"/>
            <w:right w:val="none" w:sz="0" w:space="0"/>
          </w:pgBorders>
          <w:cols w:space="720" w:num="1"/>
          <w:docGrid w:type="lines" w:linePitch="312" w:charSpace="0"/>
        </w:sect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第三部分</w:t>
      </w:r>
      <w:r>
        <w:rPr>
          <w:rFonts w:ascii="Times New Roman" w:eastAsia="仿宋_GB2312"/>
          <w:b w:val="0"/>
          <w:sz w:val="44"/>
          <w:szCs w:val="44"/>
        </w:rPr>
        <w:t>2025</w:t>
      </w:r>
      <w:r>
        <w:rPr>
          <w:rFonts w:ascii="Times New Roman" w:eastAsia="黑体"/>
          <w:b w:val="0"/>
          <w:sz w:val="44"/>
          <w:szCs w:val="44"/>
        </w:rPr>
        <w:t>年度部门决算情况说明</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sectPr>
          <w:footerReference r:id="rId11" w:type="default"/>
          <w:pgSz w:w="11906" w:h="16838"/>
          <w:pgMar w:top="2098" w:right="1417" w:bottom="1871" w:left="1417" w:header="851" w:footer="992" w:gutter="0"/>
          <w:pgBorders>
            <w:top w:val="none" w:sz="0" w:space="0"/>
            <w:left w:val="none" w:sz="0" w:space="0"/>
            <w:bottom w:val="none" w:sz="0" w:space="0"/>
            <w:right w:val="none" w:sz="0" w:space="0"/>
          </w:pgBorders>
          <w:cols w:space="0" w:num="1"/>
          <w:rtlGutter w:val="0"/>
          <w:docGrid w:type="lines" w:linePitch="329" w:charSpace="0"/>
        </w:sectPr>
      </w:pPr>
    </w:p>
    <w:p>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一、收入支出决算总体情况说明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本单位2025年度收、支总计（含结转和结余）均为10,717.20万元。与2024年度决算相比，收支各减少9,901.45万元，下降48.0%，主要原因是2025年度上级资金减少。</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Arial" w:cs="Times New Roman"/>
          <w:highlight w:val="none"/>
        </w:rPr>
      </w:pPr>
      <w:r>
        <w:rPr>
          <w:rFonts w:hint="eastAsia" w:ascii="Times New Roman" w:hAnsi="Times New Roman" w:eastAsia="宋体"/>
        </w:rPr>
        <w:drawing>
          <wp:inline distT="0" distB="0" distL="114300" distR="114300">
            <wp:extent cx="5256530" cy="2988310"/>
            <wp:effectExtent l="5080" t="4445" r="8890" b="1714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rFonts w:hint="default" w:ascii="Times New Roman" w:hAnsi="Times New Roman" w:eastAsia="Arial" w:cs="Times New Roman"/>
          <w:i w:val="0"/>
          <w:iCs w:val="0"/>
          <w:caps w:val="0"/>
          <w:color w:val="000000"/>
          <w:spacing w:val="0"/>
          <w:sz w:val="18"/>
          <w:szCs w:val="18"/>
          <w:highlight w:val="none"/>
          <w:shd w:val="clear" w:fill="FFFFFF"/>
        </w:rPr>
        <w:t> </w:t>
      </w:r>
    </w:p>
    <w:p>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二、收入决算情况说明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本年收入合计10,717.20万元，其中：财政拨款收入10,717.20万元，占100.0%；上级补助收入0.00万元，占0.0%；事业收入0.00万元，占0.0%；经营收入0.00万元，占0.0%；附属单位上缴收入0.00万元，占0.0%；其他收入0.00万元，占0.0%。</w:t>
      </w:r>
    </w:p>
    <w:p>
      <w:pPr>
        <w:adjustRightInd w:val="0"/>
        <w:snapToGrid w:val="0"/>
        <w:spacing w:line="580" w:lineRule="exact"/>
        <w:jc w:val="both"/>
        <w:rPr>
          <w:rFonts w:hint="default" w:ascii="Times New Roman" w:hAnsi="Times New Roman" w:eastAsia="仿宋_GB2312" w:cs="Times New Roman"/>
          <w:kern w:val="2"/>
          <w:sz w:val="32"/>
          <w:szCs w:val="32"/>
          <w:highlight w:val="yellow"/>
          <w:lang w:val="zh-CN"/>
        </w:rPr>
      </w:pPr>
      <w:r>
        <w:rPr>
          <w:rFonts w:ascii="Times New Roman" w:hAnsi="Times New Roman" w:eastAsia="仿宋_GB2312"/>
          <w:kern w:val="2"/>
          <w:sz w:val="32"/>
          <w:szCs w:val="32"/>
          <w:highlight w:val="yellow"/>
          <w:lang w:val="zh-CN"/>
        </w:rPr>
        <w:drawing>
          <wp:anchor distT="0" distB="0" distL="114300" distR="114300" simplePos="0" relativeHeight="251660288" behindDoc="0" locked="0" layoutInCell="1" allowOverlap="1">
            <wp:simplePos x="0" y="0"/>
            <wp:positionH relativeFrom="column">
              <wp:posOffset>-16510</wp:posOffset>
            </wp:positionH>
            <wp:positionV relativeFrom="paragraph">
              <wp:posOffset>201930</wp:posOffset>
            </wp:positionV>
            <wp:extent cx="5256530" cy="2988310"/>
            <wp:effectExtent l="5080" t="4445" r="8890" b="17145"/>
            <wp:wrapTopAndBottom/>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三、支出决算情况说明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本单位2025年度本年支出合计10,717.20万元，其中：基本支出681.97万元，占6.4%；项目支出10,035.23万元，占93.6%；经营支出0.00万元，占0.0%；上缴上级支出0.00万元，占0.0%；对附属单位补助支出0.00万元，占0.0%。</w:t>
      </w:r>
    </w:p>
    <w:p>
      <w:pPr>
        <w:autoSpaceDE w:val="0"/>
        <w:autoSpaceDN w:val="0"/>
        <w:adjustRightInd w:val="0"/>
        <w:jc w:val="center"/>
        <w:rPr>
          <w:rFonts w:hint="default" w:ascii="Times New Roman" w:hAnsi="Times New Roman" w:eastAsia="仿宋_GB2312" w:cs="Times New Roman"/>
          <w:color w:val="auto"/>
          <w:kern w:val="0"/>
          <w:sz w:val="32"/>
          <w:szCs w:val="32"/>
          <w:highlight w:val="none"/>
          <w:lang w:val="en-US" w:eastAsia="zh-CN" w:bidi="ar-SA"/>
        </w:rPr>
      </w:pPr>
      <w:r>
        <w:rPr>
          <w:rFonts w:ascii="Times New Roman" w:hAnsi="Times New Roman" w:eastAsia="仿宋_GB2312" w:cs="Times New Roman"/>
          <w:sz w:val="32"/>
          <w:szCs w:val="32"/>
          <w:highlight w:val="none"/>
        </w:rPr>
        <w:drawing>
          <wp:inline distT="0" distB="0" distL="114300" distR="114300">
            <wp:extent cx="5256530" cy="2988310"/>
            <wp:effectExtent l="5080" t="4445" r="15240" b="1714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四、财政拨款收入支出决算总体情况说明</w:t>
      </w:r>
    </w:p>
    <w:p>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（一）财政拨款收支与</w:t>
      </w:r>
      <w:r>
        <w:rPr>
          <w:rFonts w:ascii="Times New Roman" w:eastAsia="仿宋_GB2312"/>
          <w:b/>
          <w:sz w:val="32"/>
          <w:szCs w:val="32"/>
        </w:rPr>
        <w:t>2024</w:t>
      </w:r>
      <w:r>
        <w:rPr>
          <w:rFonts w:ascii="Times New Roman" w:eastAsia="楷体_GB2312"/>
          <w:b/>
          <w:sz w:val="32"/>
          <w:szCs w:val="32"/>
        </w:rPr>
        <w:t>年度决算对比情况</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本单位2025年度财政拨款收、支总计（含结转和结余）均为10,717.20万元。与2024年度相比，财政拨款收支各减少9,901.45万元，降低48.0%，主要原因是2025年度上级资金减少。</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财政拨款本年收入10,717.20万元,比上年减少9,901.45万元，降低48.0%，主要原因是2025年度上级资金减少，收入减少；本年支出10,717.20万元，比上年减少9,901.45万元，降低48.0%，主要原因是2025年度上级资金减少，支出减少。具体情况如下：</w:t>
      </w:r>
    </w:p>
    <w:p>
      <w:pPr>
        <w:widowControl/>
        <w:spacing w:before="0" w:beforeLines="0" w:beforeAutospacing="0" w:after="0" w:afterLines="0" w:afterAutospacing="0" w:line="360" w:lineRule="auto"/>
        <w:ind w:firstLine="640" w:firstLineChars="200"/>
        <w:jc w:val="left"/>
        <w:outlineLvl w:val="1"/>
        <w:rPr>
          <w:rFonts w:ascii="Times New Roman" w:eastAsia="仿宋_GB2312"/>
          <w:sz w:val="32"/>
          <w:szCs w:val="32"/>
        </w:rPr>
      </w:pPr>
      <w:r>
        <w:rPr>
          <w:rFonts w:ascii="Times New Roman" w:eastAsia="仿宋_GB2312"/>
          <w:b w:val="0"/>
          <w:sz w:val="32"/>
          <w:szCs w:val="32"/>
        </w:rPr>
        <w:t>1. 一般公共预算财政拨款本年收入10,717.20万元,比上年减少9,901.45万元，降低48.0%，主要原因是2025年度上级资金减少，收入减少；本年支出10,717.20万元，比上年减少9,901.45万元，降低48.0%，主要原因是2025年度上级资金减少，支出减少。</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 政府性基金预算财政拨款本年收入0.00万元，比上年增加0.00万元，增长0.00%，主要原因是我单位无政府性基金预算财政拨款；本年支出0.00万元，比上年增加0.00万元，增长0.00%，主要原因是我单位无政府性基金预算财政拨款。</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3. 国有资本经营预算财政拨款本年收入0.00万元，比上年增加0.00万元，增长0.00%，主要原因是我单位无国有资本经营预算财政拨款；本年支出0.00万元，比上年增加0.00万元，增长0.00%，主要原因是我单位无国有资本经营预算财政拨款。</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仿宋_GB2312" w:cs="Times New Roman"/>
          <w:sz w:val="32"/>
          <w:szCs w:val="32"/>
          <w:highlight w:val="none"/>
          <w:lang w:val="en-US" w:eastAsia="zh-CN"/>
        </w:rPr>
      </w:pPr>
      <w:r>
        <w:rPr>
          <w:rFonts w:ascii="Times New Roman" w:hAnsi="Times New Roman" w:eastAsia="仿宋_GB2312"/>
          <w:sz w:val="32"/>
          <w:szCs w:val="32"/>
        </w:rPr>
        <w:drawing>
          <wp:inline distT="0" distB="0" distL="114300" distR="114300">
            <wp:extent cx="5256530" cy="3189605"/>
            <wp:effectExtent l="4445" t="4445" r="6350" b="6350"/>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（二）财政拨款收支与年初预算数对比情况</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财政拨款本年收入10,717.20万元，完成年初预算的310.9%，比年初预算增加7,270.43万元，决算数大于预算数主要原因是年初预算数不包含2025年度上级资金；本年支出10,717.20万元，完成年初预算的310.9%，比年初预算增加7,270.43万元，决算数大于预算数主要原因是年初预算数不包含2025年度上级资金。具体情况如下：</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1. 一般公共预算财政拨款本年收入完成年初预算的310.9%，比年初预算增加7,270.43万元，主要原因是年初预算数不包含2025年度上级资金；支出完成年初预算的310.9%，比年初预算增加7,270.43万元，主要原因是年初预算数不包含2025年度上级资金。</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 政府性基金预算财政拨款本年收入完成年初预算的0.0%，比年初预算增加0.00万元，主要原因是我单位无政府性基金预算财政拨款；支出完成年初预算的0.0%，比年初预算增加0.00万元，主要原因是我单位无政府性基金预算财政拨款。</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3. 国有资本经营预算财政拨款本年收入完成年初预算的0.0%，比年初预算增加0.00万元，主要原因是我单位无国有资本经营预算财政拨款；支出完成年初预算的0.0%，比年初预算增加0.00万元，主要原因是我单位无国有资本经营预算财政拨款。</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仿宋_GB2312" w:cs="Times New Roman"/>
          <w:color w:val="auto"/>
          <w:kern w:val="0"/>
          <w:sz w:val="32"/>
          <w:szCs w:val="32"/>
          <w:highlight w:val="none"/>
          <w:lang w:val="en-US" w:eastAsia="zh-CN" w:bidi="ar-SA"/>
        </w:rPr>
      </w:pPr>
      <w:r>
        <w:rPr>
          <w:rFonts w:ascii="Times New Roman" w:hAnsi="Times New Roman" w:eastAsia="仿宋_GB2312"/>
          <w:sz w:val="32"/>
          <w:szCs w:val="32"/>
          <w:highlight w:val="none"/>
        </w:rPr>
        <w:drawing>
          <wp:inline distT="0" distB="0" distL="114300" distR="114300">
            <wp:extent cx="5256530" cy="2988310"/>
            <wp:effectExtent l="5080" t="4445" r="8890" b="1714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（三）财政拨款支出决算结构情况</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2025年度财政拨款支出10,717.20万元，主要用于以下方面：</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一般公共预算财政拨款支出：</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般公共服务（类）支出0.00万元，占0.0%，主要用于等支出；外交（类）支出0.00万元，占0.0%，主要用于等支出；国防（类）支出0.00万元，占0.0%，主要用于等支出；公共安全类（类）支出0.00万元，占0.0%，主要用于等支出；教育（类）支出0.00万元，占0.0%，主要用于等支出；科学技术（类）支出10,645.66万元，占99.3%，主要用于科学技术管理事务、基础研究、技术研究与开发、科技条件与服务、科技重大项目等支出；文化旅游体育与传媒（类）支出0.00万元，占0.0%，主要用于等支出；社会保障和就业 （类）支出30.22万元，占0.3%，主要用于行政事业单位养老保险等支出；卫生健康（类）支出8.10万元，占0.1%，主要用于行政事业单位医疗保险等支出；节能环保（类）支出0.00万元，占0.0%，主要用于等支出；城乡社区（类）支出0.00万元，占0.0%，主要用于等支出；农林水（类）支出0.00万元，占0.0%，主要用于等支出；交通运输（类）支出0.00万元，占0.0%，主要用于等支出；资源勘探信息等（类）支出0.00万元，占0.0%，主要用于等支出；商业服务业等（类）支出0.00万元，占0.0%，主要用于等支出；金融（类）支出0.00万元，占0.0%，主要用于等支出；援助其他地区（类）支出0.00万元，占0.0%，主要用于等支出；自然资源海洋气象等（类）支出0.00万元，占0.0%，主要用于等支出；住房保障（类）支出33.23万元，占0.3%，主要用于行政事业单位住房公积金等支出；粮油物资储备（类）支出0.00万元，占0.0%，主要用于等支出；国有资本经营预算支出0.00万元，占0.0%，主要用于等支出；灾害防治及应急管理（类）支出0.00万元，占0.0%，主要用于等支出；其他（类）支出0.00万元，占0.0%，主要用于等支出；债务还本（类）支出0.00万元，占0.0%，主要用于等支出；债务付息（类）支出0.00万元，占0.0%，主要用于等支出；抗疫特别国债安排的支出0.00万元，占0.0%，主要用于等支出。</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政府性基金预算财政拨款支出：</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般公共服务（类）支出0.00万元，占0.0%，主要用于等支出；外交（类）支出0.00万元，占0.0%，主要用于等支出；国防（类）支出0.00万元，占0.0%，主要用于等支出；公共安全类（类）支出0.00万元，占0.0%，主要用于等支出；教育（类）支出0.00万元，占0.0%，主要用于等支出；科学技术（类）支出0.00万元，占0.0%，主要用于等支出；文化旅游体育与传媒（类）支出0.00万元，占0.0%，主要用于等支出；社会保障和就业 （类）支出0.00万元，占0.0%，主要用于等支出；卫生健康（类）支出0.00万元，占0.0%，主要用于等支出；节能环保（类）支出0.00万元，占0.0%，主要用于等支出；城乡社区（类）支出0.00万元，占0.0%，主要用于等支出；农林水（类）支出0.00万元，占0.0%，主要用于等支出；交通运输（类）支出0.00万元，占0.0%，主要用于等支出；资源勘探信息等（类）支出0.00万元，占0.0%，主要用于等支出；商业服务业等（类）支出0.00万元，占0.0%，主要用于等支出；金融（类）支出0.00万元，占0.0%，主要用于等支出；援助其他地区（类）支出0.00万元，占0.0%，主要用于等支出；自然资源海洋气象等（类）支出0.00万元，占0.0%，主要用于等支出；住房保障（类）支出0.00万元，占0.0%，主要用于等支出；粮油物资储备（类）支出0.00万元，占0.0%，主要用于等支出；国有资本经营预算支出0.00万元，占0.0%，主要用于等支出；灾害防治及应急管理（类）支出0.00万元，占0.0%，主要用于等支出；其他（类）支出0.00万元，占0.0%，主要用于等支出；债务还本（类）支出0.00万元，占0.0%，主要用于等支出；债务付息（类）支出0.00万元，占0.0%，主要用于等支出；抗疫特别国债安排的支出0.00万元，占0.00%，主要用于等支出。</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国有资本经营预算财政拨款支出：</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般公共服务（类）支出0.00万元，占0.0%，主要用于等支出；外交（类）支出0.00万元，占0.0%，主要用于等支出；国防（类）支出0.00万元，占0.0%，主要用于等支出；公共安全（类）支出0.00万元，占0.0%，主要用于等支出；教育（类）支出0.00万元，占0.0%，主要用于等支出；科学技术（类）支出0.00万元，占0.0%，主要用于等支出；文化旅游体育与传媒（类）支出0.00万元，占0.0%，主要用于等支出；社会保障和就业 （类）支出0.00万元，占0.0%，主要用于等支出；卫生健康（类）支出0.00万元，占0.0%，主要用于等支出；节能环保（类）支出0.00万元，占0.0%，主要用于等支出；城乡社区（类）支出0.00万元，占0.0%，主要用于等支出；农林水（类）支出0.00万元，占0.0%，主要用于等支出；交通运输（类）支出0.00万元，占0.0%，主要用于等支出；资源勘探信息等（类）支出0.00万元，占0.0%，主要用于等支出；商业服务业等（类）支出0.00万元，占0.0%，主要用于等支出；金融（类）支出0.00万元，占0.0%，主要用于等支出；援助其他地区（类）支出0.00万元，占0.0%，主要用于等支出；自然资源海洋气象等（类）支出0.00万元，占0.0%，主要用于等支出；住房保障（类）支出0.00万元，占0.0%，主要用于等支出；粮油物资储备（类）支出0.00万元，占0.0%，主要用于等支出；国有资本经营预算支出0.00万元，占0.0%，主要用于等支出；灾害防治及应急管理（类）支出0.00万元，占0.0%，主要用于等支出；其他（类）支出0.00万元，占0.0%，主要用于等支出；债务还本（类）支出0.00万元，占0.0%，主要用于等支出；债务付息（类）支出0.00万元，占0.0%，主要用于等支出；抗疫特别国债安排的支出0.00万元，占0.0%，主要用于等支出。</w:t>
      </w:r>
    </w:p>
    <w:p>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（四）一般公共预算财政拨款基本支出决算情况说明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2025年度财政拨款基本支出681.97万元，其中：</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人员经费542.13万元，主要包括基本工资、津贴补贴、奖金、伙食补助费、绩效工资、机关事业部门基本养老保险缴费、职业年金缴费、职工基本医疗保险缴费、公务员医疗补助缴费、住房公积金、医疗费、其他社会保障缴费、其他工资福利支出、离休费、 退休费、 抚恤金、生活补助、医疗费补助、奖励金、其他对个人和家庭的补助支出。</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公用经费139.84万元，主要包括办公费、印刷费、手续费、邮电费、差旅费、因公出国（境）费用、维修（护）费、租赁费、会议费、培训费、公务接待费、专用材料费、劳务费、委托业务费、工会经费、福利费</w:t>
      </w:r>
      <w:bookmarkStart w:id="0" w:name="_GoBack"/>
      <w:bookmarkEnd w:id="0"/>
      <w:r>
        <w:rPr>
          <w:rFonts w:ascii="Times New Roman" w:eastAsia="仿宋_GB2312"/>
          <w:b w:val="0"/>
          <w:sz w:val="32"/>
          <w:szCs w:val="32"/>
        </w:rPr>
        <w:t>、其他交通费用、税金及附加费用、其他商品和服务支出、办公设备购置、专用设备购置、信息网络及软件购置更新、公务用车购置、其他资本性支出。</w:t>
      </w:r>
    </w:p>
    <w:p>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五、财政拨款“三公” 经费支出决算情况说明</w:t>
      </w:r>
    </w:p>
    <w:p>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（一）“三公”经费财政拨款支出决算总体情况说明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三公”经费财政拨款支出预算为2.48万元，支出决算为2.48万元，完成预算的100.0%，较预算增加0.00万元，增长0.0%，主要原因是落实中央八项规定精神和厉行节约要求，管理制度不断完善；较2024年度决算增加2.48万元，增长100.00%，主要原因是2024年度无“三公”经费支出，2025年度增加了因公出国“境”费支出。</w:t>
      </w:r>
    </w:p>
    <w:p>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（二）“三公”经费财政拨款支出决算具体情况说明</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楷体_GB2312"/>
          <w:b/>
          <w:sz w:val="32"/>
          <w:szCs w:val="32"/>
        </w:rPr>
        <w:t>1.因公出国（境）费支出情况。</w:t>
      </w:r>
      <w:r>
        <w:rPr>
          <w:rFonts w:ascii="Times New Roman" w:eastAsia="仿宋_GB2312"/>
          <w:b w:val="0"/>
          <w:sz w:val="32"/>
          <w:szCs w:val="32"/>
        </w:rPr>
        <w:t>本单位2025年度因公出国（境）费支出预算为2.48万元,支出决算2.48万元。完成预算的100.0%。因公出国（境）费支出较预算增加0.00万元，增长0.0%,主要原因是落实中央八项规定精神和厉行节约要求，管理制度不断完善；较上年增加2.48万元，增长100.00%,主要原因是2024年度无“三公”经费支出，2025年度增加了因公出国“境”费支出。</w:t>
      </w:r>
      <w:r>
        <w:rPr>
          <w:rFonts w:hint="eastAsia" w:ascii="Times New Roman" w:eastAsia="仿宋_GB2312"/>
          <w:b w:val="0"/>
          <w:sz w:val="32"/>
          <w:szCs w:val="32"/>
          <w:lang w:val="en-US" w:eastAsia="zh-CN"/>
        </w:rPr>
        <w:t>其中</w:t>
      </w:r>
      <w:r>
        <w:rPr>
          <w:rFonts w:ascii="Times New Roman" w:eastAsia="仿宋_GB2312"/>
          <w:b w:val="0"/>
          <w:sz w:val="32"/>
          <w:szCs w:val="32"/>
        </w:rPr>
        <w:t>参加其他单位组织的因公出国（境）团组1个、共1人。</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楷体_GB2312"/>
          <w:b/>
          <w:sz w:val="32"/>
          <w:szCs w:val="32"/>
        </w:rPr>
        <w:t>2.公务用车购置及运行维护费支出情况。</w:t>
      </w:r>
      <w:r>
        <w:rPr>
          <w:rFonts w:ascii="Times New Roman" w:eastAsia="仿宋_GB2312"/>
          <w:b w:val="0"/>
          <w:sz w:val="32"/>
          <w:szCs w:val="32"/>
        </w:rPr>
        <w:t>本单位2025年度公务用车购置及运行维护费预算为0.00万元，支出决算0.00万元，完成预算的0.0%,较预算增加0.00万元，增长0.0%,主要原因是无公务用车购置指标；较上年增加0.00万元，增长0.00%,主要原因是无公务用车购置指标。其中：</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公务用车购置费支出0.00万元：</w:t>
      </w:r>
      <w:r>
        <w:rPr>
          <w:rFonts w:ascii="Times New Roman" w:eastAsia="仿宋_GB2312"/>
          <w:b w:val="0"/>
          <w:sz w:val="32"/>
          <w:szCs w:val="32"/>
        </w:rPr>
        <w:t>本单位2025年度公务用车购置量0辆，发生“公务用车购置”经费支出0.00万元。公务用车购置费支出较预算增加0.00万元，增长0.0%,主要原因是无公务用车购置指标；较上年增加0.00万元，增长0.00%,主要原因是无公务用车购置指标。</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公务用车运行维护费支出0.00万元：</w:t>
      </w:r>
      <w:r>
        <w:rPr>
          <w:rFonts w:ascii="Times New Roman" w:eastAsia="仿宋_GB2312"/>
          <w:b w:val="0"/>
          <w:sz w:val="32"/>
          <w:szCs w:val="32"/>
        </w:rPr>
        <w:t>本单位2025年度单位公务用车保有量0辆，发生运行维护费支出0.00万元。公车运行维护费支出较预算增加0.00万元，增长0.0%,主要原因是无公务用车；较上年增加0.00万元，增长0.00%，主要原因是无公务用车。</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楷体_GB2312"/>
          <w:b/>
          <w:sz w:val="32"/>
          <w:szCs w:val="32"/>
        </w:rPr>
        <w:t>3.公务接待费支出情况。</w:t>
      </w:r>
      <w:r>
        <w:rPr>
          <w:rFonts w:ascii="Times New Roman" w:eastAsia="仿宋_GB2312"/>
          <w:b w:val="0"/>
          <w:sz w:val="32"/>
          <w:szCs w:val="32"/>
        </w:rPr>
        <w:t>本单位2025年度公务接待费支出预算为0.00万元，支出决算0.00万元，完成预算的0.0%。公务接待费支出较预算增加0.00万元，增长0.0%,主要原因是无公务接待活动；较上年度增加0.00万元，增长0.00%,主要原因是无公务接待活动。本年度共发生公务接待0批次、0人次。</w:t>
      </w:r>
    </w:p>
    <w:p>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六、机关运行经费支出说明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本单位2025年度机关运行经费支出139.84万元，较2024年度增加4.41万元，增长3.3%。主要原因是日常公用经费增加。</w:t>
      </w:r>
    </w:p>
    <w:p>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七、政府采购支出说明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政府采购支出总额499.21万元，从采购类型来看，政府采购货物支出0.00万元、政府采购工程支出0.00万元、政府采购服务支出499.21万元。授予中小企业合同金额499.21万元，占政府采购支出总额的100.0%，其中授予小微企业合同金额499.21万元，占政府采购支出总额的100.0%。</w:t>
      </w:r>
    </w:p>
    <w:p>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八、国有资产占用情况说明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截至2025年12月31日，本单位共有车辆0辆，比上年增加0辆，主要是无公务用车。其中，副部（省）级及以上领导用车0辆，主要负责人用车0辆，机要通信用车0辆，应急保障用车0辆，执法执勤用车0辆，特种专业技术用车0辆，离退休干部用车0辆，其他用车0辆，其他用车主要是无公务用车。单位价值100万元（含）以上设备（不含车辆）0台（套）。</w:t>
      </w:r>
    </w:p>
    <w:p>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九、关于2025年度绩效评价情况的说明</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（一）绩效评价工作开展情况</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根据预算绩效管理要求，本单位组织对2025年度本级预算项目支出全面开展绩效自评，共涉及资金10,035.23万元（决算金额）。其中，一般公共预算项目31个，涉及资金10,035.23万元，占一般公共预算项目支出总额的100%；政府性基金预算项目0个，涉及资金0万元，占政府性基金预算项目支出总额的0%；国有资本经营预算项目0个，涉及资金0万元，占国有资本经营预算项目支出总额的0%。</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组织对科技金融政策奖补资金等4个项目开展了部门重点评价，涉及一般公共预算支出5,536.10万元，政府性基金预算支出0万元，国有资本经营预算支出0万元，从评价情况来看，年初设定绩效目标全部完成。</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（二）部门决算中项目绩效自评结果</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本单位在今年部门决算公开中反映科技金融政策奖补资金等31个项目绩效自评结果</w:t>
      </w:r>
      <w:r>
        <w:rPr>
          <w:rFonts w:ascii="Times New Roman" w:eastAsia="仿宋_GB2312"/>
          <w:b w:val="0"/>
          <w:color w:val="auto"/>
          <w:sz w:val="32"/>
          <w:szCs w:val="32"/>
        </w:rPr>
        <w:t>（绩效自评表附后）</w:t>
      </w:r>
      <w:r>
        <w:rPr>
          <w:rFonts w:ascii="Times New Roman" w:eastAsia="仿宋_GB2312"/>
          <w:b w:val="0"/>
          <w:sz w:val="32"/>
          <w:szCs w:val="32"/>
        </w:rPr>
        <w:t>。</w:t>
      </w:r>
    </w:p>
    <w:p>
      <w:pPr>
        <w:widowControl/>
        <w:spacing w:before="0" w:beforeLines="0" w:beforeAutospacing="0" w:after="0" w:afterLines="0" w:afterAutospacing="0" w:line="360" w:lineRule="auto"/>
        <w:ind w:firstLine="640" w:firstLineChars="200"/>
        <w:jc w:val="left"/>
        <w:rPr>
          <w:rFonts w:ascii="Times New Roman" w:eastAsia="仿宋_GB2312"/>
          <w:b w:val="0"/>
          <w:color w:val="auto"/>
          <w:sz w:val="32"/>
          <w:szCs w:val="32"/>
        </w:rPr>
      </w:pPr>
      <w:r>
        <w:rPr>
          <w:rFonts w:hint="eastAsia" w:ascii="Times New Roman" w:eastAsia="仿宋_GB2312"/>
          <w:b w:val="0"/>
          <w:color w:val="auto"/>
          <w:sz w:val="32"/>
          <w:szCs w:val="32"/>
        </w:rPr>
        <w:t>科技金融政策奖补资金</w:t>
      </w:r>
      <w:r>
        <w:rPr>
          <w:rFonts w:ascii="Times New Roman" w:eastAsia="仿宋_GB2312"/>
          <w:b w:val="0"/>
          <w:color w:val="auto"/>
          <w:sz w:val="32"/>
          <w:szCs w:val="32"/>
        </w:rPr>
        <w:t>项目绩效自评情况：根据年初设定的绩效目标，项目绩效自评得分为</w:t>
      </w:r>
      <w:r>
        <w:rPr>
          <w:rFonts w:hint="eastAsia" w:ascii="Times New Roman" w:eastAsia="仿宋_GB2312"/>
          <w:b w:val="0"/>
          <w:color w:val="auto"/>
          <w:sz w:val="32"/>
          <w:szCs w:val="32"/>
          <w:lang w:val="en-US" w:eastAsia="zh-CN"/>
        </w:rPr>
        <w:t>100</w:t>
      </w:r>
      <w:r>
        <w:rPr>
          <w:rFonts w:ascii="Times New Roman" w:eastAsia="仿宋_GB2312"/>
          <w:b w:val="0"/>
          <w:color w:val="auto"/>
          <w:sz w:val="32"/>
          <w:szCs w:val="32"/>
        </w:rPr>
        <w:t>分（绩效自评表附后）。全年预算数为</w:t>
      </w:r>
      <w:r>
        <w:rPr>
          <w:rFonts w:hint="eastAsia" w:ascii="Times New Roman" w:eastAsia="仿宋_GB2312"/>
          <w:b w:val="0"/>
          <w:color w:val="auto"/>
          <w:sz w:val="32"/>
          <w:szCs w:val="32"/>
          <w:lang w:val="en-US" w:eastAsia="zh-CN"/>
        </w:rPr>
        <w:t>1334</w:t>
      </w:r>
      <w:r>
        <w:rPr>
          <w:rFonts w:ascii="Times New Roman" w:eastAsia="仿宋_GB2312"/>
          <w:b w:val="0"/>
          <w:color w:val="auto"/>
          <w:sz w:val="32"/>
          <w:szCs w:val="32"/>
        </w:rPr>
        <w:t>万元，执行数为</w:t>
      </w:r>
      <w:r>
        <w:rPr>
          <w:rFonts w:hint="eastAsia" w:ascii="Times New Roman" w:eastAsia="仿宋_GB2312"/>
          <w:b w:val="0"/>
          <w:color w:val="auto"/>
          <w:sz w:val="32"/>
          <w:szCs w:val="32"/>
          <w:lang w:val="en-US" w:eastAsia="zh-CN"/>
        </w:rPr>
        <w:t>1334</w:t>
      </w:r>
      <w:r>
        <w:rPr>
          <w:rFonts w:ascii="Times New Roman" w:eastAsia="仿宋_GB2312"/>
          <w:b w:val="0"/>
          <w:color w:val="auto"/>
          <w:sz w:val="32"/>
          <w:szCs w:val="32"/>
        </w:rPr>
        <w:t>万元，完成预算的</w:t>
      </w:r>
      <w:r>
        <w:rPr>
          <w:rFonts w:hint="eastAsia" w:ascii="Times New Roman" w:eastAsia="仿宋_GB2312"/>
          <w:b w:val="0"/>
          <w:color w:val="auto"/>
          <w:sz w:val="32"/>
          <w:szCs w:val="32"/>
          <w:lang w:val="en-US" w:eastAsia="zh-CN"/>
        </w:rPr>
        <w:t>100</w:t>
      </w:r>
      <w:r>
        <w:rPr>
          <w:rFonts w:ascii="Times New Roman" w:eastAsia="仿宋_GB2312"/>
          <w:b w:val="0"/>
          <w:color w:val="auto"/>
          <w:sz w:val="32"/>
          <w:szCs w:val="32"/>
        </w:rPr>
        <w:t>%。项目绩效目标完成情况：一是</w:t>
      </w:r>
      <w:r>
        <w:rPr>
          <w:rFonts w:hint="eastAsia" w:ascii="Times New Roman" w:eastAsia="仿宋_GB2312"/>
          <w:b w:val="0"/>
          <w:color w:val="auto"/>
          <w:sz w:val="32"/>
          <w:szCs w:val="32"/>
        </w:rPr>
        <w:t>促进企业开展技术创新活动，通过资本市场展示企业实力，提高自主创新能力，加速企业壮大发展，带动企业和产业高质量发展</w:t>
      </w:r>
      <w:r>
        <w:rPr>
          <w:rFonts w:ascii="Times New Roman" w:eastAsia="仿宋_GB2312"/>
          <w:b w:val="0"/>
          <w:color w:val="auto"/>
          <w:sz w:val="32"/>
          <w:szCs w:val="32"/>
        </w:rPr>
        <w:t>；二是</w:t>
      </w:r>
      <w:r>
        <w:rPr>
          <w:rFonts w:hint="eastAsia" w:ascii="Times New Roman" w:eastAsia="仿宋_GB2312"/>
          <w:b w:val="0"/>
          <w:color w:val="auto"/>
          <w:sz w:val="32"/>
          <w:szCs w:val="32"/>
        </w:rPr>
        <w:t>支持区内科技创新和科学普及，引导金融资源向科技企业倾斜，调动科技企业积极性、创造性</w:t>
      </w:r>
      <w:r>
        <w:rPr>
          <w:rFonts w:ascii="Times New Roman" w:eastAsia="仿宋_GB2312"/>
          <w:b w:val="0"/>
          <w:color w:val="auto"/>
          <w:sz w:val="32"/>
          <w:szCs w:val="32"/>
        </w:rPr>
        <w:t>。发现的主要问题及原因是：</w:t>
      </w:r>
      <w:r>
        <w:rPr>
          <w:rFonts w:hint="eastAsia" w:ascii="Times New Roman" w:eastAsia="仿宋_GB2312"/>
          <w:b w:val="0"/>
          <w:color w:val="auto"/>
          <w:sz w:val="32"/>
          <w:szCs w:val="32"/>
          <w:lang w:val="en-US" w:eastAsia="zh-CN"/>
        </w:rPr>
        <w:t>未发现问题</w:t>
      </w:r>
      <w:r>
        <w:rPr>
          <w:rFonts w:ascii="Times New Roman" w:eastAsia="仿宋_GB2312"/>
          <w:b w:val="0"/>
          <w:color w:val="auto"/>
          <w:sz w:val="32"/>
          <w:szCs w:val="32"/>
        </w:rPr>
        <w:t>。下一步改进措施：</w:t>
      </w:r>
      <w:r>
        <w:rPr>
          <w:rFonts w:hint="eastAsia" w:ascii="Times New Roman" w:eastAsia="仿宋_GB2312"/>
          <w:b w:val="0"/>
          <w:color w:val="auto"/>
          <w:sz w:val="32"/>
          <w:szCs w:val="32"/>
          <w:lang w:val="en-US" w:eastAsia="zh-CN"/>
        </w:rPr>
        <w:t>无</w:t>
      </w:r>
      <w:r>
        <w:rPr>
          <w:rFonts w:ascii="Times New Roman" w:eastAsia="仿宋_GB2312"/>
          <w:b w:val="0"/>
          <w:color w:val="auto"/>
          <w:sz w:val="32"/>
          <w:szCs w:val="32"/>
        </w:rPr>
        <w:t>。</w:t>
      </w:r>
    </w:p>
    <w:p>
      <w:pPr>
        <w:widowControl/>
        <w:spacing w:before="0" w:beforeLines="0" w:beforeAutospacing="0" w:after="0" w:afterLines="0" w:afterAutospacing="0" w:line="360" w:lineRule="auto"/>
        <w:ind w:firstLine="640" w:firstLineChars="200"/>
        <w:jc w:val="left"/>
        <w:rPr>
          <w:rFonts w:ascii="Times New Roman" w:eastAsia="仿宋_GB2312"/>
          <w:b w:val="0"/>
          <w:color w:val="auto"/>
          <w:sz w:val="32"/>
          <w:szCs w:val="32"/>
        </w:rPr>
      </w:pPr>
      <w:r>
        <w:rPr>
          <w:rFonts w:hint="eastAsia" w:ascii="Times New Roman" w:eastAsia="仿宋_GB2312"/>
          <w:b w:val="0"/>
          <w:color w:val="auto"/>
          <w:sz w:val="32"/>
          <w:szCs w:val="32"/>
        </w:rPr>
        <w:t>石财教〔2024〕88号提前下达2025年支持市县科技创新和科学普及专项资金</w:t>
      </w:r>
      <w:r>
        <w:rPr>
          <w:rFonts w:ascii="Times New Roman" w:eastAsia="仿宋_GB2312"/>
          <w:b w:val="0"/>
          <w:color w:val="auto"/>
          <w:sz w:val="32"/>
          <w:szCs w:val="32"/>
        </w:rPr>
        <w:t>项目绩效自评情况：根据年初设定的绩效目标，项目绩效自评得分为</w:t>
      </w:r>
      <w:r>
        <w:rPr>
          <w:rFonts w:hint="eastAsia" w:ascii="Times New Roman" w:eastAsia="仿宋_GB2312"/>
          <w:b w:val="0"/>
          <w:color w:val="auto"/>
          <w:sz w:val="32"/>
          <w:szCs w:val="32"/>
          <w:lang w:val="en-US" w:eastAsia="zh-CN"/>
        </w:rPr>
        <w:t>100</w:t>
      </w:r>
      <w:r>
        <w:rPr>
          <w:rFonts w:ascii="Times New Roman" w:eastAsia="仿宋_GB2312"/>
          <w:b w:val="0"/>
          <w:color w:val="auto"/>
          <w:sz w:val="32"/>
          <w:szCs w:val="32"/>
        </w:rPr>
        <w:t>分（绩效自评表附后）。全年预算数为</w:t>
      </w:r>
      <w:r>
        <w:rPr>
          <w:rFonts w:hint="eastAsia" w:ascii="Times New Roman" w:eastAsia="仿宋_GB2312"/>
          <w:b w:val="0"/>
          <w:color w:val="auto"/>
          <w:sz w:val="32"/>
          <w:szCs w:val="32"/>
          <w:lang w:val="en-US" w:eastAsia="zh-CN"/>
        </w:rPr>
        <w:t>1534.81</w:t>
      </w:r>
      <w:r>
        <w:rPr>
          <w:rFonts w:ascii="Times New Roman" w:eastAsia="仿宋_GB2312"/>
          <w:b w:val="0"/>
          <w:color w:val="auto"/>
          <w:sz w:val="32"/>
          <w:szCs w:val="32"/>
        </w:rPr>
        <w:t>万元，执行数为</w:t>
      </w:r>
      <w:r>
        <w:rPr>
          <w:rFonts w:hint="eastAsia" w:ascii="Times New Roman" w:eastAsia="仿宋_GB2312"/>
          <w:b w:val="0"/>
          <w:color w:val="auto"/>
          <w:sz w:val="32"/>
          <w:szCs w:val="32"/>
          <w:lang w:val="en-US" w:eastAsia="zh-CN"/>
        </w:rPr>
        <w:t>1512.10</w:t>
      </w:r>
      <w:r>
        <w:rPr>
          <w:rFonts w:ascii="Times New Roman" w:eastAsia="仿宋_GB2312"/>
          <w:b w:val="0"/>
          <w:color w:val="auto"/>
          <w:sz w:val="32"/>
          <w:szCs w:val="32"/>
        </w:rPr>
        <w:t>万元，完成预算的</w:t>
      </w:r>
      <w:r>
        <w:rPr>
          <w:rFonts w:hint="eastAsia" w:ascii="Times New Roman" w:eastAsia="仿宋_GB2312"/>
          <w:b w:val="0"/>
          <w:color w:val="auto"/>
          <w:sz w:val="32"/>
          <w:szCs w:val="32"/>
          <w:lang w:val="en-US" w:eastAsia="zh-CN"/>
        </w:rPr>
        <w:t>98.5</w:t>
      </w:r>
      <w:r>
        <w:rPr>
          <w:rFonts w:ascii="Times New Roman" w:eastAsia="仿宋_GB2312"/>
          <w:b w:val="0"/>
          <w:color w:val="auto"/>
          <w:sz w:val="32"/>
          <w:szCs w:val="32"/>
        </w:rPr>
        <w:t>%。项目绩效目标完成情况：一是</w:t>
      </w:r>
      <w:r>
        <w:rPr>
          <w:rFonts w:hint="eastAsia" w:ascii="Times New Roman" w:eastAsia="仿宋_GB2312"/>
          <w:b w:val="0"/>
          <w:color w:val="auto"/>
          <w:sz w:val="32"/>
          <w:szCs w:val="32"/>
        </w:rPr>
        <w:t>促进科技成果转化</w:t>
      </w:r>
      <w:r>
        <w:rPr>
          <w:rFonts w:ascii="Times New Roman" w:eastAsia="仿宋_GB2312"/>
          <w:b w:val="0"/>
          <w:color w:val="auto"/>
          <w:sz w:val="32"/>
          <w:szCs w:val="32"/>
        </w:rPr>
        <w:t>；二是</w:t>
      </w:r>
      <w:r>
        <w:rPr>
          <w:rFonts w:hint="eastAsia" w:ascii="Times New Roman" w:eastAsia="仿宋_GB2312"/>
          <w:b w:val="0"/>
          <w:color w:val="auto"/>
          <w:sz w:val="32"/>
          <w:szCs w:val="32"/>
        </w:rPr>
        <w:t>提高企业创新创业能力</w:t>
      </w:r>
      <w:r>
        <w:rPr>
          <w:rFonts w:ascii="Times New Roman" w:eastAsia="仿宋_GB2312"/>
          <w:b w:val="0"/>
          <w:color w:val="auto"/>
          <w:sz w:val="32"/>
          <w:szCs w:val="32"/>
        </w:rPr>
        <w:t>。发现的主要问题及原因是：</w:t>
      </w:r>
      <w:r>
        <w:rPr>
          <w:rFonts w:hint="eastAsia" w:ascii="Times New Roman" w:eastAsia="仿宋_GB2312"/>
          <w:b w:val="0"/>
          <w:color w:val="auto"/>
          <w:sz w:val="32"/>
          <w:szCs w:val="32"/>
          <w:lang w:val="en-US" w:eastAsia="zh-CN"/>
        </w:rPr>
        <w:t>未发现问题</w:t>
      </w:r>
      <w:r>
        <w:rPr>
          <w:rFonts w:ascii="Times New Roman" w:eastAsia="仿宋_GB2312"/>
          <w:b w:val="0"/>
          <w:color w:val="auto"/>
          <w:sz w:val="32"/>
          <w:szCs w:val="32"/>
        </w:rPr>
        <w:t>。下一步改进措施：</w:t>
      </w:r>
      <w:r>
        <w:rPr>
          <w:rFonts w:hint="eastAsia" w:ascii="Times New Roman" w:eastAsia="仿宋_GB2312"/>
          <w:b w:val="0"/>
          <w:color w:val="auto"/>
          <w:sz w:val="32"/>
          <w:szCs w:val="32"/>
          <w:lang w:val="en-US" w:eastAsia="zh-CN"/>
        </w:rPr>
        <w:t>无</w:t>
      </w:r>
      <w:r>
        <w:rPr>
          <w:rFonts w:ascii="Times New Roman" w:eastAsia="仿宋_GB2312"/>
          <w:b w:val="0"/>
          <w:color w:val="auto"/>
          <w:sz w:val="32"/>
          <w:szCs w:val="32"/>
        </w:rPr>
        <w:t>。</w:t>
      </w:r>
    </w:p>
    <w:p>
      <w:pPr>
        <w:widowControl/>
        <w:spacing w:before="0" w:beforeLines="0" w:beforeAutospacing="0" w:after="0" w:afterLines="0" w:afterAutospacing="0" w:line="360" w:lineRule="auto"/>
        <w:ind w:firstLine="640" w:firstLineChars="200"/>
        <w:jc w:val="left"/>
        <w:rPr>
          <w:rFonts w:ascii="Times New Roman" w:eastAsia="仿宋_GB2312"/>
          <w:b w:val="0"/>
          <w:color w:val="auto"/>
          <w:sz w:val="32"/>
          <w:szCs w:val="32"/>
        </w:rPr>
      </w:pPr>
      <w:r>
        <w:rPr>
          <w:rFonts w:hint="eastAsia" w:ascii="Times New Roman" w:eastAsia="仿宋_GB2312"/>
          <w:b w:val="0"/>
          <w:color w:val="auto"/>
          <w:sz w:val="32"/>
          <w:szCs w:val="32"/>
          <w:lang w:eastAsia="zh-CN"/>
        </w:rPr>
        <w:t>石财教〔2025〕53号2025年支持市县科技创新和科学普及专项资金（高新技术企业认定奖补）</w:t>
      </w:r>
      <w:r>
        <w:rPr>
          <w:rFonts w:ascii="Times New Roman" w:eastAsia="仿宋_GB2312"/>
          <w:b w:val="0"/>
          <w:color w:val="auto"/>
          <w:sz w:val="32"/>
          <w:szCs w:val="32"/>
        </w:rPr>
        <w:t>项目绩效自评情况：根据年初设定的绩效目标，项目绩效自评得分为</w:t>
      </w:r>
      <w:r>
        <w:rPr>
          <w:rFonts w:hint="eastAsia" w:ascii="Times New Roman" w:eastAsia="仿宋_GB2312"/>
          <w:b w:val="0"/>
          <w:color w:val="auto"/>
          <w:sz w:val="32"/>
          <w:szCs w:val="32"/>
          <w:lang w:val="en-US" w:eastAsia="zh-CN"/>
        </w:rPr>
        <w:t>100</w:t>
      </w:r>
      <w:r>
        <w:rPr>
          <w:rFonts w:ascii="Times New Roman" w:eastAsia="仿宋_GB2312"/>
          <w:b w:val="0"/>
          <w:color w:val="auto"/>
          <w:sz w:val="32"/>
          <w:szCs w:val="32"/>
        </w:rPr>
        <w:t>分（绩效自评表附后）。全年预算数为</w:t>
      </w:r>
      <w:r>
        <w:rPr>
          <w:rFonts w:hint="eastAsia" w:ascii="Times New Roman" w:eastAsia="仿宋_GB2312"/>
          <w:b w:val="0"/>
          <w:color w:val="auto"/>
          <w:sz w:val="32"/>
          <w:szCs w:val="32"/>
          <w:lang w:val="en-US" w:eastAsia="zh-CN"/>
        </w:rPr>
        <w:t>1590</w:t>
      </w:r>
      <w:r>
        <w:rPr>
          <w:rFonts w:ascii="Times New Roman" w:eastAsia="仿宋_GB2312"/>
          <w:b w:val="0"/>
          <w:color w:val="auto"/>
          <w:sz w:val="32"/>
          <w:szCs w:val="32"/>
        </w:rPr>
        <w:t>万元，执行数为</w:t>
      </w:r>
      <w:r>
        <w:rPr>
          <w:rFonts w:hint="eastAsia" w:ascii="Times New Roman" w:eastAsia="仿宋_GB2312"/>
          <w:b w:val="0"/>
          <w:color w:val="auto"/>
          <w:sz w:val="32"/>
          <w:szCs w:val="32"/>
          <w:lang w:val="en-US" w:eastAsia="zh-CN"/>
        </w:rPr>
        <w:t>1590</w:t>
      </w:r>
      <w:r>
        <w:rPr>
          <w:rFonts w:ascii="Times New Roman" w:eastAsia="仿宋_GB2312"/>
          <w:b w:val="0"/>
          <w:color w:val="auto"/>
          <w:sz w:val="32"/>
          <w:szCs w:val="32"/>
        </w:rPr>
        <w:t>万元，完成预算的</w:t>
      </w:r>
      <w:r>
        <w:rPr>
          <w:rFonts w:hint="eastAsia" w:ascii="Times New Roman" w:eastAsia="仿宋_GB2312"/>
          <w:b w:val="0"/>
          <w:color w:val="auto"/>
          <w:sz w:val="32"/>
          <w:szCs w:val="32"/>
          <w:lang w:val="en-US" w:eastAsia="zh-CN"/>
        </w:rPr>
        <w:t>100</w:t>
      </w:r>
      <w:r>
        <w:rPr>
          <w:rFonts w:ascii="Times New Roman" w:eastAsia="仿宋_GB2312"/>
          <w:b w:val="0"/>
          <w:color w:val="auto"/>
          <w:sz w:val="32"/>
          <w:szCs w:val="32"/>
        </w:rPr>
        <w:t>%。项目绩效目标完成情况：一是</w:t>
      </w:r>
      <w:r>
        <w:rPr>
          <w:rFonts w:hint="eastAsia" w:ascii="Times New Roman" w:eastAsia="仿宋_GB2312"/>
          <w:b w:val="0"/>
          <w:color w:val="auto"/>
          <w:sz w:val="32"/>
          <w:szCs w:val="32"/>
        </w:rPr>
        <w:t>支持科技创新</w:t>
      </w:r>
      <w:r>
        <w:rPr>
          <w:rFonts w:hint="eastAsia" w:ascii="Times New Roman" w:eastAsia="仿宋_GB2312"/>
          <w:b w:val="0"/>
          <w:color w:val="auto"/>
          <w:sz w:val="32"/>
          <w:szCs w:val="32"/>
          <w:lang w:eastAsia="zh-CN"/>
        </w:rPr>
        <w:t>；</w:t>
      </w:r>
      <w:r>
        <w:rPr>
          <w:rFonts w:ascii="Times New Roman" w:eastAsia="仿宋_GB2312"/>
          <w:b w:val="0"/>
          <w:color w:val="auto"/>
          <w:sz w:val="32"/>
          <w:szCs w:val="32"/>
        </w:rPr>
        <w:t>二是</w:t>
      </w:r>
      <w:r>
        <w:rPr>
          <w:rFonts w:hint="eastAsia" w:ascii="Times New Roman" w:eastAsia="仿宋_GB2312"/>
          <w:b w:val="0"/>
          <w:color w:val="auto"/>
          <w:sz w:val="32"/>
          <w:szCs w:val="32"/>
        </w:rPr>
        <w:t>调动企业积极性、创造性</w:t>
      </w:r>
      <w:r>
        <w:rPr>
          <w:rFonts w:ascii="Times New Roman" w:eastAsia="仿宋_GB2312"/>
          <w:b w:val="0"/>
          <w:color w:val="auto"/>
          <w:sz w:val="32"/>
          <w:szCs w:val="32"/>
        </w:rPr>
        <w:t>。发现的主要问题及原因是：</w:t>
      </w:r>
      <w:r>
        <w:rPr>
          <w:rFonts w:hint="eastAsia" w:ascii="Times New Roman" w:eastAsia="仿宋_GB2312"/>
          <w:b w:val="0"/>
          <w:color w:val="auto"/>
          <w:sz w:val="32"/>
          <w:szCs w:val="32"/>
          <w:lang w:val="en-US" w:eastAsia="zh-CN"/>
        </w:rPr>
        <w:t>未发现问题</w:t>
      </w:r>
      <w:r>
        <w:rPr>
          <w:rFonts w:ascii="Times New Roman" w:eastAsia="仿宋_GB2312"/>
          <w:b w:val="0"/>
          <w:color w:val="auto"/>
          <w:sz w:val="32"/>
          <w:szCs w:val="32"/>
        </w:rPr>
        <w:t>。下一步改进措施：</w:t>
      </w:r>
      <w:r>
        <w:rPr>
          <w:rFonts w:hint="eastAsia" w:ascii="Times New Roman" w:eastAsia="仿宋_GB2312"/>
          <w:b w:val="0"/>
          <w:color w:val="auto"/>
          <w:sz w:val="32"/>
          <w:szCs w:val="32"/>
          <w:lang w:val="en-US" w:eastAsia="zh-CN"/>
        </w:rPr>
        <w:t>无</w:t>
      </w:r>
      <w:r>
        <w:rPr>
          <w:rFonts w:ascii="Times New Roman" w:eastAsia="仿宋_GB2312"/>
          <w:b w:val="0"/>
          <w:color w:val="auto"/>
          <w:sz w:val="32"/>
          <w:szCs w:val="32"/>
        </w:rPr>
        <w:t>。</w:t>
      </w:r>
    </w:p>
    <w:p>
      <w:pPr>
        <w:widowControl/>
        <w:spacing w:before="0" w:beforeLines="0" w:beforeAutospacing="0" w:after="0" w:afterLines="0" w:afterAutospacing="0" w:line="360" w:lineRule="auto"/>
        <w:ind w:firstLine="640" w:firstLineChars="200"/>
        <w:jc w:val="left"/>
        <w:rPr>
          <w:rFonts w:ascii="Times New Roman" w:eastAsia="仿宋_GB2312"/>
          <w:b w:val="0"/>
          <w:color w:val="auto"/>
          <w:sz w:val="32"/>
          <w:szCs w:val="32"/>
        </w:rPr>
      </w:pPr>
      <w:r>
        <w:rPr>
          <w:rFonts w:hint="eastAsia" w:ascii="Times New Roman" w:eastAsia="仿宋_GB2312"/>
          <w:b w:val="0"/>
          <w:color w:val="auto"/>
          <w:sz w:val="32"/>
          <w:szCs w:val="32"/>
          <w:lang w:eastAsia="zh-CN"/>
        </w:rPr>
        <w:t>石财教</w:t>
      </w:r>
      <w:r>
        <w:rPr>
          <w:rFonts w:hint="eastAsia" w:ascii="Times New Roman" w:eastAsia="仿宋_GB2312"/>
          <w:b w:val="0"/>
          <w:color w:val="auto"/>
          <w:sz w:val="32"/>
          <w:szCs w:val="32"/>
        </w:rPr>
        <w:t>〔202</w:t>
      </w:r>
      <w:r>
        <w:rPr>
          <w:rFonts w:hint="eastAsia" w:ascii="Times New Roman" w:eastAsia="仿宋_GB2312"/>
          <w:b w:val="0"/>
          <w:color w:val="auto"/>
          <w:sz w:val="32"/>
          <w:szCs w:val="32"/>
          <w:lang w:val="en-US" w:eastAsia="zh-CN"/>
        </w:rPr>
        <w:t>5</w:t>
      </w:r>
      <w:r>
        <w:rPr>
          <w:rFonts w:hint="eastAsia" w:ascii="Times New Roman" w:eastAsia="仿宋_GB2312"/>
          <w:b w:val="0"/>
          <w:color w:val="auto"/>
          <w:sz w:val="32"/>
          <w:szCs w:val="32"/>
        </w:rPr>
        <w:t>〕</w:t>
      </w:r>
      <w:r>
        <w:rPr>
          <w:rFonts w:hint="eastAsia" w:ascii="Times New Roman" w:eastAsia="仿宋_GB2312"/>
          <w:b w:val="0"/>
          <w:color w:val="auto"/>
          <w:sz w:val="32"/>
          <w:szCs w:val="32"/>
          <w:lang w:eastAsia="zh-CN"/>
        </w:rPr>
        <w:t>47号2025年科技创新平台研发项目市级资金</w:t>
      </w:r>
      <w:r>
        <w:rPr>
          <w:rFonts w:ascii="Times New Roman" w:eastAsia="仿宋_GB2312"/>
          <w:b w:val="0"/>
          <w:color w:val="auto"/>
          <w:sz w:val="32"/>
          <w:szCs w:val="32"/>
        </w:rPr>
        <w:t>项目绩效自评情况：根据年初设定的绩效目标，项目绩效自评得分为</w:t>
      </w:r>
      <w:r>
        <w:rPr>
          <w:rFonts w:hint="eastAsia" w:ascii="Times New Roman" w:eastAsia="仿宋_GB2312"/>
          <w:b w:val="0"/>
          <w:color w:val="auto"/>
          <w:sz w:val="32"/>
          <w:szCs w:val="32"/>
          <w:lang w:val="en-US" w:eastAsia="zh-CN"/>
        </w:rPr>
        <w:t>100</w:t>
      </w:r>
      <w:r>
        <w:rPr>
          <w:rFonts w:ascii="Times New Roman" w:eastAsia="仿宋_GB2312"/>
          <w:b w:val="0"/>
          <w:color w:val="auto"/>
          <w:sz w:val="32"/>
          <w:szCs w:val="32"/>
        </w:rPr>
        <w:t>分（绩效自评表附后）。全年预算数为</w:t>
      </w:r>
      <w:r>
        <w:rPr>
          <w:rFonts w:hint="eastAsia" w:ascii="Times New Roman" w:eastAsia="仿宋_GB2312"/>
          <w:b w:val="0"/>
          <w:color w:val="auto"/>
          <w:sz w:val="32"/>
          <w:szCs w:val="32"/>
          <w:lang w:val="en-US" w:eastAsia="zh-CN"/>
        </w:rPr>
        <w:t>1100</w:t>
      </w:r>
      <w:r>
        <w:rPr>
          <w:rFonts w:ascii="Times New Roman" w:eastAsia="仿宋_GB2312"/>
          <w:b w:val="0"/>
          <w:color w:val="auto"/>
          <w:sz w:val="32"/>
          <w:szCs w:val="32"/>
        </w:rPr>
        <w:t>万元，执行数为</w:t>
      </w:r>
      <w:r>
        <w:rPr>
          <w:rFonts w:hint="eastAsia" w:ascii="Times New Roman" w:eastAsia="仿宋_GB2312"/>
          <w:b w:val="0"/>
          <w:color w:val="auto"/>
          <w:sz w:val="32"/>
          <w:szCs w:val="32"/>
          <w:lang w:val="en-US" w:eastAsia="zh-CN"/>
        </w:rPr>
        <w:t>1100</w:t>
      </w:r>
      <w:r>
        <w:rPr>
          <w:rFonts w:ascii="Times New Roman" w:eastAsia="仿宋_GB2312"/>
          <w:b w:val="0"/>
          <w:color w:val="auto"/>
          <w:sz w:val="32"/>
          <w:szCs w:val="32"/>
        </w:rPr>
        <w:t>万元，完成预算的</w:t>
      </w:r>
      <w:r>
        <w:rPr>
          <w:rFonts w:hint="eastAsia" w:ascii="Times New Roman" w:eastAsia="仿宋_GB2312"/>
          <w:b w:val="0"/>
          <w:color w:val="auto"/>
          <w:sz w:val="32"/>
          <w:szCs w:val="32"/>
          <w:lang w:val="en-US" w:eastAsia="zh-CN"/>
        </w:rPr>
        <w:t>100</w:t>
      </w:r>
      <w:r>
        <w:rPr>
          <w:rFonts w:ascii="Times New Roman" w:eastAsia="仿宋_GB2312"/>
          <w:b w:val="0"/>
          <w:color w:val="auto"/>
          <w:sz w:val="32"/>
          <w:szCs w:val="32"/>
        </w:rPr>
        <w:t>%。项目绩效目标完成情况：一是</w:t>
      </w:r>
      <w:r>
        <w:rPr>
          <w:rFonts w:hint="eastAsia" w:ascii="Times New Roman" w:eastAsia="仿宋_GB2312"/>
          <w:b w:val="0"/>
          <w:color w:val="auto"/>
          <w:sz w:val="32"/>
          <w:szCs w:val="32"/>
        </w:rPr>
        <w:t>推动科技创新成果在石家庄转化落地</w:t>
      </w:r>
      <w:r>
        <w:rPr>
          <w:rFonts w:hint="eastAsia" w:ascii="Times New Roman" w:eastAsia="仿宋_GB2312"/>
          <w:b w:val="0"/>
          <w:color w:val="auto"/>
          <w:sz w:val="32"/>
          <w:szCs w:val="32"/>
          <w:lang w:eastAsia="zh-CN"/>
        </w:rPr>
        <w:t>；</w:t>
      </w:r>
      <w:r>
        <w:rPr>
          <w:rFonts w:ascii="Times New Roman" w:eastAsia="仿宋_GB2312"/>
          <w:b w:val="0"/>
          <w:color w:val="auto"/>
          <w:sz w:val="32"/>
          <w:szCs w:val="32"/>
        </w:rPr>
        <w:t>二是</w:t>
      </w:r>
      <w:r>
        <w:rPr>
          <w:rFonts w:hint="eastAsia" w:ascii="Times New Roman" w:eastAsia="仿宋_GB2312"/>
          <w:b w:val="0"/>
          <w:color w:val="auto"/>
          <w:sz w:val="32"/>
          <w:szCs w:val="32"/>
        </w:rPr>
        <w:t>支持提升我区省级科技创新平台建设的能力和水平</w:t>
      </w:r>
      <w:r>
        <w:rPr>
          <w:rFonts w:ascii="Times New Roman" w:eastAsia="仿宋_GB2312"/>
          <w:b w:val="0"/>
          <w:color w:val="auto"/>
          <w:sz w:val="32"/>
          <w:szCs w:val="32"/>
        </w:rPr>
        <w:t>。发现的主要问题及原因是：</w:t>
      </w:r>
      <w:r>
        <w:rPr>
          <w:rFonts w:hint="eastAsia" w:ascii="Times New Roman" w:eastAsia="仿宋_GB2312"/>
          <w:b w:val="0"/>
          <w:color w:val="auto"/>
          <w:sz w:val="32"/>
          <w:szCs w:val="32"/>
          <w:lang w:val="en-US" w:eastAsia="zh-CN"/>
        </w:rPr>
        <w:t>未发现问题</w:t>
      </w:r>
      <w:r>
        <w:rPr>
          <w:rFonts w:ascii="Times New Roman" w:eastAsia="仿宋_GB2312"/>
          <w:b w:val="0"/>
          <w:color w:val="auto"/>
          <w:sz w:val="32"/>
          <w:szCs w:val="32"/>
        </w:rPr>
        <w:t>。下一步改进措施：</w:t>
      </w:r>
      <w:r>
        <w:rPr>
          <w:rFonts w:hint="eastAsia" w:ascii="Times New Roman" w:eastAsia="仿宋_GB2312"/>
          <w:b w:val="0"/>
          <w:color w:val="auto"/>
          <w:sz w:val="32"/>
          <w:szCs w:val="32"/>
          <w:lang w:val="en-US" w:eastAsia="zh-CN"/>
        </w:rPr>
        <w:t>无</w:t>
      </w:r>
      <w:r>
        <w:rPr>
          <w:rFonts w:ascii="Times New Roman" w:eastAsia="仿宋_GB2312"/>
          <w:b w:val="0"/>
          <w:color w:val="auto"/>
          <w:sz w:val="32"/>
          <w:szCs w:val="32"/>
        </w:rPr>
        <w:t>。</w:t>
      </w:r>
    </w:p>
    <w:p>
      <w:pPr>
        <w:widowControl/>
        <w:spacing w:before="0" w:beforeLines="0" w:beforeAutospacing="0" w:after="0" w:afterLines="0" w:afterAutospacing="0" w:line="360" w:lineRule="auto"/>
        <w:ind w:firstLine="640" w:firstLineChars="200"/>
        <w:jc w:val="left"/>
        <w:rPr>
          <w:rFonts w:ascii="Times New Roman" w:eastAsia="仿宋_GB2312"/>
          <w:b w:val="0"/>
          <w:color w:val="4874CB" w:themeColor="accent1"/>
          <w:sz w:val="32"/>
          <w:szCs w:val="32"/>
          <w14:textFill>
            <w14:solidFill>
              <w14:schemeClr w14:val="accent1"/>
            </w14:solidFill>
          </w14:textFill>
        </w:rPr>
      </w:pPr>
      <w:r>
        <w:rPr>
          <w:rFonts w:hint="eastAsia" w:ascii="Times New Roman" w:eastAsia="仿宋_GB2312"/>
          <w:b w:val="0"/>
          <w:color w:val="auto"/>
          <w:sz w:val="32"/>
          <w:szCs w:val="32"/>
          <w:lang w:eastAsia="zh-CN"/>
        </w:rPr>
        <w:t>2025年引进外国专家智力市级资金</w:t>
      </w:r>
      <w:r>
        <w:rPr>
          <w:rFonts w:ascii="Times New Roman" w:eastAsia="仿宋_GB2312"/>
          <w:b w:val="0"/>
          <w:color w:val="auto"/>
          <w:sz w:val="32"/>
          <w:szCs w:val="32"/>
        </w:rPr>
        <w:t>项目绩效自评情况：根据年初设定的绩效目标，项目绩效自评得分为</w:t>
      </w:r>
      <w:r>
        <w:rPr>
          <w:rFonts w:hint="eastAsia" w:ascii="Times New Roman" w:eastAsia="仿宋_GB2312"/>
          <w:b w:val="0"/>
          <w:color w:val="auto"/>
          <w:sz w:val="32"/>
          <w:szCs w:val="32"/>
          <w:lang w:val="en-US" w:eastAsia="zh-CN"/>
        </w:rPr>
        <w:t>100</w:t>
      </w:r>
      <w:r>
        <w:rPr>
          <w:rFonts w:ascii="Times New Roman" w:eastAsia="仿宋_GB2312"/>
          <w:b w:val="0"/>
          <w:color w:val="auto"/>
          <w:sz w:val="32"/>
          <w:szCs w:val="32"/>
        </w:rPr>
        <w:t>分（绩效自评表附后）。全年预算数为</w:t>
      </w:r>
      <w:r>
        <w:rPr>
          <w:rFonts w:hint="eastAsia" w:ascii="Times New Roman" w:eastAsia="仿宋_GB2312"/>
          <w:b w:val="0"/>
          <w:color w:val="auto"/>
          <w:sz w:val="32"/>
          <w:szCs w:val="32"/>
          <w:lang w:val="en-US" w:eastAsia="zh-CN"/>
        </w:rPr>
        <w:t>220</w:t>
      </w:r>
      <w:r>
        <w:rPr>
          <w:rFonts w:ascii="Times New Roman" w:eastAsia="仿宋_GB2312"/>
          <w:b w:val="0"/>
          <w:color w:val="auto"/>
          <w:sz w:val="32"/>
          <w:szCs w:val="32"/>
        </w:rPr>
        <w:t>万元，执行数为</w:t>
      </w:r>
      <w:r>
        <w:rPr>
          <w:rFonts w:hint="eastAsia" w:ascii="Times New Roman" w:eastAsia="仿宋_GB2312"/>
          <w:b w:val="0"/>
          <w:color w:val="auto"/>
          <w:sz w:val="32"/>
          <w:szCs w:val="32"/>
          <w:lang w:val="en-US" w:eastAsia="zh-CN"/>
        </w:rPr>
        <w:t>220</w:t>
      </w:r>
      <w:r>
        <w:rPr>
          <w:rFonts w:ascii="Times New Roman" w:eastAsia="仿宋_GB2312"/>
          <w:b w:val="0"/>
          <w:color w:val="auto"/>
          <w:sz w:val="32"/>
          <w:szCs w:val="32"/>
        </w:rPr>
        <w:t>万元，完成预算的</w:t>
      </w:r>
      <w:r>
        <w:rPr>
          <w:rFonts w:hint="eastAsia" w:ascii="Times New Roman" w:eastAsia="仿宋_GB2312"/>
          <w:b w:val="0"/>
          <w:color w:val="auto"/>
          <w:sz w:val="32"/>
          <w:szCs w:val="32"/>
          <w:lang w:val="en-US" w:eastAsia="zh-CN"/>
        </w:rPr>
        <w:t>100</w:t>
      </w:r>
      <w:r>
        <w:rPr>
          <w:rFonts w:ascii="Times New Roman" w:eastAsia="仿宋_GB2312"/>
          <w:b w:val="0"/>
          <w:color w:val="auto"/>
          <w:sz w:val="32"/>
          <w:szCs w:val="32"/>
        </w:rPr>
        <w:t>%。项目绩效目标完成情况：一是</w:t>
      </w:r>
      <w:r>
        <w:rPr>
          <w:rFonts w:hint="eastAsia" w:ascii="Times New Roman" w:eastAsia="仿宋_GB2312"/>
          <w:b w:val="0"/>
          <w:color w:val="auto"/>
          <w:sz w:val="32"/>
          <w:szCs w:val="32"/>
        </w:rPr>
        <w:t>充分发挥了外国专家、人才和国外先进技术和成果作用，提升了企业科技创新能力</w:t>
      </w:r>
      <w:r>
        <w:rPr>
          <w:rFonts w:hint="eastAsia" w:ascii="Times New Roman" w:eastAsia="仿宋_GB2312"/>
          <w:b w:val="0"/>
          <w:color w:val="auto"/>
          <w:sz w:val="32"/>
          <w:szCs w:val="32"/>
          <w:lang w:eastAsia="zh-CN"/>
        </w:rPr>
        <w:t>；</w:t>
      </w:r>
      <w:r>
        <w:rPr>
          <w:rFonts w:ascii="Times New Roman" w:eastAsia="仿宋_GB2312"/>
          <w:b w:val="0"/>
          <w:color w:val="auto"/>
          <w:sz w:val="32"/>
          <w:szCs w:val="32"/>
        </w:rPr>
        <w:t>二是</w:t>
      </w:r>
      <w:r>
        <w:rPr>
          <w:rFonts w:hint="eastAsia" w:ascii="Times New Roman" w:eastAsia="仿宋_GB2312"/>
          <w:b w:val="0"/>
          <w:color w:val="auto"/>
          <w:sz w:val="32"/>
          <w:szCs w:val="32"/>
        </w:rPr>
        <w:t>引智项目立项13个，引进外国专家、人才不少于13人</w:t>
      </w:r>
      <w:r>
        <w:rPr>
          <w:rFonts w:ascii="Times New Roman" w:eastAsia="仿宋_GB2312"/>
          <w:b w:val="0"/>
          <w:color w:val="auto"/>
          <w:sz w:val="32"/>
          <w:szCs w:val="32"/>
        </w:rPr>
        <w:t>。发现的主要问题及原因是：</w:t>
      </w:r>
      <w:r>
        <w:rPr>
          <w:rFonts w:hint="eastAsia" w:ascii="Times New Roman" w:eastAsia="仿宋_GB2312"/>
          <w:b w:val="0"/>
          <w:color w:val="auto"/>
          <w:sz w:val="32"/>
          <w:szCs w:val="32"/>
          <w:lang w:val="en-US" w:eastAsia="zh-CN"/>
        </w:rPr>
        <w:t>未发现问题</w:t>
      </w:r>
      <w:r>
        <w:rPr>
          <w:rFonts w:ascii="Times New Roman" w:eastAsia="仿宋_GB2312"/>
          <w:b w:val="0"/>
          <w:color w:val="auto"/>
          <w:sz w:val="32"/>
          <w:szCs w:val="32"/>
        </w:rPr>
        <w:t>。下一步改进措施：</w:t>
      </w:r>
      <w:r>
        <w:rPr>
          <w:rFonts w:hint="eastAsia" w:ascii="Times New Roman" w:eastAsia="仿宋_GB2312"/>
          <w:b w:val="0"/>
          <w:color w:val="auto"/>
          <w:sz w:val="32"/>
          <w:szCs w:val="32"/>
          <w:lang w:val="en-US" w:eastAsia="zh-CN"/>
        </w:rPr>
        <w:t>无</w:t>
      </w:r>
      <w:r>
        <w:rPr>
          <w:rFonts w:ascii="Times New Roman" w:eastAsia="仿宋_GB2312"/>
          <w:b w:val="0"/>
          <w:color w:val="auto"/>
          <w:sz w:val="32"/>
          <w:szCs w:val="32"/>
        </w:rPr>
        <w:t>。</w:t>
      </w:r>
    </w:p>
    <w:p>
      <w:pPr>
        <w:widowControl/>
        <w:spacing w:before="0" w:beforeLines="0" w:beforeAutospacing="0" w:after="0" w:afterLines="0" w:afterAutospacing="0" w:line="360" w:lineRule="auto"/>
        <w:ind w:firstLine="640" w:firstLineChars="200"/>
        <w:jc w:val="left"/>
        <w:rPr>
          <w:rFonts w:ascii="Times New Roman" w:eastAsia="仿宋_GB2312"/>
          <w:b w:val="0"/>
          <w:color w:val="4874CB" w:themeColor="accent1"/>
          <w:sz w:val="32"/>
          <w:szCs w:val="32"/>
          <w14:textFill>
            <w14:solidFill>
              <w14:schemeClr w14:val="accent1"/>
            </w14:solidFill>
          </w14:textFill>
        </w:rPr>
      </w:pPr>
      <w:r>
        <w:rPr>
          <w:rFonts w:hint="eastAsia" w:ascii="Times New Roman" w:eastAsia="仿宋_GB2312"/>
          <w:b w:val="0"/>
          <w:color w:val="auto"/>
          <w:sz w:val="32"/>
          <w:szCs w:val="32"/>
          <w:lang w:eastAsia="zh-CN"/>
        </w:rPr>
        <w:t>石财教〔2025〕9号2025年科技企业孵化载体市级奖补资金</w:t>
      </w:r>
      <w:r>
        <w:rPr>
          <w:rFonts w:ascii="Times New Roman" w:eastAsia="仿宋_GB2312"/>
          <w:b w:val="0"/>
          <w:color w:val="auto"/>
          <w:sz w:val="32"/>
          <w:szCs w:val="32"/>
        </w:rPr>
        <w:t>项目绩效自评情况：根据年初设定的绩效目标，项目绩效自评得分为</w:t>
      </w:r>
      <w:r>
        <w:rPr>
          <w:rFonts w:hint="eastAsia" w:ascii="Times New Roman" w:eastAsia="仿宋_GB2312"/>
          <w:b w:val="0"/>
          <w:color w:val="auto"/>
          <w:sz w:val="32"/>
          <w:szCs w:val="32"/>
          <w:lang w:val="en-US" w:eastAsia="zh-CN"/>
        </w:rPr>
        <w:t>100</w:t>
      </w:r>
      <w:r>
        <w:rPr>
          <w:rFonts w:ascii="Times New Roman" w:eastAsia="仿宋_GB2312"/>
          <w:b w:val="0"/>
          <w:color w:val="auto"/>
          <w:sz w:val="32"/>
          <w:szCs w:val="32"/>
        </w:rPr>
        <w:t>分（绩效自评表附后）。全年预算数为</w:t>
      </w:r>
      <w:r>
        <w:rPr>
          <w:rFonts w:hint="eastAsia" w:ascii="Times New Roman" w:eastAsia="仿宋_GB2312"/>
          <w:b w:val="0"/>
          <w:color w:val="auto"/>
          <w:sz w:val="32"/>
          <w:szCs w:val="32"/>
          <w:lang w:val="en-US" w:eastAsia="zh-CN"/>
        </w:rPr>
        <w:t>287.04</w:t>
      </w:r>
      <w:r>
        <w:rPr>
          <w:rFonts w:ascii="Times New Roman" w:eastAsia="仿宋_GB2312"/>
          <w:b w:val="0"/>
          <w:color w:val="auto"/>
          <w:sz w:val="32"/>
          <w:szCs w:val="32"/>
        </w:rPr>
        <w:t>万元，执行数为</w:t>
      </w:r>
      <w:r>
        <w:rPr>
          <w:rFonts w:hint="eastAsia" w:ascii="Times New Roman" w:eastAsia="仿宋_GB2312"/>
          <w:b w:val="0"/>
          <w:color w:val="auto"/>
          <w:sz w:val="32"/>
          <w:szCs w:val="32"/>
          <w:lang w:val="en-US" w:eastAsia="zh-CN"/>
        </w:rPr>
        <w:t>287.04</w:t>
      </w:r>
      <w:r>
        <w:rPr>
          <w:rFonts w:ascii="Times New Roman" w:eastAsia="仿宋_GB2312"/>
          <w:b w:val="0"/>
          <w:color w:val="auto"/>
          <w:sz w:val="32"/>
          <w:szCs w:val="32"/>
        </w:rPr>
        <w:t>万元，完成预算的</w:t>
      </w:r>
      <w:r>
        <w:rPr>
          <w:rFonts w:hint="eastAsia" w:ascii="Times New Roman" w:eastAsia="仿宋_GB2312"/>
          <w:b w:val="0"/>
          <w:color w:val="auto"/>
          <w:sz w:val="32"/>
          <w:szCs w:val="32"/>
          <w:lang w:val="en-US" w:eastAsia="zh-CN"/>
        </w:rPr>
        <w:t>100</w:t>
      </w:r>
      <w:r>
        <w:rPr>
          <w:rFonts w:ascii="Times New Roman" w:eastAsia="仿宋_GB2312"/>
          <w:b w:val="0"/>
          <w:color w:val="auto"/>
          <w:sz w:val="32"/>
          <w:szCs w:val="32"/>
        </w:rPr>
        <w:t>%。项目绩效目标完成情况：一是</w:t>
      </w:r>
      <w:r>
        <w:rPr>
          <w:rFonts w:hint="eastAsia" w:ascii="Times New Roman" w:eastAsia="仿宋_GB2312"/>
          <w:b w:val="0"/>
          <w:color w:val="auto"/>
          <w:sz w:val="32"/>
          <w:szCs w:val="32"/>
        </w:rPr>
        <w:t>获得市级考核良好等次以上器数量达到11家</w:t>
      </w:r>
      <w:r>
        <w:rPr>
          <w:rFonts w:hint="eastAsia" w:ascii="Times New Roman" w:eastAsia="仿宋_GB2312"/>
          <w:b w:val="0"/>
          <w:color w:val="auto"/>
          <w:sz w:val="32"/>
          <w:szCs w:val="32"/>
          <w:lang w:eastAsia="zh-CN"/>
        </w:rPr>
        <w:t>；</w:t>
      </w:r>
      <w:r>
        <w:rPr>
          <w:rFonts w:ascii="Times New Roman" w:eastAsia="仿宋_GB2312"/>
          <w:b w:val="0"/>
          <w:color w:val="auto"/>
          <w:sz w:val="32"/>
          <w:szCs w:val="32"/>
        </w:rPr>
        <w:t>二是</w:t>
      </w:r>
      <w:r>
        <w:rPr>
          <w:rFonts w:hint="eastAsia" w:ascii="Times New Roman" w:eastAsia="仿宋_GB2312"/>
          <w:b w:val="0"/>
          <w:color w:val="auto"/>
          <w:sz w:val="32"/>
          <w:szCs w:val="32"/>
        </w:rPr>
        <w:t>新增省级孵化载体数2家</w:t>
      </w:r>
      <w:r>
        <w:rPr>
          <w:rFonts w:ascii="Times New Roman" w:eastAsia="仿宋_GB2312"/>
          <w:b w:val="0"/>
          <w:color w:val="auto"/>
          <w:sz w:val="32"/>
          <w:szCs w:val="32"/>
        </w:rPr>
        <w:t>。发现的主要问题及原因是：</w:t>
      </w:r>
      <w:r>
        <w:rPr>
          <w:rFonts w:hint="eastAsia" w:ascii="Times New Roman" w:eastAsia="仿宋_GB2312"/>
          <w:b w:val="0"/>
          <w:color w:val="auto"/>
          <w:sz w:val="32"/>
          <w:szCs w:val="32"/>
          <w:lang w:val="en-US" w:eastAsia="zh-CN"/>
        </w:rPr>
        <w:t>未发现问题</w:t>
      </w:r>
      <w:r>
        <w:rPr>
          <w:rFonts w:ascii="Times New Roman" w:eastAsia="仿宋_GB2312"/>
          <w:b w:val="0"/>
          <w:color w:val="auto"/>
          <w:sz w:val="32"/>
          <w:szCs w:val="32"/>
        </w:rPr>
        <w:t>。下一步改进措施：</w:t>
      </w:r>
      <w:r>
        <w:rPr>
          <w:rFonts w:hint="eastAsia" w:ascii="Times New Roman" w:eastAsia="仿宋_GB2312"/>
          <w:b w:val="0"/>
          <w:color w:val="auto"/>
          <w:sz w:val="32"/>
          <w:szCs w:val="32"/>
          <w:lang w:val="en-US" w:eastAsia="zh-CN"/>
        </w:rPr>
        <w:t>无</w:t>
      </w:r>
      <w:r>
        <w:rPr>
          <w:rFonts w:ascii="Times New Roman" w:eastAsia="仿宋_GB2312"/>
          <w:b w:val="0"/>
          <w:color w:val="auto"/>
          <w:sz w:val="32"/>
          <w:szCs w:val="32"/>
        </w:rPr>
        <w:t>。</w:t>
      </w:r>
    </w:p>
    <w:p>
      <w:pPr>
        <w:widowControl/>
        <w:spacing w:before="0" w:beforeLines="0" w:beforeAutospacing="0" w:after="0" w:afterLines="0" w:afterAutospacing="0" w:line="360" w:lineRule="auto"/>
        <w:ind w:firstLine="640" w:firstLineChars="200"/>
        <w:jc w:val="left"/>
        <w:rPr>
          <w:rFonts w:ascii="Times New Roman" w:eastAsia="仿宋_GB2312"/>
          <w:b w:val="0"/>
          <w:color w:val="auto"/>
          <w:sz w:val="32"/>
          <w:szCs w:val="32"/>
        </w:rPr>
      </w:pPr>
      <w:r>
        <w:rPr>
          <w:rFonts w:hint="eastAsia" w:ascii="Times New Roman" w:eastAsia="仿宋_GB2312"/>
          <w:b w:val="0"/>
          <w:color w:val="auto"/>
          <w:sz w:val="32"/>
          <w:szCs w:val="32"/>
          <w:lang w:eastAsia="zh-CN"/>
        </w:rPr>
        <w:t>石财教〔2025〕</w:t>
      </w:r>
      <w:r>
        <w:rPr>
          <w:rFonts w:hint="eastAsia" w:ascii="Times New Roman" w:eastAsia="仿宋_GB2312"/>
          <w:b w:val="0"/>
          <w:color w:val="auto"/>
          <w:sz w:val="32"/>
          <w:szCs w:val="32"/>
          <w:lang w:val="en-US" w:eastAsia="zh-CN"/>
        </w:rPr>
        <w:t>34</w:t>
      </w:r>
      <w:r>
        <w:rPr>
          <w:rFonts w:hint="eastAsia" w:ascii="Times New Roman" w:eastAsia="仿宋_GB2312"/>
          <w:b w:val="0"/>
          <w:color w:val="auto"/>
          <w:sz w:val="32"/>
          <w:szCs w:val="32"/>
          <w:lang w:eastAsia="zh-CN"/>
        </w:rPr>
        <w:t>号2025年高新技术企业认定奖补市级资金</w:t>
      </w:r>
      <w:r>
        <w:rPr>
          <w:rFonts w:ascii="Times New Roman" w:eastAsia="仿宋_GB2312"/>
          <w:b w:val="0"/>
          <w:color w:val="auto"/>
          <w:sz w:val="32"/>
          <w:szCs w:val="32"/>
        </w:rPr>
        <w:t>项目绩效自评情况：根据年初设定的绩效目标，项目绩效自评得分为</w:t>
      </w:r>
      <w:r>
        <w:rPr>
          <w:rFonts w:hint="eastAsia" w:ascii="Times New Roman" w:eastAsia="仿宋_GB2312"/>
          <w:b w:val="0"/>
          <w:color w:val="auto"/>
          <w:sz w:val="32"/>
          <w:szCs w:val="32"/>
          <w:lang w:val="en-US" w:eastAsia="zh-CN"/>
        </w:rPr>
        <w:t>100</w:t>
      </w:r>
      <w:r>
        <w:rPr>
          <w:rFonts w:ascii="Times New Roman" w:eastAsia="仿宋_GB2312"/>
          <w:b w:val="0"/>
          <w:color w:val="auto"/>
          <w:sz w:val="32"/>
          <w:szCs w:val="32"/>
        </w:rPr>
        <w:t>分（绩效自评表附后）。全年预算数为</w:t>
      </w:r>
      <w:r>
        <w:rPr>
          <w:rFonts w:hint="eastAsia" w:ascii="Times New Roman" w:eastAsia="仿宋_GB2312"/>
          <w:b w:val="0"/>
          <w:color w:val="auto"/>
          <w:sz w:val="32"/>
          <w:szCs w:val="32"/>
          <w:lang w:val="en-US" w:eastAsia="zh-CN"/>
        </w:rPr>
        <w:t>755</w:t>
      </w:r>
      <w:r>
        <w:rPr>
          <w:rFonts w:ascii="Times New Roman" w:eastAsia="仿宋_GB2312"/>
          <w:b w:val="0"/>
          <w:color w:val="auto"/>
          <w:sz w:val="32"/>
          <w:szCs w:val="32"/>
        </w:rPr>
        <w:t>万元，执行数为</w:t>
      </w:r>
      <w:r>
        <w:rPr>
          <w:rFonts w:hint="eastAsia" w:ascii="Times New Roman" w:eastAsia="仿宋_GB2312"/>
          <w:b w:val="0"/>
          <w:color w:val="auto"/>
          <w:sz w:val="32"/>
          <w:szCs w:val="32"/>
          <w:lang w:val="en-US" w:eastAsia="zh-CN"/>
        </w:rPr>
        <w:t>750</w:t>
      </w:r>
      <w:r>
        <w:rPr>
          <w:rFonts w:ascii="Times New Roman" w:eastAsia="仿宋_GB2312"/>
          <w:b w:val="0"/>
          <w:color w:val="auto"/>
          <w:sz w:val="32"/>
          <w:szCs w:val="32"/>
        </w:rPr>
        <w:t>万元，完成预算的</w:t>
      </w:r>
      <w:r>
        <w:rPr>
          <w:rFonts w:hint="eastAsia" w:ascii="Times New Roman" w:eastAsia="仿宋_GB2312"/>
          <w:b w:val="0"/>
          <w:color w:val="auto"/>
          <w:sz w:val="32"/>
          <w:szCs w:val="32"/>
          <w:lang w:val="en-US" w:eastAsia="zh-CN"/>
        </w:rPr>
        <w:t>99.3</w:t>
      </w:r>
      <w:r>
        <w:rPr>
          <w:rFonts w:ascii="Times New Roman" w:eastAsia="仿宋_GB2312"/>
          <w:b w:val="0"/>
          <w:color w:val="auto"/>
          <w:sz w:val="32"/>
          <w:szCs w:val="32"/>
        </w:rPr>
        <w:t>%。项目绩效目标完成情况：一是</w:t>
      </w:r>
      <w:r>
        <w:rPr>
          <w:rFonts w:hint="eastAsia" w:ascii="Times New Roman" w:eastAsia="仿宋_GB2312"/>
          <w:b w:val="0"/>
          <w:color w:val="auto"/>
          <w:sz w:val="32"/>
          <w:szCs w:val="32"/>
        </w:rPr>
        <w:t>支持科技创新</w:t>
      </w:r>
      <w:r>
        <w:rPr>
          <w:rFonts w:hint="eastAsia" w:ascii="Times New Roman" w:eastAsia="仿宋_GB2312"/>
          <w:b w:val="0"/>
          <w:color w:val="auto"/>
          <w:sz w:val="32"/>
          <w:szCs w:val="32"/>
          <w:lang w:eastAsia="zh-CN"/>
        </w:rPr>
        <w:t>；</w:t>
      </w:r>
      <w:r>
        <w:rPr>
          <w:rFonts w:ascii="Times New Roman" w:eastAsia="仿宋_GB2312"/>
          <w:b w:val="0"/>
          <w:color w:val="auto"/>
          <w:sz w:val="32"/>
          <w:szCs w:val="32"/>
        </w:rPr>
        <w:t>二是</w:t>
      </w:r>
      <w:r>
        <w:rPr>
          <w:rFonts w:hint="eastAsia" w:ascii="Times New Roman" w:eastAsia="仿宋_GB2312"/>
          <w:b w:val="0"/>
          <w:color w:val="auto"/>
          <w:sz w:val="32"/>
          <w:szCs w:val="32"/>
        </w:rPr>
        <w:t>调动企业积极性、创造性</w:t>
      </w:r>
      <w:r>
        <w:rPr>
          <w:rFonts w:ascii="Times New Roman" w:eastAsia="仿宋_GB2312"/>
          <w:b w:val="0"/>
          <w:color w:val="auto"/>
          <w:sz w:val="32"/>
          <w:szCs w:val="32"/>
        </w:rPr>
        <w:t>。发现的主要问题及原因是：</w:t>
      </w:r>
      <w:r>
        <w:rPr>
          <w:rFonts w:hint="eastAsia" w:ascii="Times New Roman" w:eastAsia="仿宋_GB2312"/>
          <w:b w:val="0"/>
          <w:color w:val="auto"/>
          <w:sz w:val="32"/>
          <w:szCs w:val="32"/>
          <w:lang w:val="en-US" w:eastAsia="zh-CN"/>
        </w:rPr>
        <w:t>未发现问题</w:t>
      </w:r>
      <w:r>
        <w:rPr>
          <w:rFonts w:ascii="Times New Roman" w:eastAsia="仿宋_GB2312"/>
          <w:b w:val="0"/>
          <w:color w:val="auto"/>
          <w:sz w:val="32"/>
          <w:szCs w:val="32"/>
        </w:rPr>
        <w:t>。下一步改进措施：</w:t>
      </w:r>
      <w:r>
        <w:rPr>
          <w:rFonts w:hint="eastAsia" w:ascii="Times New Roman" w:eastAsia="仿宋_GB2312"/>
          <w:b w:val="0"/>
          <w:color w:val="auto"/>
          <w:sz w:val="32"/>
          <w:szCs w:val="32"/>
          <w:lang w:val="en-US" w:eastAsia="zh-CN"/>
        </w:rPr>
        <w:t>无</w:t>
      </w:r>
      <w:r>
        <w:rPr>
          <w:rFonts w:ascii="Times New Roman" w:eastAsia="仿宋_GB2312"/>
          <w:b w:val="0"/>
          <w:color w:val="auto"/>
          <w:sz w:val="32"/>
          <w:szCs w:val="32"/>
        </w:rPr>
        <w:t>。</w:t>
      </w:r>
    </w:p>
    <w:p>
      <w:pPr>
        <w:widowControl/>
        <w:spacing w:before="0" w:beforeLines="0" w:beforeAutospacing="0" w:after="0" w:afterLines="0" w:afterAutospacing="0" w:line="360" w:lineRule="auto"/>
        <w:ind w:firstLine="640" w:firstLineChars="200"/>
        <w:jc w:val="left"/>
        <w:rPr>
          <w:rFonts w:ascii="Times New Roman" w:eastAsia="仿宋_GB2312"/>
          <w:b w:val="0"/>
          <w:color w:val="auto"/>
          <w:sz w:val="32"/>
          <w:szCs w:val="32"/>
        </w:rPr>
      </w:pPr>
      <w:r>
        <w:rPr>
          <w:rFonts w:hint="eastAsia" w:ascii="Times New Roman" w:eastAsia="仿宋_GB2312"/>
          <w:b w:val="0"/>
          <w:color w:val="auto"/>
          <w:sz w:val="32"/>
          <w:szCs w:val="32"/>
          <w:lang w:eastAsia="zh-CN"/>
        </w:rPr>
        <w:t>石财教</w:t>
      </w:r>
      <w:r>
        <w:rPr>
          <w:rFonts w:hint="eastAsia" w:ascii="Times New Roman" w:eastAsia="仿宋_GB2312"/>
          <w:b w:val="0"/>
          <w:color w:val="auto"/>
          <w:sz w:val="32"/>
          <w:szCs w:val="32"/>
        </w:rPr>
        <w:t>〔202</w:t>
      </w:r>
      <w:r>
        <w:rPr>
          <w:rFonts w:hint="eastAsia" w:ascii="Times New Roman" w:eastAsia="仿宋_GB2312"/>
          <w:b w:val="0"/>
          <w:color w:val="auto"/>
          <w:sz w:val="32"/>
          <w:szCs w:val="32"/>
          <w:lang w:val="en-US" w:eastAsia="zh-CN"/>
        </w:rPr>
        <w:t>5</w:t>
      </w:r>
      <w:r>
        <w:rPr>
          <w:rFonts w:hint="eastAsia" w:ascii="Times New Roman" w:eastAsia="仿宋_GB2312"/>
          <w:b w:val="0"/>
          <w:color w:val="auto"/>
          <w:sz w:val="32"/>
          <w:szCs w:val="32"/>
        </w:rPr>
        <w:t>〕</w:t>
      </w:r>
      <w:r>
        <w:rPr>
          <w:rFonts w:hint="eastAsia" w:ascii="Times New Roman" w:eastAsia="仿宋_GB2312"/>
          <w:b w:val="0"/>
          <w:color w:val="auto"/>
          <w:sz w:val="32"/>
          <w:szCs w:val="32"/>
          <w:lang w:val="en-US" w:eastAsia="zh-CN"/>
        </w:rPr>
        <w:t>18</w:t>
      </w:r>
      <w:r>
        <w:rPr>
          <w:rFonts w:hint="eastAsia" w:ascii="Times New Roman" w:eastAsia="仿宋_GB2312"/>
          <w:b w:val="0"/>
          <w:color w:val="auto"/>
          <w:sz w:val="32"/>
          <w:szCs w:val="32"/>
          <w:lang w:eastAsia="zh-CN"/>
        </w:rPr>
        <w:t>号2025年技术创新引导专项资金（省科学技术奖奖金）</w:t>
      </w:r>
      <w:r>
        <w:rPr>
          <w:rFonts w:ascii="Times New Roman" w:eastAsia="仿宋_GB2312"/>
          <w:b w:val="0"/>
          <w:color w:val="auto"/>
          <w:sz w:val="32"/>
          <w:szCs w:val="32"/>
        </w:rPr>
        <w:t>项目绩效自评情况：根据年初设定的绩效目标，项目绩效自评得分为</w:t>
      </w:r>
      <w:r>
        <w:rPr>
          <w:rFonts w:hint="eastAsia" w:ascii="Times New Roman" w:eastAsia="仿宋_GB2312"/>
          <w:b w:val="0"/>
          <w:color w:val="auto"/>
          <w:sz w:val="32"/>
          <w:szCs w:val="32"/>
          <w:lang w:val="en-US" w:eastAsia="zh-CN"/>
        </w:rPr>
        <w:t>100</w:t>
      </w:r>
      <w:r>
        <w:rPr>
          <w:rFonts w:ascii="Times New Roman" w:eastAsia="仿宋_GB2312"/>
          <w:b w:val="0"/>
          <w:color w:val="auto"/>
          <w:sz w:val="32"/>
          <w:szCs w:val="32"/>
        </w:rPr>
        <w:t>分（绩效自评表附后）。全年预算数为</w:t>
      </w:r>
      <w:r>
        <w:rPr>
          <w:rFonts w:hint="eastAsia" w:ascii="Times New Roman" w:eastAsia="仿宋_GB2312"/>
          <w:b w:val="0"/>
          <w:color w:val="auto"/>
          <w:sz w:val="32"/>
          <w:szCs w:val="32"/>
          <w:lang w:val="en-US" w:eastAsia="zh-CN"/>
        </w:rPr>
        <w:t>240</w:t>
      </w:r>
      <w:r>
        <w:rPr>
          <w:rFonts w:ascii="Times New Roman" w:eastAsia="仿宋_GB2312"/>
          <w:b w:val="0"/>
          <w:color w:val="auto"/>
          <w:sz w:val="32"/>
          <w:szCs w:val="32"/>
        </w:rPr>
        <w:t>万元，执行数为</w:t>
      </w:r>
      <w:r>
        <w:rPr>
          <w:rFonts w:hint="eastAsia" w:ascii="Times New Roman" w:eastAsia="仿宋_GB2312"/>
          <w:b w:val="0"/>
          <w:color w:val="auto"/>
          <w:sz w:val="32"/>
          <w:szCs w:val="32"/>
          <w:lang w:val="en-US" w:eastAsia="zh-CN"/>
        </w:rPr>
        <w:t>240</w:t>
      </w:r>
      <w:r>
        <w:rPr>
          <w:rFonts w:ascii="Times New Roman" w:eastAsia="仿宋_GB2312"/>
          <w:b w:val="0"/>
          <w:color w:val="auto"/>
          <w:sz w:val="32"/>
          <w:szCs w:val="32"/>
        </w:rPr>
        <w:t>万元，完成预算的</w:t>
      </w:r>
      <w:r>
        <w:rPr>
          <w:rFonts w:hint="eastAsia" w:ascii="Times New Roman" w:eastAsia="仿宋_GB2312"/>
          <w:b w:val="0"/>
          <w:color w:val="auto"/>
          <w:sz w:val="32"/>
          <w:szCs w:val="32"/>
          <w:lang w:val="en-US" w:eastAsia="zh-CN"/>
        </w:rPr>
        <w:t>100</w:t>
      </w:r>
      <w:r>
        <w:rPr>
          <w:rFonts w:ascii="Times New Roman" w:eastAsia="仿宋_GB2312"/>
          <w:b w:val="0"/>
          <w:color w:val="auto"/>
          <w:sz w:val="32"/>
          <w:szCs w:val="32"/>
        </w:rPr>
        <w:t>%。项目绩效目标完成情况：</w:t>
      </w:r>
      <w:r>
        <w:rPr>
          <w:rFonts w:hint="eastAsia" w:ascii="Times New Roman" w:eastAsia="仿宋_GB2312"/>
          <w:b w:val="0"/>
          <w:color w:val="auto"/>
          <w:sz w:val="32"/>
          <w:szCs w:val="32"/>
        </w:rPr>
        <w:t>进一步激发了科技人员科技创新积极性</w:t>
      </w:r>
      <w:r>
        <w:rPr>
          <w:rFonts w:ascii="Times New Roman" w:eastAsia="仿宋_GB2312"/>
          <w:b w:val="0"/>
          <w:color w:val="auto"/>
          <w:sz w:val="32"/>
          <w:szCs w:val="32"/>
        </w:rPr>
        <w:t>。发现的主要问题及原因是：</w:t>
      </w:r>
      <w:r>
        <w:rPr>
          <w:rFonts w:hint="eastAsia" w:ascii="Times New Roman" w:eastAsia="仿宋_GB2312"/>
          <w:b w:val="0"/>
          <w:color w:val="auto"/>
          <w:sz w:val="32"/>
          <w:szCs w:val="32"/>
          <w:lang w:val="en-US" w:eastAsia="zh-CN"/>
        </w:rPr>
        <w:t>未发现问题</w:t>
      </w:r>
      <w:r>
        <w:rPr>
          <w:rFonts w:ascii="Times New Roman" w:eastAsia="仿宋_GB2312"/>
          <w:b w:val="0"/>
          <w:color w:val="auto"/>
          <w:sz w:val="32"/>
          <w:szCs w:val="32"/>
        </w:rPr>
        <w:t>。下一步改进措施：</w:t>
      </w:r>
      <w:r>
        <w:rPr>
          <w:rFonts w:hint="eastAsia" w:ascii="Times New Roman" w:eastAsia="仿宋_GB2312"/>
          <w:b w:val="0"/>
          <w:color w:val="auto"/>
          <w:sz w:val="32"/>
          <w:szCs w:val="32"/>
          <w:lang w:val="en-US" w:eastAsia="zh-CN"/>
        </w:rPr>
        <w:t>无</w:t>
      </w:r>
      <w:r>
        <w:rPr>
          <w:rFonts w:ascii="Times New Roman" w:eastAsia="仿宋_GB2312"/>
          <w:b w:val="0"/>
          <w:color w:val="auto"/>
          <w:sz w:val="32"/>
          <w:szCs w:val="32"/>
        </w:rPr>
        <w:t>。</w:t>
      </w:r>
    </w:p>
    <w:p>
      <w:pPr>
        <w:widowControl/>
        <w:spacing w:before="0" w:beforeLines="0" w:beforeAutospacing="0" w:after="0" w:afterLines="0" w:afterAutospacing="0" w:line="360" w:lineRule="auto"/>
        <w:ind w:firstLine="640" w:firstLineChars="200"/>
        <w:jc w:val="left"/>
        <w:rPr>
          <w:rFonts w:ascii="Times New Roman" w:eastAsia="仿宋_GB2312"/>
          <w:b w:val="0"/>
          <w:color w:val="auto"/>
          <w:sz w:val="32"/>
          <w:szCs w:val="32"/>
        </w:rPr>
      </w:pPr>
      <w:r>
        <w:rPr>
          <w:rFonts w:hint="eastAsia" w:ascii="Times New Roman" w:eastAsia="仿宋_GB2312"/>
          <w:b w:val="0"/>
          <w:color w:val="auto"/>
          <w:sz w:val="32"/>
          <w:szCs w:val="32"/>
          <w:lang w:eastAsia="zh-CN"/>
        </w:rPr>
        <w:t>石财教</w:t>
      </w:r>
      <w:r>
        <w:rPr>
          <w:rFonts w:hint="eastAsia" w:ascii="Times New Roman" w:eastAsia="仿宋_GB2312"/>
          <w:b w:val="0"/>
          <w:color w:val="auto"/>
          <w:sz w:val="32"/>
          <w:szCs w:val="32"/>
        </w:rPr>
        <w:t>〔202</w:t>
      </w:r>
      <w:r>
        <w:rPr>
          <w:rFonts w:hint="eastAsia" w:ascii="Times New Roman" w:eastAsia="仿宋_GB2312"/>
          <w:b w:val="0"/>
          <w:color w:val="auto"/>
          <w:sz w:val="32"/>
          <w:szCs w:val="32"/>
          <w:lang w:val="en-US" w:eastAsia="zh-CN"/>
        </w:rPr>
        <w:t>5</w:t>
      </w:r>
      <w:r>
        <w:rPr>
          <w:rFonts w:hint="eastAsia" w:ascii="Times New Roman" w:eastAsia="仿宋_GB2312"/>
          <w:b w:val="0"/>
          <w:color w:val="auto"/>
          <w:sz w:val="32"/>
          <w:szCs w:val="32"/>
        </w:rPr>
        <w:t>〕</w:t>
      </w:r>
      <w:r>
        <w:rPr>
          <w:rFonts w:hint="eastAsia" w:ascii="Times New Roman" w:eastAsia="仿宋_GB2312"/>
          <w:b w:val="0"/>
          <w:color w:val="auto"/>
          <w:sz w:val="32"/>
          <w:szCs w:val="32"/>
          <w:lang w:val="en-US" w:eastAsia="zh-CN"/>
        </w:rPr>
        <w:t>19</w:t>
      </w:r>
      <w:r>
        <w:rPr>
          <w:rFonts w:hint="eastAsia" w:ascii="Times New Roman" w:eastAsia="仿宋_GB2312"/>
          <w:b w:val="0"/>
          <w:color w:val="auto"/>
          <w:sz w:val="32"/>
          <w:szCs w:val="32"/>
          <w:lang w:eastAsia="zh-CN"/>
        </w:rPr>
        <w:t>号2025年技术经纪人补助市级资金</w:t>
      </w:r>
      <w:r>
        <w:rPr>
          <w:rFonts w:ascii="Times New Roman" w:eastAsia="仿宋_GB2312"/>
          <w:b w:val="0"/>
          <w:color w:val="auto"/>
          <w:sz w:val="32"/>
          <w:szCs w:val="32"/>
        </w:rPr>
        <w:t>项目绩效自评情况：根据年初设定的绩效目标，项目绩效自评得分为</w:t>
      </w:r>
      <w:r>
        <w:rPr>
          <w:rFonts w:hint="eastAsia" w:ascii="Times New Roman" w:eastAsia="仿宋_GB2312"/>
          <w:b w:val="0"/>
          <w:color w:val="auto"/>
          <w:sz w:val="32"/>
          <w:szCs w:val="32"/>
          <w:lang w:val="en-US" w:eastAsia="zh-CN"/>
        </w:rPr>
        <w:t>100</w:t>
      </w:r>
      <w:r>
        <w:rPr>
          <w:rFonts w:ascii="Times New Roman" w:eastAsia="仿宋_GB2312"/>
          <w:b w:val="0"/>
          <w:color w:val="auto"/>
          <w:sz w:val="32"/>
          <w:szCs w:val="32"/>
        </w:rPr>
        <w:t>分（绩效自评表附后）。全年预算数为</w:t>
      </w:r>
      <w:r>
        <w:rPr>
          <w:rFonts w:hint="eastAsia" w:ascii="Times New Roman" w:eastAsia="仿宋_GB2312"/>
          <w:b w:val="0"/>
          <w:color w:val="auto"/>
          <w:sz w:val="32"/>
          <w:szCs w:val="32"/>
          <w:lang w:val="en-US" w:eastAsia="zh-CN"/>
        </w:rPr>
        <w:t>53.39</w:t>
      </w:r>
      <w:r>
        <w:rPr>
          <w:rFonts w:ascii="Times New Roman" w:eastAsia="仿宋_GB2312"/>
          <w:b w:val="0"/>
          <w:color w:val="auto"/>
          <w:sz w:val="32"/>
          <w:szCs w:val="32"/>
        </w:rPr>
        <w:t>万元，执行数为</w:t>
      </w:r>
      <w:r>
        <w:rPr>
          <w:rFonts w:hint="eastAsia" w:ascii="Times New Roman" w:eastAsia="仿宋_GB2312"/>
          <w:b w:val="0"/>
          <w:color w:val="auto"/>
          <w:sz w:val="32"/>
          <w:szCs w:val="32"/>
          <w:lang w:val="en-US" w:eastAsia="zh-CN"/>
        </w:rPr>
        <w:t>53.39</w:t>
      </w:r>
      <w:r>
        <w:rPr>
          <w:rFonts w:ascii="Times New Roman" w:eastAsia="仿宋_GB2312"/>
          <w:b w:val="0"/>
          <w:color w:val="auto"/>
          <w:sz w:val="32"/>
          <w:szCs w:val="32"/>
        </w:rPr>
        <w:t>万元，完成预算的</w:t>
      </w:r>
      <w:r>
        <w:rPr>
          <w:rFonts w:hint="eastAsia" w:ascii="Times New Roman" w:eastAsia="仿宋_GB2312"/>
          <w:b w:val="0"/>
          <w:color w:val="auto"/>
          <w:sz w:val="32"/>
          <w:szCs w:val="32"/>
          <w:lang w:val="en-US" w:eastAsia="zh-CN"/>
        </w:rPr>
        <w:t>100</w:t>
      </w:r>
      <w:r>
        <w:rPr>
          <w:rFonts w:ascii="Times New Roman" w:eastAsia="仿宋_GB2312"/>
          <w:b w:val="0"/>
          <w:color w:val="auto"/>
          <w:sz w:val="32"/>
          <w:szCs w:val="32"/>
        </w:rPr>
        <w:t>%。项目绩效目标完成情况：一是</w:t>
      </w:r>
      <w:r>
        <w:rPr>
          <w:rFonts w:hint="eastAsia" w:ascii="Times New Roman" w:eastAsia="仿宋_GB2312"/>
          <w:b w:val="0"/>
          <w:color w:val="auto"/>
          <w:sz w:val="32"/>
          <w:szCs w:val="32"/>
        </w:rPr>
        <w:t>科技成果受让企业技术合同超过11份</w:t>
      </w:r>
      <w:r>
        <w:rPr>
          <w:rFonts w:hint="eastAsia" w:ascii="Times New Roman" w:eastAsia="仿宋_GB2312"/>
          <w:b w:val="0"/>
          <w:color w:val="auto"/>
          <w:sz w:val="32"/>
          <w:szCs w:val="32"/>
          <w:lang w:eastAsia="zh-CN"/>
        </w:rPr>
        <w:t>；</w:t>
      </w:r>
      <w:r>
        <w:rPr>
          <w:rFonts w:ascii="Times New Roman" w:eastAsia="仿宋_GB2312"/>
          <w:b w:val="0"/>
          <w:color w:val="auto"/>
          <w:sz w:val="32"/>
          <w:szCs w:val="32"/>
        </w:rPr>
        <w:t>二是</w:t>
      </w:r>
      <w:r>
        <w:rPr>
          <w:rFonts w:hint="eastAsia" w:ascii="Times New Roman" w:eastAsia="仿宋_GB2312"/>
          <w:b w:val="0"/>
          <w:color w:val="auto"/>
          <w:sz w:val="32"/>
          <w:szCs w:val="32"/>
        </w:rPr>
        <w:t>支持了企业科技创新，促进了科技成果转移转化</w:t>
      </w:r>
      <w:r>
        <w:rPr>
          <w:rFonts w:ascii="Times New Roman" w:eastAsia="仿宋_GB2312"/>
          <w:b w:val="0"/>
          <w:color w:val="auto"/>
          <w:sz w:val="32"/>
          <w:szCs w:val="32"/>
        </w:rPr>
        <w:t>。发现的主要问题及原因是：</w:t>
      </w:r>
      <w:r>
        <w:rPr>
          <w:rFonts w:hint="eastAsia" w:ascii="Times New Roman" w:eastAsia="仿宋_GB2312"/>
          <w:b w:val="0"/>
          <w:color w:val="auto"/>
          <w:sz w:val="32"/>
          <w:szCs w:val="32"/>
          <w:lang w:val="en-US" w:eastAsia="zh-CN"/>
        </w:rPr>
        <w:t>未发现问题</w:t>
      </w:r>
      <w:r>
        <w:rPr>
          <w:rFonts w:ascii="Times New Roman" w:eastAsia="仿宋_GB2312"/>
          <w:b w:val="0"/>
          <w:color w:val="auto"/>
          <w:sz w:val="32"/>
          <w:szCs w:val="32"/>
        </w:rPr>
        <w:t>。下一步改进措施：</w:t>
      </w:r>
      <w:r>
        <w:rPr>
          <w:rFonts w:hint="eastAsia" w:ascii="Times New Roman" w:eastAsia="仿宋_GB2312"/>
          <w:b w:val="0"/>
          <w:color w:val="auto"/>
          <w:sz w:val="32"/>
          <w:szCs w:val="32"/>
          <w:lang w:val="en-US" w:eastAsia="zh-CN"/>
        </w:rPr>
        <w:t>无</w:t>
      </w:r>
      <w:r>
        <w:rPr>
          <w:rFonts w:ascii="Times New Roman" w:eastAsia="仿宋_GB2312"/>
          <w:b w:val="0"/>
          <w:color w:val="auto"/>
          <w:sz w:val="32"/>
          <w:szCs w:val="32"/>
        </w:rPr>
        <w:t>。</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hint="eastAsia" w:ascii="Times New Roman" w:eastAsia="仿宋_GB2312"/>
          <w:b w:val="0"/>
          <w:color w:val="auto"/>
          <w:sz w:val="32"/>
          <w:szCs w:val="32"/>
          <w:lang w:eastAsia="zh-CN"/>
        </w:rPr>
        <w:t>石财教</w:t>
      </w:r>
      <w:r>
        <w:rPr>
          <w:rFonts w:hint="eastAsia" w:ascii="Times New Roman" w:eastAsia="仿宋_GB2312"/>
          <w:b w:val="0"/>
          <w:color w:val="auto"/>
          <w:sz w:val="32"/>
          <w:szCs w:val="32"/>
        </w:rPr>
        <w:t>〔202</w:t>
      </w:r>
      <w:r>
        <w:rPr>
          <w:rFonts w:hint="eastAsia" w:ascii="Times New Roman" w:eastAsia="仿宋_GB2312"/>
          <w:b w:val="0"/>
          <w:color w:val="auto"/>
          <w:sz w:val="32"/>
          <w:szCs w:val="32"/>
          <w:lang w:val="en-US" w:eastAsia="zh-CN"/>
        </w:rPr>
        <w:t>5</w:t>
      </w:r>
      <w:r>
        <w:rPr>
          <w:rFonts w:hint="eastAsia" w:ascii="Times New Roman" w:eastAsia="仿宋_GB2312"/>
          <w:b w:val="0"/>
          <w:color w:val="auto"/>
          <w:sz w:val="32"/>
          <w:szCs w:val="32"/>
        </w:rPr>
        <w:t>〕</w:t>
      </w:r>
      <w:r>
        <w:rPr>
          <w:rFonts w:hint="eastAsia" w:ascii="Times New Roman" w:eastAsia="仿宋_GB2312"/>
          <w:b w:val="0"/>
          <w:color w:val="auto"/>
          <w:sz w:val="32"/>
          <w:szCs w:val="32"/>
          <w:lang w:eastAsia="zh-CN"/>
        </w:rPr>
        <w:t>4</w:t>
      </w:r>
      <w:r>
        <w:rPr>
          <w:rFonts w:hint="eastAsia" w:ascii="Times New Roman" w:eastAsia="仿宋_GB2312"/>
          <w:b w:val="0"/>
          <w:color w:val="auto"/>
          <w:sz w:val="32"/>
          <w:szCs w:val="32"/>
          <w:lang w:val="en-US" w:eastAsia="zh-CN"/>
        </w:rPr>
        <w:t>0</w:t>
      </w:r>
      <w:r>
        <w:rPr>
          <w:rFonts w:hint="eastAsia" w:ascii="Times New Roman" w:eastAsia="仿宋_GB2312"/>
          <w:b w:val="0"/>
          <w:color w:val="auto"/>
          <w:sz w:val="32"/>
          <w:szCs w:val="32"/>
          <w:lang w:eastAsia="zh-CN"/>
        </w:rPr>
        <w:t>号2025年市级引进高层次人才创业启动资金</w:t>
      </w:r>
      <w:r>
        <w:rPr>
          <w:rFonts w:ascii="Times New Roman" w:eastAsia="仿宋_GB2312"/>
          <w:b w:val="0"/>
          <w:color w:val="auto"/>
          <w:sz w:val="32"/>
          <w:szCs w:val="32"/>
        </w:rPr>
        <w:t>项目绩效自评情况：根据年初设定的绩效目标，项目绩效自评得分为</w:t>
      </w:r>
      <w:r>
        <w:rPr>
          <w:rFonts w:hint="eastAsia" w:ascii="Times New Roman" w:eastAsia="仿宋_GB2312"/>
          <w:b w:val="0"/>
          <w:color w:val="auto"/>
          <w:sz w:val="32"/>
          <w:szCs w:val="32"/>
          <w:lang w:val="en-US" w:eastAsia="zh-CN"/>
        </w:rPr>
        <w:t>100</w:t>
      </w:r>
      <w:r>
        <w:rPr>
          <w:rFonts w:ascii="Times New Roman" w:eastAsia="仿宋_GB2312"/>
          <w:b w:val="0"/>
          <w:color w:val="auto"/>
          <w:sz w:val="32"/>
          <w:szCs w:val="32"/>
        </w:rPr>
        <w:t>分（绩效自评表附后）。全年预算数为</w:t>
      </w:r>
      <w:r>
        <w:rPr>
          <w:rFonts w:hint="eastAsia" w:ascii="Times New Roman" w:eastAsia="仿宋_GB2312"/>
          <w:b w:val="0"/>
          <w:color w:val="auto"/>
          <w:sz w:val="32"/>
          <w:szCs w:val="32"/>
          <w:lang w:val="en-US" w:eastAsia="zh-CN"/>
        </w:rPr>
        <w:t>200</w:t>
      </w:r>
      <w:r>
        <w:rPr>
          <w:rFonts w:ascii="Times New Roman" w:eastAsia="仿宋_GB2312"/>
          <w:b w:val="0"/>
          <w:color w:val="auto"/>
          <w:sz w:val="32"/>
          <w:szCs w:val="32"/>
        </w:rPr>
        <w:t>万元，执行数为</w:t>
      </w:r>
      <w:r>
        <w:rPr>
          <w:rFonts w:hint="eastAsia" w:ascii="Times New Roman" w:eastAsia="仿宋_GB2312"/>
          <w:b w:val="0"/>
          <w:color w:val="auto"/>
          <w:sz w:val="32"/>
          <w:szCs w:val="32"/>
          <w:lang w:val="en-US" w:eastAsia="zh-CN"/>
        </w:rPr>
        <w:t>200</w:t>
      </w:r>
      <w:r>
        <w:rPr>
          <w:rFonts w:ascii="Times New Roman" w:eastAsia="仿宋_GB2312"/>
          <w:b w:val="0"/>
          <w:color w:val="auto"/>
          <w:sz w:val="32"/>
          <w:szCs w:val="32"/>
        </w:rPr>
        <w:t>万元，完成预算的</w:t>
      </w:r>
      <w:r>
        <w:rPr>
          <w:rFonts w:hint="eastAsia" w:ascii="Times New Roman" w:eastAsia="仿宋_GB2312"/>
          <w:b w:val="0"/>
          <w:color w:val="auto"/>
          <w:sz w:val="32"/>
          <w:szCs w:val="32"/>
          <w:lang w:val="en-US" w:eastAsia="zh-CN"/>
        </w:rPr>
        <w:t>100</w:t>
      </w:r>
      <w:r>
        <w:rPr>
          <w:rFonts w:ascii="Times New Roman" w:eastAsia="仿宋_GB2312"/>
          <w:b w:val="0"/>
          <w:color w:val="auto"/>
          <w:sz w:val="32"/>
          <w:szCs w:val="32"/>
        </w:rPr>
        <w:t>%。项目绩效目标完成情况：一是</w:t>
      </w:r>
      <w:r>
        <w:rPr>
          <w:rFonts w:hint="eastAsia" w:ascii="Times New Roman" w:eastAsia="仿宋_GB2312"/>
          <w:b w:val="0"/>
          <w:color w:val="auto"/>
          <w:sz w:val="32"/>
          <w:szCs w:val="32"/>
        </w:rPr>
        <w:t>推动科技创新成果在石家庄转化落地</w:t>
      </w:r>
      <w:r>
        <w:rPr>
          <w:rFonts w:hint="eastAsia" w:ascii="Times New Roman" w:eastAsia="仿宋_GB2312"/>
          <w:b w:val="0"/>
          <w:color w:val="auto"/>
          <w:sz w:val="32"/>
          <w:szCs w:val="32"/>
          <w:lang w:eastAsia="zh-CN"/>
        </w:rPr>
        <w:t>；</w:t>
      </w:r>
      <w:r>
        <w:rPr>
          <w:rFonts w:ascii="Times New Roman" w:eastAsia="仿宋_GB2312"/>
          <w:b w:val="0"/>
          <w:color w:val="auto"/>
          <w:sz w:val="32"/>
          <w:szCs w:val="32"/>
        </w:rPr>
        <w:t>二是</w:t>
      </w:r>
      <w:r>
        <w:rPr>
          <w:rFonts w:hint="eastAsia" w:ascii="Times New Roman" w:eastAsia="仿宋_GB2312"/>
          <w:b w:val="0"/>
          <w:color w:val="auto"/>
          <w:sz w:val="32"/>
          <w:szCs w:val="32"/>
        </w:rPr>
        <w:t>吸引国内外领军人才（团队）来石家庄创新创业</w:t>
      </w:r>
      <w:r>
        <w:rPr>
          <w:rFonts w:ascii="Times New Roman" w:eastAsia="仿宋_GB2312"/>
          <w:b w:val="0"/>
          <w:color w:val="auto"/>
          <w:sz w:val="32"/>
          <w:szCs w:val="32"/>
        </w:rPr>
        <w:t>。发现的主要问题及原因是：</w:t>
      </w:r>
      <w:r>
        <w:rPr>
          <w:rFonts w:hint="eastAsia" w:ascii="Times New Roman" w:eastAsia="仿宋_GB2312"/>
          <w:b w:val="0"/>
          <w:color w:val="auto"/>
          <w:sz w:val="32"/>
          <w:szCs w:val="32"/>
          <w:lang w:val="en-US" w:eastAsia="zh-CN"/>
        </w:rPr>
        <w:t>未发现问题</w:t>
      </w:r>
      <w:r>
        <w:rPr>
          <w:rFonts w:ascii="Times New Roman" w:eastAsia="仿宋_GB2312"/>
          <w:b w:val="0"/>
          <w:color w:val="auto"/>
          <w:sz w:val="32"/>
          <w:szCs w:val="32"/>
        </w:rPr>
        <w:t>。下一步改进措施：</w:t>
      </w:r>
      <w:r>
        <w:rPr>
          <w:rFonts w:hint="eastAsia" w:ascii="Times New Roman" w:eastAsia="仿宋_GB2312"/>
          <w:b w:val="0"/>
          <w:color w:val="auto"/>
          <w:sz w:val="32"/>
          <w:szCs w:val="32"/>
          <w:lang w:val="en-US" w:eastAsia="zh-CN"/>
        </w:rPr>
        <w:t>无</w:t>
      </w:r>
      <w:r>
        <w:rPr>
          <w:rFonts w:ascii="Times New Roman" w:eastAsia="仿宋_GB2312"/>
          <w:b w:val="0"/>
          <w:color w:val="auto"/>
          <w:sz w:val="32"/>
          <w:szCs w:val="32"/>
        </w:rPr>
        <w:t>。</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（三）部门评价项目绩效评价结果</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p>
    <w:p>
      <w:pPr>
        <w:widowControl/>
        <w:spacing w:before="0" w:beforeLines="0" w:beforeAutospacing="0" w:after="0" w:afterLines="0" w:afterAutospacing="0" w:line="360" w:lineRule="auto"/>
        <w:ind w:firstLine="640" w:firstLineChars="200"/>
        <w:jc w:val="left"/>
        <w:rPr>
          <w:rFonts w:ascii="Times New Roman" w:eastAsia="黑体"/>
          <w:sz w:val="32"/>
          <w:szCs w:val="32"/>
        </w:rPr>
      </w:pPr>
      <w:r>
        <w:rPr>
          <w:rFonts w:ascii="Times New Roman" w:eastAsia="黑体"/>
          <w:b w:val="0"/>
          <w:sz w:val="32"/>
          <w:szCs w:val="32"/>
        </w:rPr>
        <w:t>十、其他需要说明的情况</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1.本单位2025年度收入支出决算总表（公开01表）、收入决算表（公开02表）、支出决算表（公开03表）、财政拨款收入支出决算总表（公开04表）、一般公共预算财政拨款支出决算表（公开05表）、一般公共预算财政拨款基本支出决算明细表（公开06表）、政府性基金预算财政拨款收入支出决算表（公开07表）、国有资本经营预算财政拨款支出决算表（公开08表）、财政拨款“三公”经费支出决算表（公开09表）无相应收支，故空表列示。</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 由于决算公开表格中金额数值应当保留两位小数，公开数据为四舍五入计算结果，个别数据合计项与分项之和存在小数点后差额，特此说明。</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第四部分 名词解释</w:t>
      </w: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default"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一、财政拨款收入：</w:t>
      </w:r>
      <w:r>
        <w:rPr>
          <w:rFonts w:ascii="Times New Roman" w:eastAsia="仿宋_GB2312"/>
          <w:b w:val="0"/>
          <w:sz w:val="32"/>
          <w:szCs w:val="32"/>
        </w:rPr>
        <w:t>指单位从同级财政部门取得的财政预算资金。</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二、事业收入：</w:t>
      </w:r>
      <w:r>
        <w:rPr>
          <w:rFonts w:ascii="Times New Roman" w:eastAsia="仿宋_GB2312"/>
          <w:b w:val="0"/>
          <w:sz w:val="32"/>
          <w:szCs w:val="32"/>
        </w:rPr>
        <w:t>指事业单位开展专业业务活动及辅助活动取得的收入。</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三、经营收入：</w:t>
      </w:r>
      <w:r>
        <w:rPr>
          <w:rFonts w:ascii="Times New Roman" w:eastAsia="仿宋_GB2312"/>
          <w:b w:val="0"/>
          <w:sz w:val="32"/>
          <w:szCs w:val="32"/>
        </w:rPr>
        <w:t>指事业单位在专业业务活动及其辅助活动之外开展非独立核算经营活动取得的收入。</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四、其他收入：</w:t>
      </w:r>
      <w:r>
        <w:rPr>
          <w:rFonts w:ascii="Times New Roman" w:eastAsia="仿宋_GB2312"/>
          <w:b w:val="0"/>
          <w:sz w:val="32"/>
          <w:szCs w:val="32"/>
        </w:rPr>
        <w:t>指单位取得的除上述收入以外的各项收入。主要是事业单位固定资产出租收入、存款利息收入等。</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五、使用非财政拨款结余（含专用结余）：</w:t>
      </w:r>
      <w:r>
        <w:rPr>
          <w:rFonts w:ascii="Times New Roman" w:eastAsia="仿宋_GB2312"/>
          <w:b w:val="0"/>
          <w:sz w:val="32"/>
          <w:szCs w:val="32"/>
        </w:rPr>
        <w:t>指事业单位按照预算管理要求使用非财政拨款结余弥补收支差额的金额，以及使用专用结余安排支出的金额。</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六、年初结转和结余：</w:t>
      </w:r>
      <w:r>
        <w:rPr>
          <w:rFonts w:ascii="Times New Roman" w:eastAsia="仿宋_GB2312"/>
          <w:b w:val="0"/>
          <w:sz w:val="32"/>
          <w:szCs w:val="32"/>
        </w:rPr>
        <w:t>指单位以前年度尚未完成、结转到本年仍按原规定用途继续使用的资金，或项目已完成等产生的结余资金。</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七、结余分配：</w:t>
      </w:r>
      <w:r>
        <w:rPr>
          <w:rFonts w:ascii="Times New Roman" w:eastAsia="仿宋_GB2312"/>
          <w:b w:val="0"/>
          <w:sz w:val="32"/>
          <w:szCs w:val="32"/>
        </w:rPr>
        <w:t>指事业单位按照会计制度规定缴纳的所得税、提取的专用结余以及转入非财政拨款结余的金额等。</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八、年末结转和结余：</w:t>
      </w:r>
      <w:r>
        <w:rPr>
          <w:rFonts w:ascii="Times New Roman" w:eastAsia="仿宋_GB2312"/>
          <w:b w:val="0"/>
          <w:sz w:val="32"/>
          <w:szCs w:val="32"/>
        </w:rPr>
        <w:t>指单位按有关规定结转到下年或以后年度继续使用的资金，或项目已完成等产生的结余资金。</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九、基本支出：</w:t>
      </w:r>
      <w:r>
        <w:rPr>
          <w:rFonts w:ascii="Times New Roman" w:eastAsia="仿宋_GB2312"/>
          <w:b w:val="0"/>
          <w:sz w:val="32"/>
          <w:szCs w:val="32"/>
        </w:rPr>
        <w:t>指为保障机构正常运转、完成日常工作任务而发生的人员支出和公用支出。</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十、项目支出：</w:t>
      </w:r>
      <w:r>
        <w:rPr>
          <w:rFonts w:ascii="Times New Roman" w:eastAsia="仿宋_GB2312"/>
          <w:b w:val="0"/>
          <w:sz w:val="32"/>
          <w:szCs w:val="32"/>
        </w:rPr>
        <w:t>指在基本支出之外为完成特定行政任务和事业发展目标所发生的支出。</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十一、经营支出 ：</w:t>
      </w:r>
      <w:r>
        <w:rPr>
          <w:rFonts w:ascii="Times New Roman" w:eastAsia="仿宋_GB2312"/>
          <w:b w:val="0"/>
          <w:sz w:val="32"/>
          <w:szCs w:val="32"/>
        </w:rPr>
        <w:t>指事业单位在专业业务活动及其辅助活动之外开展非独立核算经营活动发生的支出。</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十二、基本建设支出：</w:t>
      </w:r>
      <w:r>
        <w:rPr>
          <w:rFonts w:ascii="Times New Roman" w:eastAsia="仿宋_GB2312"/>
          <w:b w:val="0"/>
          <w:sz w:val="32"/>
          <w:szCs w:val="32"/>
        </w:rPr>
        <w:t>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十三、其他资本性支出：</w:t>
      </w:r>
      <w:r>
        <w:rPr>
          <w:rFonts w:ascii="Times New Roman" w:eastAsia="仿宋_GB2312"/>
          <w:b w:val="0"/>
          <w:sz w:val="32"/>
          <w:szCs w:val="32"/>
        </w:rPr>
        <w:t>填列由各级非发展与改革部门集中安排的用于购置固定资产、战备性和应急性储备、土地和无形资产，以及购建基础设施、大型修缮和财政支持企业更新改造所发生的支出。</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十四、“三公”经费：</w:t>
      </w:r>
      <w:r>
        <w:rPr>
          <w:rFonts w:ascii="Times New Roman" w:eastAsia="仿宋_GB2312"/>
          <w:b w:val="0"/>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牌照费）及按规定保留的公务用车燃料费、维修费、过桥过路费、保险费、安全奖励费用等支出；公务接待费反映单位按规定开支的各类公务接待（含外宾接待）支出。</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十五、其他交通费用：</w:t>
      </w:r>
      <w:r>
        <w:rPr>
          <w:rFonts w:ascii="Times New Roman" w:eastAsia="仿宋_GB2312"/>
          <w:b w:val="0"/>
          <w:sz w:val="32"/>
          <w:szCs w:val="32"/>
        </w:rPr>
        <w:t>填列单位除公务用车运行维护费以外的其他交通费用。如公务交通补贴、租车费用、出租车费用，飞机、船舶等燃料费、维修费、保险费等。</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十六、公务用车购置：</w:t>
      </w:r>
      <w:r>
        <w:rPr>
          <w:rFonts w:ascii="Times New Roman" w:eastAsia="仿宋_GB2312"/>
          <w:b w:val="0"/>
          <w:sz w:val="32"/>
          <w:szCs w:val="32"/>
        </w:rPr>
        <w:t>填列单位公务用车车辆购置支出（含车辆购置税、牌照费）。</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十七、其他交通工具购置：</w:t>
      </w:r>
      <w:r>
        <w:rPr>
          <w:rFonts w:ascii="Times New Roman" w:eastAsia="仿宋_GB2312"/>
          <w:b w:val="0"/>
          <w:sz w:val="32"/>
          <w:szCs w:val="32"/>
        </w:rPr>
        <w:t>填列单位除公务用车外的其他各类交通工具（如船舶、飞机等）购置支出（含车辆购置税、牌照费）。</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十八、机关运行经费：</w:t>
      </w:r>
      <w:r>
        <w:rPr>
          <w:rFonts w:ascii="Times New Roman" w:eastAsia="仿宋_GB2312"/>
          <w:b w:val="0"/>
          <w:sz w:val="32"/>
          <w:szCs w:val="32"/>
        </w:rPr>
        <w:t>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sectPr>
      <w:pgSz w:w="11906" w:h="16838"/>
      <w:pgMar w:top="2098" w:right="1417" w:bottom="1871" w:left="1417" w:header="851" w:footer="992" w:gutter="0"/>
      <w:pgBorders>
        <w:top w:val="none" w:sz="0" w:space="0"/>
        <w:left w:val="none" w:sz="0" w:space="0"/>
        <w:bottom w:val="none" w:sz="0" w:space="0"/>
        <w:right w:val="none" w:sz="0" w:space="0"/>
      </w:pgBorders>
      <w:cols w:space="0" w:num="1"/>
      <w:rtlGutter w:val="0"/>
      <w:docGrid w:type="lines" w:linePitch="32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E51D982-CA93-4157-B9C6-8D2EBB1CEA11}"/>
  </w:font>
  <w:font w:name="黑体">
    <w:panose1 w:val="02010609060101010101"/>
    <w:charset w:val="86"/>
    <w:family w:val="auto"/>
    <w:pitch w:val="default"/>
    <w:sig w:usb0="800002BF" w:usb1="38CF7CFA" w:usb2="00000016" w:usb3="00000000" w:csb0="00040001" w:csb1="00000000"/>
    <w:embedRegular r:id="rId2" w:fontKey="{4263ACA1-B7E5-4DAC-99D9-7A9BC440827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7FCDDA35-A9A6-4F3F-B45A-E9218A5C6451}"/>
  </w:font>
  <w:font w:name="仿宋">
    <w:panose1 w:val="02010609060101010101"/>
    <w:charset w:val="86"/>
    <w:family w:val="modern"/>
    <w:pitch w:val="default"/>
    <w:sig w:usb0="800002BF" w:usb1="38CF7CFA" w:usb2="00000016" w:usb3="00000000" w:csb0="00040001" w:csb1="00000000"/>
    <w:embedRegular r:id="rId4" w:fontKey="{1425CC80-4C09-4BE8-A3FA-E5059E379039}"/>
  </w:font>
  <w:font w:name="Calibri Light">
    <w:panose1 w:val="020F0302020204030204"/>
    <w:charset w:val="00"/>
    <w:family w:val="auto"/>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方正仿宋_GB2312">
    <w:panose1 w:val="02000000000000000000"/>
    <w:charset w:val="86"/>
    <w:family w:val="auto"/>
    <w:pitch w:val="default"/>
    <w:sig w:usb0="A00002BF" w:usb1="184F6CFA" w:usb2="00000012" w:usb3="00000000" w:csb0="00040001" w:csb1="00000000"/>
    <w:embedRegular r:id="rId5" w:fontKey="{66F4C6F7-546B-4977-B585-1EFD16436183}"/>
  </w:font>
  <w:font w:name="楷体_GB2312">
    <w:panose1 w:val="02010609030101010101"/>
    <w:charset w:val="86"/>
    <w:family w:val="auto"/>
    <w:pitch w:val="default"/>
    <w:sig w:usb0="00000001" w:usb1="080E0000" w:usb2="00000000" w:usb3="00000000" w:csb0="00040000" w:csb1="00000000"/>
    <w:embedRegular r:id="rId6" w:fontKey="{8728015B-44FD-4FA2-872B-ABA1D87445D2}"/>
  </w:font>
  <w:font w:name="微软雅黑">
    <w:panose1 w:val="020B0503020204020204"/>
    <w:charset w:val="86"/>
    <w:family w:val="auto"/>
    <w:pitch w:val="default"/>
    <w:sig w:usb0="80000287" w:usb1="2ACF3C50" w:usb2="00000016" w:usb3="00000000" w:csb0="0004001F" w:csb1="00000000"/>
    <w:embedRegular r:id="rId7" w:fontKey="{E34D0B93-28D7-46F3-9445-38C9677BB011}"/>
  </w:font>
  <w:font w:name="方正小标宋_GBK">
    <w:panose1 w:val="02000000000000000000"/>
    <w:charset w:val="86"/>
    <w:family w:val="script"/>
    <w:pitch w:val="default"/>
    <w:sig w:usb0="A00002BF" w:usb1="38CF7CFA" w:usb2="00082016" w:usb3="00000000" w:csb0="00040001" w:csb1="00000000"/>
    <w:embedRegular r:id="rId8" w:fontKey="{42BA27EE-1332-4DF5-A848-D898D6100D2B}"/>
  </w:font>
  <w:font w:name="仿宋_GB2312">
    <w:panose1 w:val="02010609030101010101"/>
    <w:charset w:val="86"/>
    <w:family w:val="auto"/>
    <w:pitch w:val="default"/>
    <w:sig w:usb0="00000001" w:usb1="080E0000" w:usb2="00000000" w:usb3="00000000" w:csb0="00040000" w:csb1="00000000"/>
    <w:embedRegular r:id="rId9" w:fontKey="{C212B60A-F127-4DFD-B295-105B44C2C269}"/>
  </w:font>
  <w:font w:name="ArialUnicodeMS">
    <w:altName w:val="Malgun Gothic"/>
    <w:panose1 w:val="00000000000000000000"/>
    <w:charset w:val="81"/>
    <w:family w:val="auto"/>
    <w:pitch w:val="default"/>
    <w:sig w:usb0="00000000" w:usb1="00000000" w:usb2="00000010" w:usb3="00000000" w:csb0="00080001" w:csb1="00000000"/>
    <w:embedRegular r:id="rId10" w:fontKey="{04862432-FB23-4850-BE89-B0ED393F107E}"/>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fldChar w:fldCharType="begin"/>
    </w:r>
    <w:r>
      <w:instrText xml:space="preserve">PAGE</w:instrText>
    </w:r>
    <w:r>
      <w:fldChar w:fldCharType="separate"/>
    </w:r>
    <w: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fldChar w:fldCharType="begin"/>
    </w:r>
    <w:r>
      <w:instrText xml:space="preserve">PAGE</w:instrText>
    </w:r>
    <w:r>
      <w:fldChar w:fldCharType="separate"/>
    </w:r>
    <w: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fldChar w:fldCharType="begin"/>
    </w:r>
    <w:r>
      <w:instrText xml:space="preserve">PAGE</w:instrText>
    </w:r>
    <w:r>
      <w:fldChar w:fldCharType="separate"/>
    </w:r>
    <w: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fldChar w:fldCharType="begin"/>
    </w:r>
    <w:r>
      <w:instrText xml:space="preserve">PAGE</w:instrText>
    </w:r>
    <w:r>
      <w:fldChar w:fldCharType="separate"/>
    </w:r>
    <w: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9D08B8"/>
    <w:multiLevelType w:val="singleLevel"/>
    <w:tmpl w:val="EA9D08B8"/>
    <w:lvl w:ilvl="0" w:tentative="0">
      <w:start w:val="1"/>
      <w:numFmt w:val="chineseCounting"/>
      <w:suff w:val="nothing"/>
      <w:lvlText w:val="（%1）"/>
      <w:lvlJc w:val="left"/>
      <w:rPr>
        <w:rFonts w:hint="eastAsia"/>
      </w:rPr>
    </w:lvl>
  </w:abstractNum>
  <w:abstractNum w:abstractNumId="1">
    <w:nsid w:val="5F16A424"/>
    <w:multiLevelType w:val="multilevel"/>
    <w:tmpl w:val="5F16A424"/>
    <w:lvl w:ilvl="0" w:tentative="0">
      <w:start w:val="1"/>
      <w:numFmt w:val="decimal"/>
      <w:pStyle w:val="2"/>
      <w:lvlText w:val="%1."/>
      <w:lvlJc w:val="left"/>
      <w:pPr>
        <w:ind w:left="425" w:hanging="425"/>
      </w:pPr>
      <w:rPr>
        <w:rFonts w:hint="default"/>
      </w:rPr>
    </w:lvl>
    <w:lvl w:ilvl="1" w:tentative="0">
      <w:start w:val="1"/>
      <w:numFmt w:val="decimal"/>
      <w:pStyle w:val="3"/>
      <w:lvlText w:val="%1.%2."/>
      <w:lvlJc w:val="left"/>
      <w:pPr>
        <w:ind w:left="567" w:hanging="567"/>
      </w:pPr>
      <w:rPr>
        <w:rFonts w:hint="default"/>
      </w:rPr>
    </w:lvl>
    <w:lvl w:ilvl="2" w:tentative="0">
      <w:start w:val="1"/>
      <w:numFmt w:val="decimal"/>
      <w:pStyle w:val="4"/>
      <w:lvlText w:val="%1.%2.%3."/>
      <w:lvlJc w:val="left"/>
      <w:pPr>
        <w:ind w:left="709" w:hanging="709"/>
      </w:pPr>
      <w:rPr>
        <w:rFonts w:hint="default"/>
      </w:rPr>
    </w:lvl>
    <w:lvl w:ilvl="3" w:tentative="0">
      <w:start w:val="1"/>
      <w:numFmt w:val="decimal"/>
      <w:pStyle w:val="5"/>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oNotDisplayPageBoundaries w:val="1"/>
  <w:displayBackgroundShape w:val="1"/>
  <w:embedTrueTypeFonts/>
  <w:saveSubsetFonts/>
  <w:bordersDoNotSurroundHeader w:val="0"/>
  <w:bordersDoNotSurroundFooter w:val="0"/>
  <w:documentProtection w:enforcement="0"/>
  <w:defaultTabStop w:val="420"/>
  <w:drawingGridVerticalSpacing w:val="16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jb3VudCI6NzEsImhkaWQiOiJhYmY1MDFhMDQ1OWVlNTQ5Zjk1ZjQxY2UzMGM0ZTY5NiIsInVzZXJDb3VudCI6Mn0="/>
  </w:docVars>
  <w:rsids>
    <w:rsidRoot w:val="00172A27"/>
    <w:rsid w:val="00086151"/>
    <w:rsid w:val="00236F8C"/>
    <w:rsid w:val="00822154"/>
    <w:rsid w:val="00C65689"/>
    <w:rsid w:val="00CC2C8E"/>
    <w:rsid w:val="0179546C"/>
    <w:rsid w:val="01A03C5A"/>
    <w:rsid w:val="01A5267D"/>
    <w:rsid w:val="01AE3368"/>
    <w:rsid w:val="01AF6A8D"/>
    <w:rsid w:val="024808A2"/>
    <w:rsid w:val="025C3821"/>
    <w:rsid w:val="02DA3B1B"/>
    <w:rsid w:val="02E57B4D"/>
    <w:rsid w:val="03450B90"/>
    <w:rsid w:val="037B12D4"/>
    <w:rsid w:val="03804D63"/>
    <w:rsid w:val="03F5128D"/>
    <w:rsid w:val="03FB73B0"/>
    <w:rsid w:val="04642795"/>
    <w:rsid w:val="04806B11"/>
    <w:rsid w:val="049C1B9D"/>
    <w:rsid w:val="04BD008C"/>
    <w:rsid w:val="04C55939"/>
    <w:rsid w:val="04DA28BB"/>
    <w:rsid w:val="04F528BE"/>
    <w:rsid w:val="050E10CE"/>
    <w:rsid w:val="054F2DFB"/>
    <w:rsid w:val="05991C82"/>
    <w:rsid w:val="05CD1EC8"/>
    <w:rsid w:val="05E57574"/>
    <w:rsid w:val="061416A9"/>
    <w:rsid w:val="061D60A6"/>
    <w:rsid w:val="06236884"/>
    <w:rsid w:val="06B07006"/>
    <w:rsid w:val="06FC7C2A"/>
    <w:rsid w:val="070B57B7"/>
    <w:rsid w:val="07533AFE"/>
    <w:rsid w:val="07AC18F2"/>
    <w:rsid w:val="07B3657A"/>
    <w:rsid w:val="07C857D0"/>
    <w:rsid w:val="081163FE"/>
    <w:rsid w:val="083F3A0A"/>
    <w:rsid w:val="08AB5AAF"/>
    <w:rsid w:val="08C65EBD"/>
    <w:rsid w:val="08D24C32"/>
    <w:rsid w:val="09012C64"/>
    <w:rsid w:val="093B2E99"/>
    <w:rsid w:val="095D7943"/>
    <w:rsid w:val="09C006C6"/>
    <w:rsid w:val="0A10621F"/>
    <w:rsid w:val="0A464C4F"/>
    <w:rsid w:val="0A6729A3"/>
    <w:rsid w:val="0A694877"/>
    <w:rsid w:val="0AA954BE"/>
    <w:rsid w:val="0AE70639"/>
    <w:rsid w:val="0AEC32FF"/>
    <w:rsid w:val="0B4F5E6D"/>
    <w:rsid w:val="0B52270F"/>
    <w:rsid w:val="0B753AE2"/>
    <w:rsid w:val="0BB67D0A"/>
    <w:rsid w:val="0BC56230"/>
    <w:rsid w:val="0BCF21BD"/>
    <w:rsid w:val="0C481041"/>
    <w:rsid w:val="0C4E53E8"/>
    <w:rsid w:val="0C6712D6"/>
    <w:rsid w:val="0C7F7845"/>
    <w:rsid w:val="0C9F7900"/>
    <w:rsid w:val="0CB20B1A"/>
    <w:rsid w:val="0CB23317"/>
    <w:rsid w:val="0D101068"/>
    <w:rsid w:val="0D4E13BE"/>
    <w:rsid w:val="0D7557DF"/>
    <w:rsid w:val="0D853E34"/>
    <w:rsid w:val="0D9C2A57"/>
    <w:rsid w:val="0DC3019B"/>
    <w:rsid w:val="0DE47D04"/>
    <w:rsid w:val="0DFA5D82"/>
    <w:rsid w:val="0E1E52CE"/>
    <w:rsid w:val="0E866524"/>
    <w:rsid w:val="0E9268D3"/>
    <w:rsid w:val="0E957F1F"/>
    <w:rsid w:val="0F0E7284"/>
    <w:rsid w:val="0F28110F"/>
    <w:rsid w:val="0F37083F"/>
    <w:rsid w:val="0F4351D1"/>
    <w:rsid w:val="0F7470AF"/>
    <w:rsid w:val="0F8751F8"/>
    <w:rsid w:val="0F891DB8"/>
    <w:rsid w:val="0F8D3287"/>
    <w:rsid w:val="0FAA3B86"/>
    <w:rsid w:val="10191346"/>
    <w:rsid w:val="102A01A6"/>
    <w:rsid w:val="105A290D"/>
    <w:rsid w:val="10754A6C"/>
    <w:rsid w:val="108B537D"/>
    <w:rsid w:val="10B11DB1"/>
    <w:rsid w:val="11177F57"/>
    <w:rsid w:val="11217C97"/>
    <w:rsid w:val="113076C2"/>
    <w:rsid w:val="11365128"/>
    <w:rsid w:val="11464C20"/>
    <w:rsid w:val="115E4926"/>
    <w:rsid w:val="118A1FFA"/>
    <w:rsid w:val="11E35B5A"/>
    <w:rsid w:val="11E42DD6"/>
    <w:rsid w:val="125F5A1B"/>
    <w:rsid w:val="126979D6"/>
    <w:rsid w:val="129E45A7"/>
    <w:rsid w:val="13074404"/>
    <w:rsid w:val="136A5C00"/>
    <w:rsid w:val="13B97B08"/>
    <w:rsid w:val="13C527AC"/>
    <w:rsid w:val="14711797"/>
    <w:rsid w:val="147B6F17"/>
    <w:rsid w:val="14D42061"/>
    <w:rsid w:val="15081C8B"/>
    <w:rsid w:val="15090D5C"/>
    <w:rsid w:val="15CC19E2"/>
    <w:rsid w:val="15CF053D"/>
    <w:rsid w:val="15E0131A"/>
    <w:rsid w:val="15E11DC0"/>
    <w:rsid w:val="16457D9F"/>
    <w:rsid w:val="17223EFF"/>
    <w:rsid w:val="17AA5F28"/>
    <w:rsid w:val="17B713F6"/>
    <w:rsid w:val="184350A0"/>
    <w:rsid w:val="18935485"/>
    <w:rsid w:val="18A34206"/>
    <w:rsid w:val="18DE3B2C"/>
    <w:rsid w:val="18EF453A"/>
    <w:rsid w:val="1906685D"/>
    <w:rsid w:val="19111683"/>
    <w:rsid w:val="19353916"/>
    <w:rsid w:val="193E101D"/>
    <w:rsid w:val="19C10AF1"/>
    <w:rsid w:val="1A017CDA"/>
    <w:rsid w:val="1A2672DE"/>
    <w:rsid w:val="1AA81D42"/>
    <w:rsid w:val="1AB433D9"/>
    <w:rsid w:val="1AEE2FA0"/>
    <w:rsid w:val="1AFB6D70"/>
    <w:rsid w:val="1B1B11EE"/>
    <w:rsid w:val="1B3719E0"/>
    <w:rsid w:val="1B6261C3"/>
    <w:rsid w:val="1B731730"/>
    <w:rsid w:val="1B882BB5"/>
    <w:rsid w:val="1B9B33C7"/>
    <w:rsid w:val="1B9D7FEC"/>
    <w:rsid w:val="1BA55461"/>
    <w:rsid w:val="1BE74496"/>
    <w:rsid w:val="1BFB1448"/>
    <w:rsid w:val="1C3D67D1"/>
    <w:rsid w:val="1C40731A"/>
    <w:rsid w:val="1C506572"/>
    <w:rsid w:val="1C560392"/>
    <w:rsid w:val="1C581532"/>
    <w:rsid w:val="1C9F2E05"/>
    <w:rsid w:val="1CA15E03"/>
    <w:rsid w:val="1CA24F0C"/>
    <w:rsid w:val="1CF8716C"/>
    <w:rsid w:val="1D1638FE"/>
    <w:rsid w:val="1D1E545A"/>
    <w:rsid w:val="1D4B1F5B"/>
    <w:rsid w:val="1D6C5CA0"/>
    <w:rsid w:val="1D725586"/>
    <w:rsid w:val="1D745B4F"/>
    <w:rsid w:val="1D867987"/>
    <w:rsid w:val="1D944010"/>
    <w:rsid w:val="1DD70E85"/>
    <w:rsid w:val="1DE74AD7"/>
    <w:rsid w:val="1DF60A19"/>
    <w:rsid w:val="1DFA6713"/>
    <w:rsid w:val="1E050843"/>
    <w:rsid w:val="1E2D3FB0"/>
    <w:rsid w:val="1E2E50F1"/>
    <w:rsid w:val="1E3B4E26"/>
    <w:rsid w:val="1ED22D79"/>
    <w:rsid w:val="1EDF707D"/>
    <w:rsid w:val="1F394761"/>
    <w:rsid w:val="1F65664C"/>
    <w:rsid w:val="1F7C149A"/>
    <w:rsid w:val="1F84140D"/>
    <w:rsid w:val="1F9B7FFD"/>
    <w:rsid w:val="1F9C7614"/>
    <w:rsid w:val="1FBE1971"/>
    <w:rsid w:val="2008768D"/>
    <w:rsid w:val="204B327F"/>
    <w:rsid w:val="204C2B10"/>
    <w:rsid w:val="207D30AD"/>
    <w:rsid w:val="209064B9"/>
    <w:rsid w:val="20970D81"/>
    <w:rsid w:val="20D165D5"/>
    <w:rsid w:val="210878E6"/>
    <w:rsid w:val="210E1408"/>
    <w:rsid w:val="211069AD"/>
    <w:rsid w:val="21573FAB"/>
    <w:rsid w:val="2172069C"/>
    <w:rsid w:val="21834E87"/>
    <w:rsid w:val="21987BC4"/>
    <w:rsid w:val="21BE314A"/>
    <w:rsid w:val="220451AB"/>
    <w:rsid w:val="2237486E"/>
    <w:rsid w:val="223D1378"/>
    <w:rsid w:val="22451BC7"/>
    <w:rsid w:val="22940650"/>
    <w:rsid w:val="22AD4B1E"/>
    <w:rsid w:val="22C43743"/>
    <w:rsid w:val="22D31DF3"/>
    <w:rsid w:val="22FD3CF7"/>
    <w:rsid w:val="232C221B"/>
    <w:rsid w:val="2356249E"/>
    <w:rsid w:val="236E713A"/>
    <w:rsid w:val="23700968"/>
    <w:rsid w:val="238761A6"/>
    <w:rsid w:val="23920578"/>
    <w:rsid w:val="23BB6F9A"/>
    <w:rsid w:val="23FC3864"/>
    <w:rsid w:val="24857B00"/>
    <w:rsid w:val="24F25212"/>
    <w:rsid w:val="25087C0C"/>
    <w:rsid w:val="251B0465"/>
    <w:rsid w:val="254B0AC6"/>
    <w:rsid w:val="25571AB6"/>
    <w:rsid w:val="2561056D"/>
    <w:rsid w:val="2577160A"/>
    <w:rsid w:val="259C5A45"/>
    <w:rsid w:val="25B40AD6"/>
    <w:rsid w:val="25BE7872"/>
    <w:rsid w:val="25BF702A"/>
    <w:rsid w:val="26390459"/>
    <w:rsid w:val="264D2D17"/>
    <w:rsid w:val="26661BB3"/>
    <w:rsid w:val="26773DC1"/>
    <w:rsid w:val="26D50E55"/>
    <w:rsid w:val="271A539C"/>
    <w:rsid w:val="273823FA"/>
    <w:rsid w:val="274972D4"/>
    <w:rsid w:val="27AA3D97"/>
    <w:rsid w:val="280A3758"/>
    <w:rsid w:val="28292E99"/>
    <w:rsid w:val="284E28FF"/>
    <w:rsid w:val="289057C5"/>
    <w:rsid w:val="28A67C7A"/>
    <w:rsid w:val="28EA3248"/>
    <w:rsid w:val="28F72F97"/>
    <w:rsid w:val="28F879DA"/>
    <w:rsid w:val="294B7731"/>
    <w:rsid w:val="29514455"/>
    <w:rsid w:val="29D21FF2"/>
    <w:rsid w:val="2A611B0F"/>
    <w:rsid w:val="2AC1762B"/>
    <w:rsid w:val="2AE845D0"/>
    <w:rsid w:val="2B4975FB"/>
    <w:rsid w:val="2B695031"/>
    <w:rsid w:val="2B735A8F"/>
    <w:rsid w:val="2BA7478D"/>
    <w:rsid w:val="2BB038DB"/>
    <w:rsid w:val="2BB761E0"/>
    <w:rsid w:val="2BB812F9"/>
    <w:rsid w:val="2BE35C27"/>
    <w:rsid w:val="2BFA504B"/>
    <w:rsid w:val="2C681F1F"/>
    <w:rsid w:val="2C8608DC"/>
    <w:rsid w:val="2CA4764A"/>
    <w:rsid w:val="2CC42ECA"/>
    <w:rsid w:val="2CCC7A22"/>
    <w:rsid w:val="2CDA4349"/>
    <w:rsid w:val="2D225539"/>
    <w:rsid w:val="2D4618D2"/>
    <w:rsid w:val="2D5F021B"/>
    <w:rsid w:val="2D6E1286"/>
    <w:rsid w:val="2D70583E"/>
    <w:rsid w:val="2DA07759"/>
    <w:rsid w:val="2E0725DC"/>
    <w:rsid w:val="2E1B4BB8"/>
    <w:rsid w:val="2E256CB6"/>
    <w:rsid w:val="2E5F27E4"/>
    <w:rsid w:val="2EBD223E"/>
    <w:rsid w:val="2EC10AD1"/>
    <w:rsid w:val="2ECB6A5A"/>
    <w:rsid w:val="2EE65418"/>
    <w:rsid w:val="2EFC0112"/>
    <w:rsid w:val="2F0F45A5"/>
    <w:rsid w:val="2F0F6197"/>
    <w:rsid w:val="2F2B730D"/>
    <w:rsid w:val="2F6A001E"/>
    <w:rsid w:val="2F9F3DC1"/>
    <w:rsid w:val="2FFC7AC2"/>
    <w:rsid w:val="301430AF"/>
    <w:rsid w:val="30630612"/>
    <w:rsid w:val="308E59B0"/>
    <w:rsid w:val="30B10568"/>
    <w:rsid w:val="30E070F0"/>
    <w:rsid w:val="30E55DD3"/>
    <w:rsid w:val="30E60399"/>
    <w:rsid w:val="31356AA5"/>
    <w:rsid w:val="313E22F0"/>
    <w:rsid w:val="31B0194C"/>
    <w:rsid w:val="31CE17D1"/>
    <w:rsid w:val="31FD161E"/>
    <w:rsid w:val="32270449"/>
    <w:rsid w:val="323E4515"/>
    <w:rsid w:val="326A4E14"/>
    <w:rsid w:val="3286389B"/>
    <w:rsid w:val="32994FDB"/>
    <w:rsid w:val="32CF5C94"/>
    <w:rsid w:val="32D337C7"/>
    <w:rsid w:val="32E200EC"/>
    <w:rsid w:val="32E5408B"/>
    <w:rsid w:val="32EB0D70"/>
    <w:rsid w:val="330E785B"/>
    <w:rsid w:val="332824BC"/>
    <w:rsid w:val="332868BB"/>
    <w:rsid w:val="333211F3"/>
    <w:rsid w:val="33504B41"/>
    <w:rsid w:val="338B4A07"/>
    <w:rsid w:val="33944811"/>
    <w:rsid w:val="33BE79A7"/>
    <w:rsid w:val="33CE0488"/>
    <w:rsid w:val="341D31EE"/>
    <w:rsid w:val="34262463"/>
    <w:rsid w:val="34296F31"/>
    <w:rsid w:val="34340A27"/>
    <w:rsid w:val="346A2989"/>
    <w:rsid w:val="348865E9"/>
    <w:rsid w:val="348F70D5"/>
    <w:rsid w:val="349D2BAD"/>
    <w:rsid w:val="34B25886"/>
    <w:rsid w:val="34E538E1"/>
    <w:rsid w:val="35277FF8"/>
    <w:rsid w:val="35763460"/>
    <w:rsid w:val="35776F72"/>
    <w:rsid w:val="35997371"/>
    <w:rsid w:val="35BC359E"/>
    <w:rsid w:val="35DA3A24"/>
    <w:rsid w:val="35DD4D47"/>
    <w:rsid w:val="360134DF"/>
    <w:rsid w:val="360B1E2F"/>
    <w:rsid w:val="360D500F"/>
    <w:rsid w:val="36330424"/>
    <w:rsid w:val="36FE3ABA"/>
    <w:rsid w:val="37072BDE"/>
    <w:rsid w:val="37455334"/>
    <w:rsid w:val="37527C32"/>
    <w:rsid w:val="37731921"/>
    <w:rsid w:val="37E509C0"/>
    <w:rsid w:val="37E96FB8"/>
    <w:rsid w:val="38222D85"/>
    <w:rsid w:val="38767A34"/>
    <w:rsid w:val="38803721"/>
    <w:rsid w:val="38925A62"/>
    <w:rsid w:val="389F5F4F"/>
    <w:rsid w:val="38C36BA2"/>
    <w:rsid w:val="38D34E55"/>
    <w:rsid w:val="38E11CEF"/>
    <w:rsid w:val="38F6595C"/>
    <w:rsid w:val="391702A7"/>
    <w:rsid w:val="39286EB6"/>
    <w:rsid w:val="39601DF4"/>
    <w:rsid w:val="396960F3"/>
    <w:rsid w:val="39840D35"/>
    <w:rsid w:val="39A97DAF"/>
    <w:rsid w:val="39BF365D"/>
    <w:rsid w:val="39CD1330"/>
    <w:rsid w:val="39DD1AFF"/>
    <w:rsid w:val="3A2510B9"/>
    <w:rsid w:val="3A2B0CF2"/>
    <w:rsid w:val="3A2B1DFC"/>
    <w:rsid w:val="3AA6422C"/>
    <w:rsid w:val="3AAF46D5"/>
    <w:rsid w:val="3AF562AE"/>
    <w:rsid w:val="3B135A0E"/>
    <w:rsid w:val="3B183213"/>
    <w:rsid w:val="3B272BBC"/>
    <w:rsid w:val="3B374FEE"/>
    <w:rsid w:val="3B4410EE"/>
    <w:rsid w:val="3B46744C"/>
    <w:rsid w:val="3B56159C"/>
    <w:rsid w:val="3B596DF7"/>
    <w:rsid w:val="3B7D732B"/>
    <w:rsid w:val="3BD30423"/>
    <w:rsid w:val="3C14299D"/>
    <w:rsid w:val="3C6C0B58"/>
    <w:rsid w:val="3C945583"/>
    <w:rsid w:val="3CBE41D5"/>
    <w:rsid w:val="3D446B0E"/>
    <w:rsid w:val="3D745844"/>
    <w:rsid w:val="3D8626D0"/>
    <w:rsid w:val="3D8C1AA8"/>
    <w:rsid w:val="3D953A6B"/>
    <w:rsid w:val="3DBB5979"/>
    <w:rsid w:val="3DD56F21"/>
    <w:rsid w:val="3DEF6699"/>
    <w:rsid w:val="3E1057AF"/>
    <w:rsid w:val="3E6C0DFA"/>
    <w:rsid w:val="3E740322"/>
    <w:rsid w:val="3E7F4380"/>
    <w:rsid w:val="3E8D171B"/>
    <w:rsid w:val="3EA5630D"/>
    <w:rsid w:val="3EBA731B"/>
    <w:rsid w:val="3EE33949"/>
    <w:rsid w:val="3EFB5800"/>
    <w:rsid w:val="3F3B4E59"/>
    <w:rsid w:val="3F6E677C"/>
    <w:rsid w:val="3F712F46"/>
    <w:rsid w:val="3FBC0EF7"/>
    <w:rsid w:val="3FCD2AB9"/>
    <w:rsid w:val="3FCD4B44"/>
    <w:rsid w:val="3FD17600"/>
    <w:rsid w:val="3FFF0C57"/>
    <w:rsid w:val="402E7C36"/>
    <w:rsid w:val="4050218A"/>
    <w:rsid w:val="405C7868"/>
    <w:rsid w:val="406B3BF6"/>
    <w:rsid w:val="408B24EB"/>
    <w:rsid w:val="408D1DBF"/>
    <w:rsid w:val="40C652D1"/>
    <w:rsid w:val="40F40090"/>
    <w:rsid w:val="417044B8"/>
    <w:rsid w:val="41A203A0"/>
    <w:rsid w:val="41A25D3E"/>
    <w:rsid w:val="41C77987"/>
    <w:rsid w:val="41E83F8C"/>
    <w:rsid w:val="421C17EA"/>
    <w:rsid w:val="422D1842"/>
    <w:rsid w:val="425B7C31"/>
    <w:rsid w:val="427D66D0"/>
    <w:rsid w:val="42BC7E02"/>
    <w:rsid w:val="42C82575"/>
    <w:rsid w:val="43022EE1"/>
    <w:rsid w:val="431A5F8F"/>
    <w:rsid w:val="431F247A"/>
    <w:rsid w:val="43335E8F"/>
    <w:rsid w:val="433F2968"/>
    <w:rsid w:val="43655F7F"/>
    <w:rsid w:val="43676E20"/>
    <w:rsid w:val="43A31040"/>
    <w:rsid w:val="43BF774E"/>
    <w:rsid w:val="43CD062F"/>
    <w:rsid w:val="43E214F9"/>
    <w:rsid w:val="43F06264"/>
    <w:rsid w:val="44223AB6"/>
    <w:rsid w:val="44404C8E"/>
    <w:rsid w:val="447537F1"/>
    <w:rsid w:val="44870D07"/>
    <w:rsid w:val="44D33826"/>
    <w:rsid w:val="45344EFF"/>
    <w:rsid w:val="453950E7"/>
    <w:rsid w:val="45513D03"/>
    <w:rsid w:val="45541E1C"/>
    <w:rsid w:val="45FE7734"/>
    <w:rsid w:val="461F0A8B"/>
    <w:rsid w:val="4648721E"/>
    <w:rsid w:val="46663E71"/>
    <w:rsid w:val="466A37AC"/>
    <w:rsid w:val="468A1A00"/>
    <w:rsid w:val="46CB071B"/>
    <w:rsid w:val="46DE140B"/>
    <w:rsid w:val="46E77334"/>
    <w:rsid w:val="46F22E29"/>
    <w:rsid w:val="46F7142F"/>
    <w:rsid w:val="47107AE3"/>
    <w:rsid w:val="473C62ED"/>
    <w:rsid w:val="47617242"/>
    <w:rsid w:val="478C16C9"/>
    <w:rsid w:val="47BD246B"/>
    <w:rsid w:val="47CB2B0C"/>
    <w:rsid w:val="47E773CE"/>
    <w:rsid w:val="47EE2C9A"/>
    <w:rsid w:val="47F00499"/>
    <w:rsid w:val="48015FF5"/>
    <w:rsid w:val="482A4397"/>
    <w:rsid w:val="483820D2"/>
    <w:rsid w:val="48692CD0"/>
    <w:rsid w:val="48AE3D01"/>
    <w:rsid w:val="48B96318"/>
    <w:rsid w:val="49067B2F"/>
    <w:rsid w:val="49100B80"/>
    <w:rsid w:val="49677E31"/>
    <w:rsid w:val="496C2225"/>
    <w:rsid w:val="49A35E02"/>
    <w:rsid w:val="49AE2880"/>
    <w:rsid w:val="49F42EAF"/>
    <w:rsid w:val="4A337323"/>
    <w:rsid w:val="4A5B28DC"/>
    <w:rsid w:val="4AA06B93"/>
    <w:rsid w:val="4ADB18EB"/>
    <w:rsid w:val="4B3A6FE7"/>
    <w:rsid w:val="4B96118E"/>
    <w:rsid w:val="4BAE1B66"/>
    <w:rsid w:val="4BBF6159"/>
    <w:rsid w:val="4BC806E6"/>
    <w:rsid w:val="4BED4708"/>
    <w:rsid w:val="4BF133DC"/>
    <w:rsid w:val="4C1A4AD9"/>
    <w:rsid w:val="4C2E4987"/>
    <w:rsid w:val="4C4117A4"/>
    <w:rsid w:val="4C507D4A"/>
    <w:rsid w:val="4CD60F91"/>
    <w:rsid w:val="4CDF5563"/>
    <w:rsid w:val="4CFB2214"/>
    <w:rsid w:val="4D2C4D26"/>
    <w:rsid w:val="4D335E0E"/>
    <w:rsid w:val="4D4759EB"/>
    <w:rsid w:val="4D4E4EA3"/>
    <w:rsid w:val="4D9A5B1B"/>
    <w:rsid w:val="4DA55D85"/>
    <w:rsid w:val="4DBB20DB"/>
    <w:rsid w:val="4DDC3F22"/>
    <w:rsid w:val="4DE66FB2"/>
    <w:rsid w:val="4DEC6CB8"/>
    <w:rsid w:val="4E1040C7"/>
    <w:rsid w:val="4E1760BF"/>
    <w:rsid w:val="4E30647F"/>
    <w:rsid w:val="4E353A96"/>
    <w:rsid w:val="4E5D2C75"/>
    <w:rsid w:val="4EBA03C3"/>
    <w:rsid w:val="4EBC5459"/>
    <w:rsid w:val="4ED94CB0"/>
    <w:rsid w:val="4EEC2ED3"/>
    <w:rsid w:val="4F0E56EA"/>
    <w:rsid w:val="4F2E11BC"/>
    <w:rsid w:val="4F3C4343"/>
    <w:rsid w:val="4F416688"/>
    <w:rsid w:val="4F5620B0"/>
    <w:rsid w:val="4F616EB4"/>
    <w:rsid w:val="4F6654EE"/>
    <w:rsid w:val="4F7379C6"/>
    <w:rsid w:val="4F872BDB"/>
    <w:rsid w:val="4FA033E9"/>
    <w:rsid w:val="4FA743DA"/>
    <w:rsid w:val="4FB3565A"/>
    <w:rsid w:val="4FC4714D"/>
    <w:rsid w:val="4FD571A2"/>
    <w:rsid w:val="503D1C79"/>
    <w:rsid w:val="507A6406"/>
    <w:rsid w:val="50853863"/>
    <w:rsid w:val="508A4590"/>
    <w:rsid w:val="50F1461D"/>
    <w:rsid w:val="50FE5411"/>
    <w:rsid w:val="510B072E"/>
    <w:rsid w:val="511B0BF4"/>
    <w:rsid w:val="51264306"/>
    <w:rsid w:val="514E62C9"/>
    <w:rsid w:val="516123CE"/>
    <w:rsid w:val="51932FAD"/>
    <w:rsid w:val="51B177A9"/>
    <w:rsid w:val="51E066EB"/>
    <w:rsid w:val="52640E8B"/>
    <w:rsid w:val="5267570A"/>
    <w:rsid w:val="52707792"/>
    <w:rsid w:val="52734B8D"/>
    <w:rsid w:val="528D02F2"/>
    <w:rsid w:val="529E66FB"/>
    <w:rsid w:val="52A12CDC"/>
    <w:rsid w:val="52DF0C92"/>
    <w:rsid w:val="52E1159C"/>
    <w:rsid w:val="52E34D6A"/>
    <w:rsid w:val="530C1269"/>
    <w:rsid w:val="531E524E"/>
    <w:rsid w:val="534072EB"/>
    <w:rsid w:val="537648BE"/>
    <w:rsid w:val="538E2D0B"/>
    <w:rsid w:val="53922782"/>
    <w:rsid w:val="539C1424"/>
    <w:rsid w:val="53A639C0"/>
    <w:rsid w:val="53F00A24"/>
    <w:rsid w:val="53F63DBA"/>
    <w:rsid w:val="53FF492A"/>
    <w:rsid w:val="54261D4F"/>
    <w:rsid w:val="5448624E"/>
    <w:rsid w:val="54492049"/>
    <w:rsid w:val="546E2B1A"/>
    <w:rsid w:val="5482555F"/>
    <w:rsid w:val="54A31DD8"/>
    <w:rsid w:val="54AA6F8B"/>
    <w:rsid w:val="54D26583"/>
    <w:rsid w:val="55363E67"/>
    <w:rsid w:val="556E6DF7"/>
    <w:rsid w:val="55965CE3"/>
    <w:rsid w:val="559D47CE"/>
    <w:rsid w:val="55BE1959"/>
    <w:rsid w:val="56232437"/>
    <w:rsid w:val="56541A75"/>
    <w:rsid w:val="56755377"/>
    <w:rsid w:val="568832FC"/>
    <w:rsid w:val="568C4181"/>
    <w:rsid w:val="5700634F"/>
    <w:rsid w:val="570725A9"/>
    <w:rsid w:val="5714693E"/>
    <w:rsid w:val="571D0C9C"/>
    <w:rsid w:val="573A16CE"/>
    <w:rsid w:val="57482A8C"/>
    <w:rsid w:val="578D049F"/>
    <w:rsid w:val="579C7F80"/>
    <w:rsid w:val="57B30D7C"/>
    <w:rsid w:val="58166B03"/>
    <w:rsid w:val="583E3C94"/>
    <w:rsid w:val="58721734"/>
    <w:rsid w:val="58900246"/>
    <w:rsid w:val="58977358"/>
    <w:rsid w:val="58CB5DC0"/>
    <w:rsid w:val="58D53944"/>
    <w:rsid w:val="58D65478"/>
    <w:rsid w:val="58F52487"/>
    <w:rsid w:val="58F9403E"/>
    <w:rsid w:val="590422E6"/>
    <w:rsid w:val="592257E5"/>
    <w:rsid w:val="59635CB4"/>
    <w:rsid w:val="59655E33"/>
    <w:rsid w:val="5970233D"/>
    <w:rsid w:val="59CF5BD9"/>
    <w:rsid w:val="59E20C3C"/>
    <w:rsid w:val="59E3512D"/>
    <w:rsid w:val="5A001BC6"/>
    <w:rsid w:val="5A1D5B0A"/>
    <w:rsid w:val="5A2447F3"/>
    <w:rsid w:val="5A3B4B4E"/>
    <w:rsid w:val="5A4804CA"/>
    <w:rsid w:val="5A594C85"/>
    <w:rsid w:val="5A8842AA"/>
    <w:rsid w:val="5AEB1E3C"/>
    <w:rsid w:val="5B2507CA"/>
    <w:rsid w:val="5B2A474A"/>
    <w:rsid w:val="5B2D237E"/>
    <w:rsid w:val="5B612747"/>
    <w:rsid w:val="5B830730"/>
    <w:rsid w:val="5BBB2DD6"/>
    <w:rsid w:val="5BD6009C"/>
    <w:rsid w:val="5BE263B6"/>
    <w:rsid w:val="5C8E5C5A"/>
    <w:rsid w:val="5C965E61"/>
    <w:rsid w:val="5CD839BA"/>
    <w:rsid w:val="5CF0089C"/>
    <w:rsid w:val="5CF5796F"/>
    <w:rsid w:val="5D242A11"/>
    <w:rsid w:val="5D9217C2"/>
    <w:rsid w:val="5DAD06BF"/>
    <w:rsid w:val="5DC92CE9"/>
    <w:rsid w:val="5DE23CB3"/>
    <w:rsid w:val="5DE97EEC"/>
    <w:rsid w:val="5DFA5EB0"/>
    <w:rsid w:val="5E000E4D"/>
    <w:rsid w:val="5E0B583E"/>
    <w:rsid w:val="5E201A7B"/>
    <w:rsid w:val="5EA45884"/>
    <w:rsid w:val="5EBD0484"/>
    <w:rsid w:val="5F2C5C7C"/>
    <w:rsid w:val="5F36141C"/>
    <w:rsid w:val="5FC5273F"/>
    <w:rsid w:val="5FD64459"/>
    <w:rsid w:val="5FE33352"/>
    <w:rsid w:val="604F6C39"/>
    <w:rsid w:val="60806DF2"/>
    <w:rsid w:val="61072DA5"/>
    <w:rsid w:val="611C0817"/>
    <w:rsid w:val="61224A52"/>
    <w:rsid w:val="61300818"/>
    <w:rsid w:val="61520CCB"/>
    <w:rsid w:val="61851A29"/>
    <w:rsid w:val="61DF7484"/>
    <w:rsid w:val="622D1522"/>
    <w:rsid w:val="622E0574"/>
    <w:rsid w:val="62683B6B"/>
    <w:rsid w:val="6275761C"/>
    <w:rsid w:val="62816E52"/>
    <w:rsid w:val="62AB7BE6"/>
    <w:rsid w:val="62AC5944"/>
    <w:rsid w:val="632F3F8A"/>
    <w:rsid w:val="63332842"/>
    <w:rsid w:val="63716241"/>
    <w:rsid w:val="637279B4"/>
    <w:rsid w:val="63817D2B"/>
    <w:rsid w:val="63BD1FA9"/>
    <w:rsid w:val="63D175D1"/>
    <w:rsid w:val="63D27965"/>
    <w:rsid w:val="63F4667E"/>
    <w:rsid w:val="64095516"/>
    <w:rsid w:val="641A2468"/>
    <w:rsid w:val="64372F20"/>
    <w:rsid w:val="648944D0"/>
    <w:rsid w:val="64DC72D7"/>
    <w:rsid w:val="64FA42B4"/>
    <w:rsid w:val="653619A6"/>
    <w:rsid w:val="65610A02"/>
    <w:rsid w:val="658C0E37"/>
    <w:rsid w:val="65A11EA3"/>
    <w:rsid w:val="65AC3D66"/>
    <w:rsid w:val="65BB5334"/>
    <w:rsid w:val="663E1DBA"/>
    <w:rsid w:val="665D0213"/>
    <w:rsid w:val="668506C7"/>
    <w:rsid w:val="669E59F1"/>
    <w:rsid w:val="66A2024B"/>
    <w:rsid w:val="66CB5E2D"/>
    <w:rsid w:val="6704732B"/>
    <w:rsid w:val="670F6731"/>
    <w:rsid w:val="67585CB0"/>
    <w:rsid w:val="67770F0C"/>
    <w:rsid w:val="679E649A"/>
    <w:rsid w:val="67B03535"/>
    <w:rsid w:val="68174F69"/>
    <w:rsid w:val="682C436A"/>
    <w:rsid w:val="68382778"/>
    <w:rsid w:val="68391F41"/>
    <w:rsid w:val="68436B8C"/>
    <w:rsid w:val="68797358"/>
    <w:rsid w:val="6884624F"/>
    <w:rsid w:val="68A519DF"/>
    <w:rsid w:val="68BF2482"/>
    <w:rsid w:val="68C4160B"/>
    <w:rsid w:val="68C41C30"/>
    <w:rsid w:val="68CF3BA4"/>
    <w:rsid w:val="69257FA7"/>
    <w:rsid w:val="693F26C7"/>
    <w:rsid w:val="697E12B2"/>
    <w:rsid w:val="69C8706D"/>
    <w:rsid w:val="6A0E3FB4"/>
    <w:rsid w:val="6A292754"/>
    <w:rsid w:val="6A5E3B28"/>
    <w:rsid w:val="6A6B1EBE"/>
    <w:rsid w:val="6A8F43F7"/>
    <w:rsid w:val="6AD625F3"/>
    <w:rsid w:val="6B5B46E4"/>
    <w:rsid w:val="6B7218BE"/>
    <w:rsid w:val="6B750BA9"/>
    <w:rsid w:val="6BB93285"/>
    <w:rsid w:val="6C0C698C"/>
    <w:rsid w:val="6C222401"/>
    <w:rsid w:val="6C56267F"/>
    <w:rsid w:val="6C826EF9"/>
    <w:rsid w:val="6CAE4C93"/>
    <w:rsid w:val="6CB14F16"/>
    <w:rsid w:val="6CEC2069"/>
    <w:rsid w:val="6D0B1869"/>
    <w:rsid w:val="6D65402D"/>
    <w:rsid w:val="6D683822"/>
    <w:rsid w:val="6D8D136C"/>
    <w:rsid w:val="6DBF2759"/>
    <w:rsid w:val="6DC96F36"/>
    <w:rsid w:val="6DED00D0"/>
    <w:rsid w:val="6DFA3EBF"/>
    <w:rsid w:val="6E3E63D2"/>
    <w:rsid w:val="6E5F7BE6"/>
    <w:rsid w:val="6E6918C6"/>
    <w:rsid w:val="6EEB4AC4"/>
    <w:rsid w:val="6F212DD6"/>
    <w:rsid w:val="6F3B5912"/>
    <w:rsid w:val="6FA14A81"/>
    <w:rsid w:val="6FA3261F"/>
    <w:rsid w:val="6FB44BAA"/>
    <w:rsid w:val="700D6539"/>
    <w:rsid w:val="704203E3"/>
    <w:rsid w:val="7058046B"/>
    <w:rsid w:val="707F2079"/>
    <w:rsid w:val="70922734"/>
    <w:rsid w:val="70CD16CB"/>
    <w:rsid w:val="70CE6DC7"/>
    <w:rsid w:val="710B3646"/>
    <w:rsid w:val="711759F2"/>
    <w:rsid w:val="713C4ED8"/>
    <w:rsid w:val="71407642"/>
    <w:rsid w:val="71641210"/>
    <w:rsid w:val="71D95B7C"/>
    <w:rsid w:val="71EA6A50"/>
    <w:rsid w:val="71FE31A8"/>
    <w:rsid w:val="720C30AE"/>
    <w:rsid w:val="721A7983"/>
    <w:rsid w:val="721F6113"/>
    <w:rsid w:val="7233782C"/>
    <w:rsid w:val="725400DF"/>
    <w:rsid w:val="726A729D"/>
    <w:rsid w:val="73177841"/>
    <w:rsid w:val="733774FE"/>
    <w:rsid w:val="735231C7"/>
    <w:rsid w:val="73617E1B"/>
    <w:rsid w:val="736D7653"/>
    <w:rsid w:val="738035CB"/>
    <w:rsid w:val="73852C46"/>
    <w:rsid w:val="7396335C"/>
    <w:rsid w:val="73F46595"/>
    <w:rsid w:val="73F47FAE"/>
    <w:rsid w:val="74283FA2"/>
    <w:rsid w:val="742C135B"/>
    <w:rsid w:val="74463733"/>
    <w:rsid w:val="748A2F40"/>
    <w:rsid w:val="74D84FF7"/>
    <w:rsid w:val="74F85778"/>
    <w:rsid w:val="75272439"/>
    <w:rsid w:val="758F1E9B"/>
    <w:rsid w:val="75CE266B"/>
    <w:rsid w:val="75E538F2"/>
    <w:rsid w:val="76120141"/>
    <w:rsid w:val="76510960"/>
    <w:rsid w:val="768216BE"/>
    <w:rsid w:val="76C23B43"/>
    <w:rsid w:val="76FD6F97"/>
    <w:rsid w:val="770218E8"/>
    <w:rsid w:val="779469CE"/>
    <w:rsid w:val="77C875A5"/>
    <w:rsid w:val="77D777E8"/>
    <w:rsid w:val="78A27DF6"/>
    <w:rsid w:val="79285B3A"/>
    <w:rsid w:val="79490B03"/>
    <w:rsid w:val="79625CA9"/>
    <w:rsid w:val="79A91196"/>
    <w:rsid w:val="7A0B32D3"/>
    <w:rsid w:val="7AC13CD3"/>
    <w:rsid w:val="7AE10264"/>
    <w:rsid w:val="7AE4248E"/>
    <w:rsid w:val="7B4A207F"/>
    <w:rsid w:val="7B7122A7"/>
    <w:rsid w:val="7B936F45"/>
    <w:rsid w:val="7BA47419"/>
    <w:rsid w:val="7BB10D45"/>
    <w:rsid w:val="7BB44151"/>
    <w:rsid w:val="7C067CC4"/>
    <w:rsid w:val="7C656A39"/>
    <w:rsid w:val="7CAE7D7C"/>
    <w:rsid w:val="7CB93996"/>
    <w:rsid w:val="7CBE0F99"/>
    <w:rsid w:val="7D4E45F1"/>
    <w:rsid w:val="7DFB6D82"/>
    <w:rsid w:val="7E1D71D1"/>
    <w:rsid w:val="7E246254"/>
    <w:rsid w:val="7E553215"/>
    <w:rsid w:val="7E6D090F"/>
    <w:rsid w:val="7E7E2263"/>
    <w:rsid w:val="7ECC66B2"/>
    <w:rsid w:val="7F2914C3"/>
    <w:rsid w:val="7F5F2ED6"/>
    <w:rsid w:val="7FA837EF"/>
    <w:rsid w:val="7FC36955"/>
    <w:rsid w:val="7FE903A0"/>
    <w:rsid w:val="7FF07065"/>
    <w:rsid w:val="7FF97946"/>
    <w:rsid w:val="7FFE7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宋体" w:asciiTheme="minorHAnsi" w:hAnsiTheme="minorHAnsi" w:eastAsiaTheme="minorEastAsia"/>
      <w:color w:val="auto"/>
      <w:kern w:val="0"/>
      <w:sz w:val="24"/>
      <w:szCs w:val="24"/>
      <w:lang w:val="en-US" w:eastAsia="zh-CN" w:bidi="ar-SA"/>
    </w:rPr>
  </w:style>
  <w:style w:type="paragraph" w:styleId="2">
    <w:name w:val="heading 1"/>
    <w:basedOn w:val="1"/>
    <w:next w:val="1"/>
    <w:qFormat/>
    <w:uiPriority w:val="0"/>
    <w:pPr>
      <w:keepNext/>
      <w:keepLines/>
      <w:numPr>
        <w:ilvl w:val="0"/>
        <w:numId w:val="1"/>
      </w:numPr>
      <w:adjustRightInd w:val="0"/>
      <w:snapToGrid w:val="0"/>
      <w:spacing w:before="340" w:after="50" w:afterLines="50" w:line="578" w:lineRule="auto"/>
      <w:ind w:left="425" w:hanging="425"/>
      <w:jc w:val="left"/>
      <w:outlineLvl w:val="0"/>
    </w:pPr>
    <w:rPr>
      <w:rFonts w:ascii="Times New Roman" w:hAnsi="Times New Roman" w:eastAsia="仿宋" w:cs="Times New Roman"/>
      <w:b/>
      <w:bCs/>
      <w:kern w:val="44"/>
      <w:sz w:val="36"/>
      <w:szCs w:val="44"/>
    </w:rPr>
  </w:style>
  <w:style w:type="paragraph" w:styleId="3">
    <w:name w:val="heading 2"/>
    <w:basedOn w:val="1"/>
    <w:next w:val="1"/>
    <w:link w:val="15"/>
    <w:semiHidden/>
    <w:unhideWhenUsed/>
    <w:qFormat/>
    <w:uiPriority w:val="9"/>
    <w:pPr>
      <w:widowControl w:val="0"/>
      <w:numPr>
        <w:ilvl w:val="1"/>
        <w:numId w:val="1"/>
      </w:numPr>
      <w:spacing w:line="416" w:lineRule="auto"/>
      <w:ind w:left="567" w:hanging="567"/>
      <w:outlineLvl w:val="1"/>
    </w:pPr>
    <w:rPr>
      <w:rFonts w:ascii="Calibri Light" w:hAnsi="Calibri Light" w:eastAsia="宋体" w:cs="Times New Roman"/>
      <w:b/>
      <w:bCs/>
      <w:sz w:val="28"/>
      <w:szCs w:val="32"/>
    </w:rPr>
  </w:style>
  <w:style w:type="paragraph" w:styleId="4">
    <w:name w:val="heading 3"/>
    <w:basedOn w:val="1"/>
    <w:next w:val="1"/>
    <w:semiHidden/>
    <w:unhideWhenUsed/>
    <w:qFormat/>
    <w:uiPriority w:val="9"/>
    <w:pPr>
      <w:keepNext/>
      <w:keepLines/>
      <w:numPr>
        <w:ilvl w:val="2"/>
        <w:numId w:val="1"/>
      </w:numPr>
      <w:spacing w:before="50" w:beforeLines="50" w:after="50" w:afterLines="50" w:line="416" w:lineRule="auto"/>
      <w:outlineLvl w:val="2"/>
    </w:pPr>
    <w:rPr>
      <w:rFonts w:ascii="宋体" w:hAnsi="宋体" w:eastAsia="宋体" w:cs="宋体"/>
      <w:b/>
      <w:bCs/>
      <w:sz w:val="32"/>
    </w:rPr>
  </w:style>
  <w:style w:type="paragraph" w:styleId="5">
    <w:name w:val="heading 4"/>
    <w:basedOn w:val="1"/>
    <w:next w:val="1"/>
    <w:semiHidden/>
    <w:unhideWhenUsed/>
    <w:qFormat/>
    <w:uiPriority w:val="9"/>
    <w:pPr>
      <w:keepNext/>
      <w:keepLines/>
      <w:numPr>
        <w:ilvl w:val="3"/>
        <w:numId w:val="1"/>
      </w:numPr>
      <w:spacing w:before="120" w:after="120"/>
      <w:outlineLvl w:val="3"/>
    </w:pPr>
    <w:rPr>
      <w:rFonts w:ascii="Calibri Light" w:hAnsi="Calibri Light" w:eastAsia="宋体" w:cs="Times New Roman"/>
      <w:b/>
      <w:bCs/>
      <w:sz w:val="28"/>
      <w:szCs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semiHidden/>
    <w:unhideWhenUsed/>
    <w:qFormat/>
    <w:uiPriority w:val="99"/>
    <w:pPr>
      <w:jc w:val="left"/>
    </w:pPr>
  </w:style>
  <w:style w:type="paragraph" w:styleId="7">
    <w:name w:val="Balloon Text"/>
    <w:basedOn w:val="1"/>
    <w:link w:val="24"/>
    <w:unhideWhenUsed/>
    <w:qFormat/>
    <w:uiPriority w:val="99"/>
    <w:rPr>
      <w:rFonts w:cstheme="minorBidi"/>
      <w:kern w:val="2"/>
      <w:sz w:val="18"/>
      <w:szCs w:val="18"/>
    </w:rPr>
  </w:style>
  <w:style w:type="paragraph" w:styleId="8">
    <w:name w:val="footer"/>
    <w:basedOn w:val="1"/>
    <w:link w:val="16"/>
    <w:qFormat/>
    <w:uiPriority w:val="99"/>
    <w:pPr>
      <w:tabs>
        <w:tab w:val="center" w:pos="4153"/>
        <w:tab w:val="right" w:pos="8306"/>
      </w:tabs>
      <w:snapToGrid w:val="0"/>
      <w:jc w:val="left"/>
    </w:pPr>
    <w:rPr>
      <w:rFonts w:cstheme="minorBidi"/>
      <w:kern w:val="2"/>
      <w:sz w:val="18"/>
      <w:szCs w:val="18"/>
    </w:rPr>
  </w:style>
  <w:style w:type="paragraph" w:styleId="9">
    <w:name w:val="header"/>
    <w:basedOn w:val="1"/>
    <w:link w:val="1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center"/>
    </w:pPr>
    <w:rPr>
      <w:rFonts w:cstheme="minorBidi"/>
      <w:kern w:val="2"/>
      <w:sz w:val="18"/>
      <w:szCs w:val="18"/>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2">
    <w:name w:val="Table Grid"/>
    <w:qFormat/>
    <w:uiPriority w:val="0"/>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4">
    <w:name w:val="Strong"/>
    <w:basedOn w:val="13"/>
    <w:qFormat/>
    <w:uiPriority w:val="22"/>
    <w:rPr>
      <w:b/>
    </w:rPr>
  </w:style>
  <w:style w:type="character" w:customStyle="1" w:styleId="15">
    <w:name w:val="标题 2 Char"/>
    <w:link w:val="3"/>
    <w:qFormat/>
    <w:uiPriority w:val="0"/>
    <w:rPr>
      <w:rFonts w:ascii="Calibri Light" w:hAnsi="Calibri Light" w:eastAsia="宋体" w:cs="Times New Roman"/>
      <w:b/>
      <w:bCs/>
      <w:sz w:val="28"/>
      <w:szCs w:val="32"/>
    </w:rPr>
  </w:style>
  <w:style w:type="character" w:customStyle="1" w:styleId="16">
    <w:name w:val="页脚 Char"/>
    <w:basedOn w:val="13"/>
    <w:link w:val="8"/>
    <w:qFormat/>
    <w:uiPriority w:val="99"/>
    <w:rPr>
      <w:rFonts w:asciiTheme="minorHAnsi" w:hAnsiTheme="minorHAnsi" w:eastAsiaTheme="minorEastAsia" w:cstheme="minorBidi"/>
      <w:sz w:val="18"/>
      <w:szCs w:val="18"/>
      <w:lang w:val="en-US" w:eastAsia="zh-CN" w:bidi="ar-SA"/>
    </w:rPr>
  </w:style>
  <w:style w:type="character" w:customStyle="1" w:styleId="17">
    <w:name w:val="页眉 Char"/>
    <w:basedOn w:val="13"/>
    <w:link w:val="9"/>
    <w:qFormat/>
    <w:uiPriority w:val="0"/>
    <w:rPr>
      <w:rFonts w:asciiTheme="minorHAnsi" w:hAnsiTheme="minorHAnsi" w:eastAsiaTheme="minorEastAsia" w:cstheme="minorBidi"/>
      <w:sz w:val="18"/>
      <w:szCs w:val="18"/>
      <w:lang w:val="en-US" w:eastAsia="zh-CN" w:bidi="ar-SA"/>
    </w:rPr>
  </w:style>
  <w:style w:type="character" w:customStyle="1" w:styleId="18">
    <w:name w:val="font11"/>
    <w:basedOn w:val="13"/>
    <w:qFormat/>
    <w:uiPriority w:val="0"/>
    <w:rPr>
      <w:rFonts w:hint="eastAsia" w:ascii="宋体" w:hAnsi="宋体" w:eastAsia="宋体" w:cs="宋体"/>
      <w:color w:val="000000"/>
      <w:sz w:val="20"/>
      <w:szCs w:val="20"/>
      <w:u w:val="none"/>
      <w:lang w:val="en-US" w:eastAsia="zh-CN" w:bidi="ar-SA"/>
    </w:rPr>
  </w:style>
  <w:style w:type="character" w:customStyle="1" w:styleId="19">
    <w:name w:val="font01"/>
    <w:basedOn w:val="13"/>
    <w:qFormat/>
    <w:uiPriority w:val="0"/>
    <w:rPr>
      <w:rFonts w:hint="eastAsia" w:ascii="宋体" w:hAnsi="宋体" w:eastAsia="宋体" w:cs="宋体"/>
      <w:color w:val="000000"/>
      <w:sz w:val="22"/>
      <w:szCs w:val="22"/>
      <w:u w:val="none"/>
      <w:lang w:val="en-US" w:eastAsia="zh-CN" w:bidi="ar-SA"/>
    </w:rPr>
  </w:style>
  <w:style w:type="character" w:customStyle="1" w:styleId="20">
    <w:name w:val="font41"/>
    <w:basedOn w:val="13"/>
    <w:qFormat/>
    <w:uiPriority w:val="0"/>
    <w:rPr>
      <w:rFonts w:hint="eastAsia" w:ascii="宋体" w:hAnsi="宋体" w:eastAsia="宋体" w:cs="宋体"/>
      <w:color w:val="000000"/>
      <w:sz w:val="24"/>
      <w:szCs w:val="24"/>
      <w:u w:val="none"/>
      <w:lang w:val="en-US" w:eastAsia="zh-CN" w:bidi="ar-SA"/>
    </w:rPr>
  </w:style>
  <w:style w:type="character" w:customStyle="1" w:styleId="21">
    <w:name w:val="font31"/>
    <w:basedOn w:val="13"/>
    <w:qFormat/>
    <w:uiPriority w:val="0"/>
    <w:rPr>
      <w:rFonts w:hint="eastAsia" w:ascii="华文中宋" w:hAnsi="华文中宋" w:eastAsia="华文中宋" w:cs="华文中宋"/>
      <w:color w:val="000000"/>
      <w:sz w:val="32"/>
      <w:szCs w:val="32"/>
      <w:u w:val="none"/>
      <w:lang w:val="en-US" w:eastAsia="zh-CN" w:bidi="ar-SA"/>
    </w:rPr>
  </w:style>
  <w:style w:type="character" w:customStyle="1" w:styleId="22">
    <w:name w:val="font91"/>
    <w:basedOn w:val="13"/>
    <w:qFormat/>
    <w:uiPriority w:val="0"/>
    <w:rPr>
      <w:rFonts w:hint="eastAsia" w:ascii="华文中宋" w:hAnsi="华文中宋" w:eastAsia="华文中宋" w:cs="华文中宋"/>
      <w:color w:val="000000"/>
      <w:sz w:val="32"/>
      <w:szCs w:val="32"/>
      <w:u w:val="none"/>
      <w:lang w:val="en-US" w:eastAsia="zh-CN" w:bidi="ar-SA"/>
    </w:rPr>
  </w:style>
  <w:style w:type="character" w:customStyle="1" w:styleId="23">
    <w:name w:val="font51"/>
    <w:basedOn w:val="13"/>
    <w:qFormat/>
    <w:uiPriority w:val="0"/>
    <w:rPr>
      <w:rFonts w:hint="eastAsia" w:ascii="宋体" w:hAnsi="宋体" w:eastAsia="宋体" w:cs="宋体"/>
      <w:color w:val="000000"/>
      <w:sz w:val="24"/>
      <w:szCs w:val="24"/>
      <w:u w:val="none"/>
      <w:lang w:val="en-US" w:eastAsia="zh-CN" w:bidi="ar-SA"/>
    </w:rPr>
  </w:style>
  <w:style w:type="character" w:customStyle="1" w:styleId="24">
    <w:name w:val="批注框文本 Char"/>
    <w:basedOn w:val="13"/>
    <w:link w:val="7"/>
    <w:semiHidden/>
    <w:qFormat/>
    <w:uiPriority w:val="99"/>
    <w:rPr>
      <w:rFonts w:asciiTheme="minorHAnsi" w:hAnsiTheme="minorHAnsi" w:eastAsiaTheme="minorEastAsia" w:cstheme="minorBidi"/>
      <w:sz w:val="18"/>
      <w:szCs w:val="18"/>
      <w:lang w:val="en-US" w:eastAsia="zh-CN" w:bidi="ar-SA"/>
    </w:rPr>
  </w:style>
  <w:style w:type="character" w:customStyle="1" w:styleId="25">
    <w:name w:val="font21"/>
    <w:basedOn w:val="13"/>
    <w:qFormat/>
    <w:uiPriority w:val="0"/>
    <w:rPr>
      <w:rFonts w:hint="eastAsia" w:ascii="方正仿宋_GB2312" w:hAnsi="方正仿宋_GB2312" w:eastAsia="方正仿宋_GB2312" w:cs="方正仿宋_GB2312"/>
      <w:color w:val="000000"/>
      <w:sz w:val="18"/>
      <w:szCs w:val="18"/>
      <w:u w:val="none"/>
    </w:rPr>
  </w:style>
  <w:style w:type="character" w:customStyle="1" w:styleId="26">
    <w:name w:val="font61"/>
    <w:basedOn w:val="13"/>
    <w:qFormat/>
    <w:uiPriority w:val="0"/>
    <w:rPr>
      <w:rFonts w:hint="eastAsia" w:ascii="方正仿宋_GB2312" w:hAnsi="方正仿宋_GB2312" w:eastAsia="方正仿宋_GB2312" w:cs="方正仿宋_GB2312"/>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5.xml"/><Relationship Id="rId17" Type="http://schemas.openxmlformats.org/officeDocument/2006/relationships/chart" Target="charts/chart4.xml"/><Relationship Id="rId16" Type="http://schemas.openxmlformats.org/officeDocument/2006/relationships/chart" Target="charts/chart3.xml"/><Relationship Id="rId15" Type="http://schemas.openxmlformats.org/officeDocument/2006/relationships/chart" Target="charts/chart2.xml"/><Relationship Id="rId14" Type="http://schemas.openxmlformats.org/officeDocument/2006/relationships/chart" Target="charts/chart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1 </a:t>
            </a:r>
            <a:r>
              <a:rPr lang="zh-CN" altLang="en-US"/>
              <a:t>： </a:t>
            </a:r>
            <a:r>
              <a:rPr lang="en-US" altLang="zh-CN"/>
              <a:t>2024-2025</a:t>
            </a:r>
            <a:r>
              <a:rPr lang="zh-CN" altLang="en-US"/>
              <a:t>年收支总计对比图（万元）</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2025年</c:v>
                </c:pt>
                <c:pt idx="1">
                  <c:v>2024年</c:v>
                </c:pt>
              </c:strCache>
            </c:strRef>
          </c:cat>
          <c:val>
            <c:numRef>
              <c:f>Sheet1!$B$2:$B$3</c:f>
              <c:numCache>
                <c:formatCode>General</c:formatCode>
                <c:ptCount val="2"/>
                <c:pt idx="0">
                  <c:v>10717.2</c:v>
                </c:pt>
                <c:pt idx="1">
                  <c:v>20618.65</c:v>
                </c:pt>
              </c:numCache>
            </c:numRef>
          </c:val>
        </c:ser>
        <c:dLbls>
          <c:showLegendKey val="0"/>
          <c:showVal val="1"/>
          <c:showCatName val="0"/>
          <c:showSerName val="0"/>
          <c:showPercent val="0"/>
          <c:showBubbleSize val="0"/>
        </c:dLbls>
        <c:gapWidth val="246"/>
        <c:overlap val="-28"/>
        <c:axId val="817088452"/>
        <c:axId val="587069473"/>
      </c:barChart>
      <c:catAx>
        <c:axId val="81708845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7069473"/>
        <c:crosses val="autoZero"/>
        <c:auto val="1"/>
        <c:lblAlgn val="ctr"/>
        <c:lblOffset val="100"/>
        <c:noMultiLvlLbl val="0"/>
      </c:catAx>
      <c:valAx>
        <c:axId val="587069473"/>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70884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2 </a:t>
            </a:r>
            <a:r>
              <a:rPr lang="zh-CN" altLang="en-US"/>
              <a:t>：收入决算构成情况图</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Lbls>
            <c:dLbl>
              <c:idx val="0"/>
              <c:layout>
                <c:manualLayout>
                  <c:x val="0.320125539403024"/>
                  <c:y val="0.72690713982147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308045516407558"/>
                  <c:y val="0.63914683382912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405411836540074"/>
                  <c:y val="0.171855078623054"/>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37059073523162"/>
                    </c:manualLayout>
                  </c15:layout>
                </c:ext>
              </c:extLst>
            </c:dLbl>
            <c:dLbl>
              <c:idx val="3"/>
              <c:layout>
                <c:manualLayout>
                  <c:x val="-0.286905148238858"/>
                  <c:y val="0.270250743731381"/>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10709732256694"/>
                    </c:manualLayout>
                  </c15:layout>
                </c:ext>
              </c:extLst>
            </c:dLbl>
            <c:dLbl>
              <c:idx val="4"/>
              <c:layout>
                <c:manualLayout>
                  <c:x val="-0.298985360795255"/>
                  <c:y val="0.449160645983869"/>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211403720706"/>
                      <c:h val="0.154908627284318"/>
                    </c:manualLayout>
                  </c15:layout>
                </c:ext>
              </c:extLst>
            </c:dLbl>
            <c:dLbl>
              <c:idx val="5"/>
              <c:layout>
                <c:manualLayout>
                  <c:x val="-0.288475575878384"/>
                  <c:y val="0.124165958351015"/>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10922226944326"/>
                    </c:manualLayout>
                  </c15:layout>
                </c:ext>
              </c:extLst>
            </c:dLbl>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ctr"/>
            <c:showLegendKey val="1"/>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财政拨款收入</c:v>
                </c:pt>
                <c:pt idx="1">
                  <c:v>上级补助收入</c:v>
                </c:pt>
                <c:pt idx="2">
                  <c:v>事业收入</c:v>
                </c:pt>
                <c:pt idx="3">
                  <c:v>经营收入</c:v>
                </c:pt>
                <c:pt idx="4">
                  <c:v>附属单位上缴收入</c:v>
                </c:pt>
                <c:pt idx="5">
                  <c:v>其他收入</c:v>
                </c:pt>
              </c:strCache>
            </c:strRef>
          </c:cat>
          <c:val>
            <c:numRef>
              <c:f>Sheet1!$B$2:$B$7</c:f>
              <c:numCache>
                <c:formatCode>General</c:formatCode>
                <c:ptCount val="6"/>
                <c:pt idx="0">
                  <c:v>107171989.45</c:v>
                </c:pt>
                <c:pt idx="1">
                  <c:v>0</c:v>
                </c:pt>
                <c:pt idx="2">
                  <c:v>0</c:v>
                </c:pt>
                <c:pt idx="3">
                  <c:v>0</c:v>
                </c:pt>
                <c:pt idx="4">
                  <c:v>0</c:v>
                </c:pt>
                <c:pt idx="5">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960" b="0" i="0" u="none" strike="noStrike" kern="1200" baseline="0">
                <a:solidFill>
                  <a:schemeClr val="tx1">
                    <a:lumMod val="75000"/>
                    <a:lumOff val="25000"/>
                  </a:schemeClr>
                </a:solidFill>
                <a:latin typeface="+mn-lt"/>
                <a:ea typeface="+mn-ea"/>
                <a:cs typeface="+mn-cs"/>
              </a:defRPr>
            </a:pPr>
            <a:r>
              <a:rPr lang="zh-CN" altLang="en-US" sz="960" b="1"/>
              <a:t>图 </a:t>
            </a:r>
            <a:r>
              <a:rPr lang="en-US" altLang="zh-CN" sz="960" b="1"/>
              <a:t>3 </a:t>
            </a:r>
            <a:r>
              <a:rPr lang="zh-CN" altLang="en-US" sz="960" b="1"/>
              <a:t>：支出决算构成情况图</a:t>
            </a:r>
            <a:endParaRPr lang="zh-CN" altLang="en-US" sz="960" b="1"/>
          </a:p>
        </c:rich>
      </c:tx>
      <c:layout/>
      <c:overlay val="0"/>
      <c:spPr>
        <a:noFill/>
        <a:ln>
          <a:noFill/>
        </a:ln>
        <a:effectLst/>
      </c:spPr>
    </c:title>
    <c:autoTitleDeleted val="0"/>
    <c:plotArea>
      <c:layout>
        <c:manualLayout>
          <c:layoutTarget val="inner"/>
          <c:xMode val="edge"/>
          <c:yMode val="edge"/>
          <c:x val="0.298441652573085"/>
          <c:y val="0.225244368890778"/>
          <c:w val="0.412297656438753"/>
          <c:h val="0.725244368890778"/>
        </c:manualLayout>
      </c:layout>
      <c:pieChart>
        <c:varyColors val="1"/>
        <c:ser>
          <c:idx val="0"/>
          <c:order val="0"/>
          <c:tx>
            <c:strRef>
              <c:f>Sheet1!$B$1</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dLbl>
              <c:idx val="0"/>
              <c:layout>
                <c:manualLayout>
                  <c:x val="-0.28690513020387"/>
                  <c:y val="0.199835316617064"/>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29910614494173"/>
                  <c:y val="0.0910380365490653"/>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309494957582572"/>
                  <c:y val="0.189210582235423"/>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335225819300842"/>
                  <c:y val="0.0589513387165111"/>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0.323024782424836"/>
                  <c:y val="0.28504568635782"/>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numFmt formatCode="0.0%" sourceLinked="0"/>
            <c:spPr>
              <a:noFill/>
              <a:ln>
                <a:noFill/>
              </a:ln>
              <a:effectLst/>
            </c:spPr>
            <c:txPr>
              <a:bodyPr rot="0" spcFirstLastPara="0" vertOverflow="ellipsis" vert="horz" wrap="none" lIns="0" tIns="0" rIns="0" bIns="0" anchor="ctr" anchorCtr="1"/>
              <a:lstStyle/>
              <a:p>
                <a:pPr>
                  <a:defRPr lang="zh-CN" sz="800" b="0" i="0" u="none" strike="noStrike" kern="1200" baseline="0">
                    <a:solidFill>
                      <a:schemeClr val="tx1">
                        <a:lumMod val="75000"/>
                        <a:lumOff val="25000"/>
                      </a:schemeClr>
                    </a:solidFill>
                    <a:latin typeface="+mn-lt"/>
                    <a:ea typeface="+mn-ea"/>
                    <a:cs typeface="+mn-cs"/>
                  </a:defRPr>
                </a:pPr>
              </a:p>
            </c:txPr>
            <c:dLblPos val="ctr"/>
            <c:showLegendKey val="1"/>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6819700.54</c:v>
                </c:pt>
                <c:pt idx="1">
                  <c:v>100352288.91</c:v>
                </c:pt>
                <c:pt idx="2">
                  <c:v>0</c:v>
                </c:pt>
                <c:pt idx="3">
                  <c:v>0</c:v>
                </c:pt>
                <c:pt idx="4">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egendEntry>
        <c:idx val="0"/>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4"/>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800"/>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4 </a:t>
            </a:r>
            <a:r>
              <a:rPr lang="zh-CN" altLang="en-US"/>
              <a:t>：</a:t>
            </a:r>
            <a:r>
              <a:rPr lang="en-US" altLang="zh-CN"/>
              <a:t>2024-2025</a:t>
            </a:r>
            <a:r>
              <a:rPr lang="zh-CN" altLang="en-US"/>
              <a:t>年财政拨款收支对比图（万元）</a:t>
            </a:r>
            <a:endParaRPr lang="zh-CN" altLang="en-US"/>
          </a:p>
        </c:rich>
      </c:tx>
      <c:layout>
        <c:manualLayout>
          <c:xMode val="edge"/>
          <c:yMode val="edge"/>
          <c:x val="0.133244745107514"/>
          <c:y val="0.0254993625159371"/>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2024年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Sheet1!$B$2:$B$9</c:f>
              <c:numCache>
                <c:formatCode>General</c:formatCode>
                <c:ptCount val="8"/>
                <c:pt idx="0">
                  <c:v>20618.65</c:v>
                </c:pt>
                <c:pt idx="1">
                  <c:v>20618.65</c:v>
                </c:pt>
                <c:pt idx="2">
                  <c:v>20618.65</c:v>
                </c:pt>
                <c:pt idx="3">
                  <c:v>20618.65</c:v>
                </c:pt>
                <c:pt idx="4">
                  <c:v>0</c:v>
                </c:pt>
                <c:pt idx="5">
                  <c:v>0</c:v>
                </c:pt>
                <c:pt idx="6">
                  <c:v>0</c:v>
                </c:pt>
                <c:pt idx="7">
                  <c:v>0</c:v>
                </c:pt>
              </c:numCache>
            </c:numRef>
          </c:val>
        </c:ser>
        <c:ser>
          <c:idx val="1"/>
          <c:order val="1"/>
          <c:tx>
            <c:strRef>
              <c:f>Sheet1!$C$1</c:f>
              <c:strCache>
                <c:ptCount val="1"/>
                <c:pt idx="0">
                  <c:v>2025年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Sheet1!$C$2:$C$9</c:f>
              <c:numCache>
                <c:formatCode>General</c:formatCode>
                <c:ptCount val="8"/>
                <c:pt idx="0">
                  <c:v>10717.2</c:v>
                </c:pt>
                <c:pt idx="1">
                  <c:v>10717.2</c:v>
                </c:pt>
                <c:pt idx="2">
                  <c:v>10717.2</c:v>
                </c:pt>
                <c:pt idx="3">
                  <c:v>10717.2</c:v>
                </c:pt>
                <c:pt idx="4">
                  <c:v>0</c:v>
                </c:pt>
                <c:pt idx="5">
                  <c:v>0</c:v>
                </c:pt>
                <c:pt idx="6">
                  <c:v>0</c:v>
                </c:pt>
                <c:pt idx="7">
                  <c:v>0</c:v>
                </c:pt>
              </c:numCache>
            </c:numRef>
          </c:val>
        </c:ser>
        <c:dLbls>
          <c:showLegendKey val="0"/>
          <c:showVal val="1"/>
          <c:showCatName val="0"/>
          <c:showSerName val="0"/>
          <c:showPercent val="0"/>
          <c:showBubbleSize val="0"/>
        </c:dLbls>
        <c:gapWidth val="246"/>
        <c:overlap val="-28"/>
        <c:axId val="40225855"/>
        <c:axId val="660958640"/>
      </c:barChart>
      <c:catAx>
        <c:axId val="40225855"/>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0958640"/>
        <c:crosses val="autoZero"/>
        <c:auto val="1"/>
        <c:lblAlgn val="ctr"/>
        <c:lblOffset val="100"/>
        <c:noMultiLvlLbl val="0"/>
      </c:catAx>
      <c:valAx>
        <c:axId val="66095864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22585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960" b="1" i="0" u="none" strike="noStrike" kern="1200" baseline="0">
                <a:solidFill>
                  <a:schemeClr val="tx1">
                    <a:lumMod val="75000"/>
                    <a:lumOff val="25000"/>
                  </a:schemeClr>
                </a:solidFill>
                <a:latin typeface="+mn-lt"/>
                <a:ea typeface="+mn-ea"/>
                <a:cs typeface="+mn-cs"/>
              </a:defRPr>
            </a:pPr>
            <a:r>
              <a:rPr lang="zh-CN" altLang="en-US" sz="960"/>
              <a:t>图 </a:t>
            </a:r>
            <a:r>
              <a:rPr lang="en-US" altLang="zh-CN" sz="960"/>
              <a:t>5 :</a:t>
            </a:r>
            <a:r>
              <a:rPr lang="zh-CN" altLang="en-US" sz="960"/>
              <a:t>财政拨款收支预算对比图（万元）</a:t>
            </a:r>
            <a:endParaRPr lang="zh-CN" altLang="en-US" sz="960"/>
          </a:p>
        </c:rich>
      </c:tx>
      <c:layout/>
      <c:overlay val="0"/>
      <c:spPr>
        <a:noFill/>
        <a:ln>
          <a:noFill/>
        </a:ln>
        <a:effectLst/>
      </c:spPr>
    </c:title>
    <c:autoTitleDeleted val="0"/>
    <c:plotArea>
      <c:layout>
        <c:manualLayout>
          <c:layoutTarget val="inner"/>
          <c:xMode val="edge"/>
          <c:yMode val="edge"/>
          <c:x val="0.17641942498188"/>
          <c:y val="0.160433489162771"/>
          <c:w val="0.795796086011114"/>
          <c:h val="0.474330641733957"/>
        </c:manualLayout>
      </c:layout>
      <c:barChart>
        <c:barDir val="col"/>
        <c:grouping val="clustered"/>
        <c:varyColors val="0"/>
        <c:ser>
          <c:idx val="0"/>
          <c:order val="0"/>
          <c:tx>
            <c:strRef>
              <c:f>Sheet1!$B$1</c:f>
              <c:strCache>
                <c:ptCount val="1"/>
                <c:pt idx="0">
                  <c:v>年初预算数</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Sheet1!$B$2:$B$9</c:f>
              <c:numCache>
                <c:formatCode>General</c:formatCode>
                <c:ptCount val="8"/>
                <c:pt idx="0">
                  <c:v>3446.77</c:v>
                </c:pt>
                <c:pt idx="1">
                  <c:v>3446.77</c:v>
                </c:pt>
                <c:pt idx="2">
                  <c:v>3446.77</c:v>
                </c:pt>
                <c:pt idx="3">
                  <c:v>3446.77</c:v>
                </c:pt>
                <c:pt idx="4">
                  <c:v>0</c:v>
                </c:pt>
                <c:pt idx="5">
                  <c:v>0</c:v>
                </c:pt>
                <c:pt idx="6">
                  <c:v>0</c:v>
                </c:pt>
                <c:pt idx="7">
                  <c:v>0</c:v>
                </c:pt>
              </c:numCache>
            </c:numRef>
          </c:val>
        </c:ser>
        <c:ser>
          <c:idx val="1"/>
          <c:order val="1"/>
          <c:tx>
            <c:strRef>
              <c:f>Sheet1!$C$1</c:f>
              <c:strCache>
                <c:ptCount val="1"/>
                <c:pt idx="0">
                  <c:v>决算数</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65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Sheet1!$C$2:$C$9</c:f>
              <c:numCache>
                <c:formatCode>General</c:formatCode>
                <c:ptCount val="8"/>
                <c:pt idx="0">
                  <c:v>10717.2</c:v>
                </c:pt>
                <c:pt idx="1">
                  <c:v>10717.2</c:v>
                </c:pt>
                <c:pt idx="2">
                  <c:v>10717.2</c:v>
                </c:pt>
                <c:pt idx="3">
                  <c:v>10717.2</c:v>
                </c:pt>
                <c:pt idx="4">
                  <c:v>0</c:v>
                </c:pt>
                <c:pt idx="5">
                  <c:v>0</c:v>
                </c:pt>
                <c:pt idx="6">
                  <c:v>0</c:v>
                </c:pt>
                <c:pt idx="7">
                  <c:v>0</c:v>
                </c:pt>
              </c:numCache>
            </c:numRef>
          </c:val>
        </c:ser>
        <c:dLbls>
          <c:showLegendKey val="0"/>
          <c:showVal val="1"/>
          <c:showCatName val="0"/>
          <c:showSerName val="0"/>
          <c:showPercent val="0"/>
          <c:showBubbleSize val="0"/>
        </c:dLbls>
        <c:gapWidth val="150"/>
        <c:axId val="136214206"/>
        <c:axId val="897256872"/>
      </c:barChart>
      <c:catAx>
        <c:axId val="13621420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crossAx val="897256872"/>
        <c:crosses val="autoZero"/>
        <c:auto val="1"/>
        <c:lblAlgn val="ctr"/>
        <c:lblOffset val="100"/>
        <c:noMultiLvlLbl val="0"/>
      </c:catAx>
      <c:valAx>
        <c:axId val="89725687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crossAx val="13621420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800"/>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tags>
    <s:tag s:spid="_x0000_s1026">
      <s:item s:name="KSO_DOCER_RESOURCE_TRACE_INFO" s:val="{&quot;id&quot;:&quot;&quot;,&quot;origin&quot;:0,&quot;type&quot;:&quot;wordart&quot;,&quot;user&quot;:&quot;292216292&quot;}"/>
    </s:tag>
  </s:tag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44</Pages>
  <Words>11823</Words>
  <Characters>15115</Characters>
  <Lines>86</Lines>
  <Paragraphs>24</Paragraphs>
  <TotalTime>3</TotalTime>
  <ScaleCrop>false</ScaleCrop>
  <LinksUpToDate>false</LinksUpToDate>
  <CharactersWithSpaces>15641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2023-08-04T07:55:00Z</dcterms:created>
  <dc:creator>王明新TIAD</dc:creator>
  <cp:lastModifiedBy>86133</cp:lastModifiedBy>
  <cp:lastPrinted>2023-08-04T01:00:00Z</cp:lastPrinted>
  <dcterms:modified xsi:type="dcterms:W3CDTF">2026-08-28T07:11:07Z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5C1B136609854E18BDF3455763276D05_13</vt:lpwstr>
  </property>
  <property fmtid="{D5CDD505-2E9C-101B-9397-08002B2CF9AE}" pid="4" name="KSOTemplateUUID">
    <vt:lpwstr>v1.0_mb_S7ajbG3IpAnL1wSthNCxfw==</vt:lpwstr>
  </property>
  <property fmtid="{D5CDD505-2E9C-101B-9397-08002B2CF9AE}" pid="5" name="KSOTemplateDocerSaveRecord">
    <vt:lpwstr>eyJoZGlkIjoiMGUwMDdiZjE4MTAzNDUzMDk3OTAyNWU5OGVmNGE2MmMiLCJ1c2VySWQiOiIxNTIwMzY1OTkzIn0=</vt:lpwstr>
  </property>
</Properties>
</file>