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rPr>
        <w:drawing>
          <wp:anchor distT="0" distB="0" distL="114300" distR="114300" simplePos="0" relativeHeight="251661312" behindDoc="1" locked="0" layoutInCell="1" allowOverlap="1">
            <wp:simplePos x="0" y="0"/>
            <wp:positionH relativeFrom="column">
              <wp:posOffset>-887730</wp:posOffset>
            </wp:positionH>
            <wp:positionV relativeFrom="page">
              <wp:posOffset>-201295</wp:posOffset>
            </wp:positionV>
            <wp:extent cx="7569835" cy="10692130"/>
            <wp:effectExtent l="0" t="0" r="1206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3"/>
                    <a:srcRect/>
                    <a:stretch>
                      <a:fillRect/>
                    </a:stretch>
                  </pic:blipFill>
                  <pic:spPr>
                    <a:xfrm>
                      <a:off x="0" y="0"/>
                      <a:ext cx="7569835" cy="10692130"/>
                    </a:xfrm>
                    <a:prstGeom prst="rect">
                      <a:avLst/>
                    </a:prstGeom>
                  </pic:spPr>
                </pic:pic>
              </a:graphicData>
            </a:graphic>
          </wp:anchor>
        </w:drawing>
      </w:r>
      <w:r>
        <mc:AlternateContent>
          <mc:Choice Requires="wps">
            <w:drawing>
              <wp:anchor distT="0" distB="0" distL="114300" distR="114300"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1" name="文本框 1" descr="7b0a2020202022776f7264617274223a20227b5c2269645c223a32353030323136362c5c227469645c223a5c225c227d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quot;,&quot;origin&quot;:0,&quot;type&quot;:&quot;wordart&quot;,&quot;user&quot;:&quot;292216292&quot;}"/>
                      </s:tag>
                    </a:ext>
                  </a:extLst>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37.2pt;margin-top:-1.35pt;height:225.4pt;width:506.4pt;z-index:251659264;mso-width-relative:page;mso-height-relative:page;" filled="f" stroked="f" coordsize="21600,21600" o:gfxdata="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lysnNNcAAAAKAQAADwAAAAAAAAABACAAAAAiAAAAZHJzL2Rvd25yZXYueG1sUEsB&#10;AhQAFAAAAAgAh07iQKNa9/H2AQAAzgMAAA4AAAAAAAAAAQAgAAAAJgEAAGRycy9lMm9Eb2MueG1s&#10;UEsFBgAAAAAGAAYAWQEAAI4FAAAAAA==&#10;">
                <v:fill on="f" focussize="0,0"/>
                <v:stroke on="f"/>
                <v:imagedata o:title=""/>
                <o:lock v:ext="edit" aspectratio="f"/>
                <v:textbox>
                  <w:txbxContent>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202</w:t>
                      </w:r>
                      <w:r>
                        <w:rPr>
                          <w:rFonts w:hint="eastAsia" w:ascii="微软雅黑" w:hAnsi="微软雅黑" w:eastAsia="微软雅黑" w:cs="微软雅黑"/>
                          <w:b/>
                          <w:color w:val="FFFFFF" w:themeColor="background1"/>
                          <w:kern w:val="2"/>
                          <w:sz w:val="96"/>
                          <w:szCs w:val="96"/>
                          <w:lang w:val="en-US" w:eastAsia="zh-CN" w:bidi="ar-SA"/>
                          <w14:textFill>
                            <w14:solidFill>
                              <w14:schemeClr w14:val="bg1"/>
                            </w14:solidFill>
                          </w14:textFill>
                        </w:rPr>
                        <w:t>5</w:t>
                      </w: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年度</w:t>
                      </w:r>
                    </w:p>
                    <w:p>
                      <w:pPr>
                        <w:pStyle w:val="10"/>
                        <w:spacing w:before="0" w:beforeAutospacing="0" w:after="0" w:afterAutospacing="0" w:line="1400" w:lineRule="exact"/>
                        <w:ind w:left="0" w:right="0"/>
                        <w:jc w:val="left"/>
                        <w:rPr>
                          <w:rFonts w:hint="eastAsia" w:ascii="微软雅黑" w:hAnsi="微软雅黑" w:eastAsia="微软雅黑" w:cs="微软雅黑"/>
                          <w:b/>
                          <w:color w:val="FFFFFF" w:themeColor="background1"/>
                          <w:kern w:val="2"/>
                          <w:sz w:val="96"/>
                          <w:szCs w:val="96"/>
                          <w:lang w:bidi="ar-SA"/>
                          <w14:textFill>
                            <w14:solidFill>
                              <w14:schemeClr w14:val="bg1"/>
                            </w14:solidFill>
                          </w14:textFill>
                        </w:rPr>
                      </w:pPr>
                      <w:r>
                        <w:rPr>
                          <w:rFonts w:hint="eastAsia" w:ascii="微软雅黑" w:hAnsi="微软雅黑" w:eastAsia="微软雅黑" w:cs="微软雅黑"/>
                          <w:b/>
                          <w:color w:val="FFFFFF" w:themeColor="background1"/>
                          <w:kern w:val="2"/>
                          <w:sz w:val="96"/>
                          <w:szCs w:val="96"/>
                          <w:lang w:bidi="ar-SA"/>
                          <w14:textFill>
                            <w14:solidFill>
                              <w14:schemeClr w14:val="bg1"/>
                            </w14:solidFill>
                          </w14:textFill>
                        </w:rPr>
                        <w:t>部门决算公开文本</w:t>
                      </w:r>
                    </w:p>
                  </w:txbxContent>
                </v:textbox>
              </v:shape>
            </w:pict>
          </mc:Fallback>
        </mc:AlternateContent>
      </w: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both"/>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石家庄高新技术产业开发区科学技术局</w:t>
      </w:r>
    </w:p>
    <w:p>
      <w:pPr>
        <w:jc w:val="cente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kern w:val="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kern w:val="2"/>
          <w:sz w:val="48"/>
          <w:szCs w:val="56"/>
          <w:lang w:val="en-US" w:eastAsia="zh-CN"/>
          <w14:textFill>
            <w14:solidFill>
              <w14:schemeClr w14:val="tx1">
                <w14:lumMod w14:val="95000"/>
                <w14:lumOff w14:val="5000"/>
              </w14:schemeClr>
            </w14:solidFill>
          </w14:textFill>
        </w:rPr>
        <w:t>306</w:t>
      </w: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二〇二六年八月</w:t>
      </w:r>
    </w:p>
    <w:p>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pPr>
        <w:spacing w:line="600" w:lineRule="auto"/>
        <w:jc w:val="center"/>
        <w:rPr>
          <w:rFonts w:hint="eastAsia" w:ascii="楷体_GB2312" w:hAnsi="楷体_GB2312" w:eastAsia="楷体_GB2312" w:cs="楷体_GB2312"/>
          <w:color w:val="000000"/>
          <w:sz w:val="40"/>
          <w:szCs w:val="40"/>
        </w:rPr>
      </w:pPr>
    </w:p>
    <w:p>
      <w:pPr>
        <w:rPr>
          <w:rFonts w:hint="eastAsia" w:ascii="黑体" w:hAnsi="黑体" w:eastAsia="黑体" w:cs="黑体"/>
          <w:b/>
          <w:bCs/>
          <w:sz w:val="32"/>
          <w:szCs w:val="36"/>
          <w:highlight w:val="yellow"/>
        </w:rPr>
      </w:pP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方正小标宋_GBK"/>
          <w:b w:val="0"/>
          <w:sz w:val="72"/>
          <w:szCs w:val="72"/>
        </w:rPr>
        <w:t>石家庄高新技术产业开发区科学技术局</w:t>
      </w:r>
    </w:p>
    <w:p>
      <w:pPr>
        <w:widowControl/>
        <w:spacing w:before="0" w:beforeLines="0" w:beforeAutospacing="0" w:after="0" w:afterLines="0" w:afterAutospacing="0" w:line="360" w:lineRule="auto"/>
        <w:jc w:val="center"/>
        <w:rPr>
          <w:rFonts w:ascii="Times New Roman" w:eastAsia="方正小标宋_GBK"/>
          <w:sz w:val="72"/>
          <w:szCs w:val="72"/>
        </w:rPr>
      </w:pPr>
      <w:r>
        <w:rPr>
          <w:rFonts w:ascii="Times New Roman" w:eastAsia="仿宋_GB2312"/>
          <w:b w:val="0"/>
          <w:sz w:val="72"/>
          <w:szCs w:val="72"/>
        </w:rPr>
        <w:t>2025</w:t>
      </w:r>
      <w:r>
        <w:rPr>
          <w:rFonts w:ascii="Times New Roman" w:eastAsia="方正小标宋_GBK"/>
          <w:b w:val="0"/>
          <w:sz w:val="72"/>
          <w:szCs w:val="72"/>
        </w:rPr>
        <w:t>年度部门决算公开文本</w:t>
      </w:r>
    </w:p>
    <w:p>
      <w:pPr>
        <w:spacing w:line="360" w:lineRule="auto"/>
        <w:jc w:val="center"/>
        <w:rPr>
          <w:rFonts w:ascii="黑体" w:hAnsi="黑体" w:eastAsia="黑体" w:cs="黑体"/>
          <w:sz w:val="56"/>
          <w:szCs w:val="72"/>
        </w:rPr>
      </w:pPr>
    </w:p>
    <w:p>
      <w:pPr>
        <w:spacing w:line="480" w:lineRule="auto"/>
        <w:jc w:val="both"/>
        <w:rPr>
          <w:rFonts w:ascii="黑体" w:hAnsi="黑体" w:eastAsia="黑体" w:cs="黑体"/>
          <w:sz w:val="56"/>
          <w:szCs w:val="72"/>
        </w:rPr>
      </w:pPr>
    </w:p>
    <w:p>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石家庄高新技术产业开发区科学技术局</w:t>
      </w:r>
    </w:p>
    <w:p>
      <w:pPr>
        <w:widowControl/>
        <w:spacing w:before="0" w:beforeLines="0" w:beforeAutospacing="0" w:after="0" w:afterLines="0" w:afterAutospacing="0" w:line="240" w:lineRule="auto"/>
        <w:jc w:val="center"/>
        <w:rPr>
          <w:rFonts w:ascii="Times New Roman" w:eastAsia="楷体_GB2312"/>
          <w:sz w:val="44"/>
          <w:szCs w:val="44"/>
        </w:rPr>
      </w:pPr>
      <w:r>
        <w:rPr>
          <w:rFonts w:ascii="Times New Roman" w:eastAsia="楷体_GB2312"/>
          <w:b w:val="0"/>
          <w:sz w:val="44"/>
          <w:szCs w:val="44"/>
        </w:rPr>
        <w:t>(加盖公章）</w:t>
      </w:r>
    </w:p>
    <w:p>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二〇二六年八月</w:t>
      </w:r>
    </w:p>
    <w:p>
      <w:pPr>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br w:type="page"/>
      </w:r>
    </w:p>
    <w:p>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4" w:type="default"/>
          <w:pgSz w:w="11906" w:h="16838"/>
          <w:pgMar w:top="1531" w:right="1984" w:bottom="1531" w:left="2098"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第一部分部门概况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一、部门职责</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 2025年度部门决算报表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 2025年度部门决算情况说明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九、关于2025年度绩效评价情况的说明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 名词解释</w:t>
      </w:r>
    </w:p>
    <w:p>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第一部分部门概况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eastAsia" w:ascii="黑体" w:hAnsi="宋体" w:eastAsia="黑体" w:cs="黑体"/>
          <w:i w:val="0"/>
          <w:iCs w:val="0"/>
          <w:caps w:val="0"/>
          <w:color w:val="000000"/>
          <w:spacing w:val="0"/>
          <w:sz w:val="32"/>
          <w:szCs w:val="32"/>
          <w:highlight w:val="none"/>
          <w:shd w:val="clear" w:fill="FFFFFF"/>
          <w:lang w:val="en-US" w:eastAsia="zh-CN"/>
        </w:r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一、部门职责</w:t>
      </w:r>
    </w:p>
    <w:p>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根据《石家庄高新技术产业开发区科学技术局职能配置、内设机构和人员编制规定》，石家庄高新技术产业开发区科学技术局的主要职责：</w:t>
      </w:r>
    </w:p>
    <w:p>
      <w:pPr>
        <w:widowControl/>
        <w:numPr>
          <w:ilvl w:val="0"/>
          <w:numId w:val="2"/>
        </w:numPr>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 xml:space="preserve">贯彻落实国家、省、市科技工作方针政策，研究制订并组织实施全区科技发展战略、政策和措施，完善区域科技创新体系，增强全区科技创新能力。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负责高新技术企业的组织申报和科技型中小企业的认定工作;负责对国家、省、市科技发展计划的组织、申报、项目验收及管理工作。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研究制订并组织实施全区高新技术产业发展规划，组织实施并管理全区科技支撑、成果转化等各类科技发展计划;负责管理和使用区科学技术费用及各类专项科技费用，协同财政部门加强对科技创新工作的支持。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研究制订并组织实施全区众创空间、科技企业化器、加速器发展规划，制订相关政策和措施，负责全区众创空间、科技企业孵化器、加速器认定、管理、考核工作。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研究制订并组织实施全区科技服务业发展规划，制订相关政策和措施，负责引进和培育研发、技术转移、中介、咨询等各类科技服务机构;负责技术市场工作。</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负责全区科技成果、科技奖励、产学研合作工作;负责组建产业技术联盟等创新组织。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负责科技金融创新工作。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负责科协工作。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负责对外科技合作与交流工作，负责外国专家管理工作。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会同统计部门负责科技统计工作。  </w:t>
      </w:r>
    </w:p>
    <w:p>
      <w:pPr>
        <w:widowControl/>
        <w:numPr>
          <w:ilvl w:val="0"/>
          <w:numId w:val="2"/>
        </w:numPr>
        <w:spacing w:before="0" w:beforeLines="0" w:beforeAutospacing="0" w:after="0" w:afterLines="0" w:afterAutospacing="0" w:line="360" w:lineRule="auto"/>
        <w:ind w:left="0" w:leftChars="0" w:firstLine="640" w:firstLineChars="200"/>
        <w:jc w:val="left"/>
        <w:rPr>
          <w:rFonts w:ascii="Times New Roman" w:eastAsia="仿宋_GB2312"/>
          <w:b w:val="0"/>
          <w:sz w:val="32"/>
          <w:szCs w:val="32"/>
        </w:rPr>
      </w:pPr>
      <w:r>
        <w:rPr>
          <w:rFonts w:ascii="Times New Roman" w:eastAsia="仿宋_GB2312"/>
          <w:b w:val="0"/>
          <w:sz w:val="32"/>
          <w:szCs w:val="32"/>
        </w:rPr>
        <w:t xml:space="preserve">贯彻挑行国家、省、市有关金融工作的法律、法规和政策依职权牵头开展全区地方金融监督管理工作;牵头全区金融突发事件应急机制建设，协调配合有关部门依法做好非法金融案件的调查处理、善后处置和金融稳定工作。协调有关部门依法做好防范和处置非法集资以及社会稳定工作。  </w:t>
      </w:r>
    </w:p>
    <w:p>
      <w:pPr>
        <w:widowControl/>
        <w:numPr>
          <w:ilvl w:val="0"/>
          <w:numId w:val="0"/>
        </w:numPr>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（十二） 完成工委、管委会和上级部门交办的其他任务。</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从决算编报单位构成看，纳入2025年度本部门决算汇编范围的独立核算单位（以下简称“单位”）共</w:t>
      </w:r>
      <w:r>
        <w:rPr>
          <w:rFonts w:hint="eastAsia" w:ascii="Times New Roman" w:eastAsia="仿宋_GB2312"/>
          <w:b w:val="0"/>
          <w:sz w:val="32"/>
          <w:szCs w:val="32"/>
          <w:lang w:val="en-US" w:eastAsia="zh-CN"/>
        </w:rPr>
        <w:t>1</w:t>
      </w:r>
      <w:r>
        <w:rPr>
          <w:rFonts w:ascii="Times New Roman" w:eastAsia="仿宋_GB2312"/>
          <w:b w:val="0"/>
          <w:sz w:val="32"/>
          <w:szCs w:val="32"/>
        </w:rPr>
        <w:t>个，具体情况如下：</w:t>
      </w:r>
    </w:p>
    <w:p>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p>
    <w:p>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p>
    <w:tbl>
      <w:tblPr>
        <w:tblStyle w:val="11"/>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石家庄高新技术产业开发区科学技术局</w:t>
            </w:r>
          </w:p>
        </w:tc>
        <w:tc>
          <w:tcPr>
            <w:tcW w:w="2445" w:type="dxa"/>
          </w:tcPr>
          <w:p>
            <w:pPr>
              <w:spacing w:line="560" w:lineRule="exact"/>
              <w:jc w:val="center"/>
              <w:rPr>
                <w:rFonts w:ascii="仿宋_GB2312" w:hAnsi="Calibri" w:eastAsia="仿宋_GB2312" w:cs="ArialUnicodeMS"/>
                <w:kern w:val="0"/>
                <w:sz w:val="28"/>
                <w:szCs w:val="28"/>
              </w:rPr>
            </w:pPr>
          </w:p>
        </w:tc>
        <w:tc>
          <w:tcPr>
            <w:tcW w:w="2665" w:type="dxa"/>
          </w:tcPr>
          <w:p>
            <w:pPr>
              <w:spacing w:line="560" w:lineRule="exact"/>
              <w:jc w:val="center"/>
              <w:rPr>
                <w:rFonts w:ascii="仿宋_GB2312" w:hAnsi="Calibri" w:eastAsia="仿宋_GB2312" w:cs="ArialUnicodeMS"/>
                <w:kern w:val="0"/>
                <w:sz w:val="28"/>
                <w:szCs w:val="28"/>
              </w:rPr>
            </w:pPr>
          </w:p>
        </w:tc>
      </w:tr>
    </w:tbl>
    <w:p>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hint="eastAsia" w:ascii="Times New Roman" w:eastAsia="仿宋_GB2312"/>
          <w:b w:val="0"/>
          <w:sz w:val="32"/>
          <w:szCs w:val="32"/>
          <w:lang w:val="en-US" w:eastAsia="zh-CN"/>
        </w:rPr>
        <w:t>我部门无二级预算单位，因此石家庄高新技术产业开发区科学技术局2025年度部门决算即石家庄高新技术产业开发区科学技术局本级2025年度决算。</w:t>
      </w:r>
    </w:p>
    <w:p>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p>
    <w:p>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p>
    <w:p>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ascii="Times New Roman" w:eastAsia="仿宋_GB2312"/>
          <w:b w:val="0"/>
          <w:sz w:val="44"/>
          <w:szCs w:val="44"/>
        </w:rPr>
        <w:t>2025</w:t>
      </w:r>
      <w:r>
        <w:rPr>
          <w:rFonts w:ascii="Times New Roman" w:eastAsia="黑体"/>
          <w:b w:val="0"/>
          <w:sz w:val="44"/>
          <w:szCs w:val="44"/>
        </w:rPr>
        <w:t>年度部门决算表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color w:val="000000"/>
          <w:spacing w:val="0"/>
          <w:sz w:val="72"/>
          <w:szCs w:val="72"/>
          <w:highlight w:val="none"/>
          <w:shd w:val="clear" w:fill="FFFFFF"/>
          <w:lang w:val="en-US" w:eastAsia="zh-CN"/>
        </w:rPr>
      </w:pPr>
    </w:p>
    <w:p>
      <w:pPr>
        <w:bidi w:val="0"/>
        <w:rPr>
          <w:rFonts w:hint="default"/>
          <w:lang w:val="en-US" w:eastAsia="zh-CN"/>
        </w:rPr>
      </w:pPr>
    </w:p>
    <w:p>
      <w:pPr>
        <w:bidi w:val="0"/>
        <w:rPr>
          <w:rFonts w:hint="default"/>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154"/>
        <w:gridCol w:w="1791"/>
        <w:gridCol w:w="1300"/>
        <w:gridCol w:w="675"/>
        <w:gridCol w:w="2124"/>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000000" w:themeColor="text1" w:sz="8" w:space="0"/>
              <w:right w:val="nil"/>
            </w:tcBorders>
            <w:noWrap/>
            <w:vAlign w:val="bottom"/>
          </w:tcPr>
          <w:p>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部门（单位）：石家庄高新技术产业开发区科学技术局</w:t>
            </w:r>
          </w:p>
        </w:tc>
        <w:tc>
          <w:tcPr>
            <w:tcW w:w="1262" w:type="pct"/>
            <w:gridSpan w:val="2"/>
            <w:tcBorders>
              <w:top w:val="nil"/>
              <w:left w:val="nil"/>
              <w:bottom w:val="single" w:color="000000" w:themeColor="text1" w:sz="8" w:space="0"/>
              <w:right w:val="nil"/>
            </w:tcBorders>
            <w:noWrap/>
            <w:vAlign w:val="bottom"/>
          </w:tcPr>
          <w:p>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000000" w:themeColor="text1" w:sz="8" w:space="0"/>
              <w:right w:val="nil"/>
            </w:tcBorders>
            <w:noWrap/>
            <w:vAlign w:val="bottom"/>
          </w:tcPr>
          <w:p>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45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525"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10,645.66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681"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78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90"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39"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75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132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91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themeColor="text1" w:sz="8" w:space="0"/>
              <w:right w:val="nil"/>
            </w:tcBorders>
            <w:noWrap/>
            <w:vAlign w:val="bottom"/>
          </w:tcPr>
          <w:p>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部门（单位）：石家庄高新技术产业开发区科学技术局                                                                                                         </w:t>
            </w:r>
          </w:p>
        </w:tc>
        <w:tc>
          <w:tcPr>
            <w:tcW w:w="3405" w:type="dxa"/>
            <w:gridSpan w:val="4"/>
            <w:tcBorders>
              <w:top w:val="nil"/>
              <w:left w:val="nil"/>
              <w:bottom w:val="single" w:color="000000" w:themeColor="text1" w:sz="8" w:space="0"/>
              <w:right w:val="nil"/>
            </w:tcBorders>
            <w:noWrap/>
            <w:vAlign w:val="bottom"/>
          </w:tcPr>
          <w:p>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000000" w:themeColor="text1" w:sz="8" w:space="0"/>
              <w:right w:val="nil"/>
            </w:tcBorders>
            <w:noWrap/>
            <w:vAlign w:val="bottom"/>
          </w:tcPr>
          <w:p>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10,717.20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10,717.20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科学技术支出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10,645.66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10,645.66</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科学技术管理事务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610.43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610.43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610.43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610.43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基础研究</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775.22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775.22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科技人才队伍建设</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775.22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775.22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20604</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技术研究与开发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231.79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231.79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2060404</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科技成果转化与扩散</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231.79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231.79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科技条件与服务</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2,496.12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2,496.12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2060502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技术创新服务体系</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2,375.13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2,375.13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2060503</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科技条件专项</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120.99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120.99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科技交流与合作</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659.30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659.30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2060801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国际交流与合作</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659.30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659.30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科技重大项目</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2060901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科技重大专项</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2060902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重点研发计划</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2060999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其他科技重大项目</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1,100.00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其他科学技术支出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3,872.79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3,872.79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2069901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科技奖励</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240.00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2069999</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其他科学技术支出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3,632.79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3,632.79</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30.22</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行政单位离退休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15.07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15.07</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15.15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15.15</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8.10</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160"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33.23</w:t>
            </w:r>
          </w:p>
        </w:tc>
        <w:tc>
          <w:tcPr>
            <w:tcW w:w="103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部门（单位）：石家庄高新技术产业开发区科学技术局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40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681.97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10,035.23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10,645.66</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10,035.23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科学技术管理事务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基础研究</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2060208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科技人才队伍建设</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20604</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技术研究与开发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2060404</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科技成果转化与扩散</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科技条件与服务</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2,496.12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2,496.12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技术创新服务体系</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2,375.13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2,375.13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2060503</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科技条件专项</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120.99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120.99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科技交流与合作</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2060801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国际交流与合作</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科技重大项目</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科技重大专项</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重点研发计划</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2060999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其他科技重大项目</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1,100.00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3,872.79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3,872.79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科技奖励</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240.00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2069999</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3,632.79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3,632.79</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15.07</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15.07</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15.15</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15.15</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6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60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themeColor="text1" w:sz="8"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部门（单位）：石家庄高新技术产业开发区科学技术局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000000" w:themeColor="text1" w:sz="8" w:space="0"/>
              <w:right w:val="nil"/>
            </w:tcBorders>
            <w:noWrap/>
            <w:vAlign w:val="bottom"/>
          </w:tcPr>
          <w:p>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000000" w:themeColor="text1" w:sz="8" w:space="0"/>
              <w:right w:val="nil"/>
            </w:tcBorders>
            <w:noWrap/>
            <w:vAlign w:val="bottom"/>
          </w:tcPr>
          <w:p>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10,645.66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10,645.66</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30.22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30.22</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8.10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8.10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33.23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33.23</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both"/>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895"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cs="Times New Roman"/>
                <w:sz w:val="20"/>
                <w:szCs w:val="20"/>
                <w:highlight w:val="none"/>
              </w:rPr>
            </w:pPr>
          </w:p>
          <w:p>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10,717.20</w:t>
            </w:r>
          </w:p>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0"/>
        <w:gridCol w:w="3262"/>
        <w:gridCol w:w="1044"/>
        <w:gridCol w:w="503"/>
        <w:gridCol w:w="526"/>
        <w:gridCol w:w="363"/>
        <w:gridCol w:w="11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部门（单位）：石家庄高新技术产业开发区科学技术局</w:t>
            </w:r>
          </w:p>
        </w:tc>
        <w:tc>
          <w:tcPr>
            <w:tcW w:w="1541" w:type="pct"/>
            <w:gridSpan w:val="2"/>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w:t>
            </w:r>
            <w:r>
              <w:rPr>
                <w:rFonts w:hint="eastAsia" w:ascii="Times New Roman" w:hAnsi="Times New Roman"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0" w:type="pct"/>
            <w:gridSpan w:val="2"/>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38" w:type="pct"/>
            <w:gridSpan w:val="5"/>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5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8" w:type="pct"/>
            <w:vMerge w:val="restart"/>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5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0"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8" w:type="pct"/>
            <w:vMerge w:val="continue"/>
            <w:tcBorders>
              <w:top w:val="single" w:color="000000" w:themeColor="text1" w:sz="8" w:space="0"/>
              <w:left w:val="single" w:color="000000" w:themeColor="text1" w:sz="8" w:space="0"/>
              <w:bottom w:val="single" w:color="000000" w:themeColor="text1" w:sz="8" w:space="0"/>
              <w:right w:val="single" w:color="auto" w:sz="8"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themeColor="text1" w:sz="8" w:space="0"/>
              <w:left w:val="single" w:color="auto"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10,717.20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681.97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10,035.23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10,645.66</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10,035.23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科学技术管理事务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610.43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基础研究</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科技人才队伍建设</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775.22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20604</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技术研究与开发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2060404</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科技成果转化与扩散</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科技条件与服务</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2,496.12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2,496.12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技术创新服务体系</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2,375.13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2,375.13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2060503</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科技条件专项</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120.99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科技交流与合作</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2060801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国际交流与合作</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659.30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科技重大项目</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科技重大专项</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600.00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重点研发计划</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2060999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其他科技重大项目</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1,100.00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3,872.79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3,872.79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科技奖励</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240.00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2069999</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其他科学技术支出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3,632.79</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3,632.79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30.22</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15.07</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15.07</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15.15</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15.15</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themeColor="text1" w:sz="8" w:space="0"/>
              <w:left w:val="single" w:color="auto"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75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160"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33.23</w:t>
            </w:r>
          </w:p>
        </w:tc>
        <w:tc>
          <w:tcPr>
            <w:tcW w:w="1218" w:type="pct"/>
            <w:tcBorders>
              <w:top w:val="single" w:color="000000" w:themeColor="text1" w:sz="8" w:space="0"/>
              <w:left w:val="single" w:color="000000" w:themeColor="text1" w:sz="8" w:space="0"/>
              <w:bottom w:val="single" w:color="000000" w:themeColor="text1" w:sz="8" w:space="0"/>
              <w:right w:val="single" w:color="auto"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公开</w:t>
            </w:r>
            <w:r>
              <w:rPr>
                <w:rFonts w:hint="default" w:ascii="Times New Roman" w:hAnsi="Times New Roman" w:eastAsia="方正仿宋_GB2312" w:cs="Times New Roman"/>
                <w:i w:val="0"/>
                <w:iCs w:val="0"/>
                <w:color w:val="000000"/>
                <w:kern w:val="0"/>
                <w:sz w:val="18"/>
                <w:szCs w:val="18"/>
                <w:u w:val="none"/>
                <w:lang w:val="en-US" w:eastAsia="zh-CN" w:bidi="ar"/>
              </w:rPr>
              <w:t>06</w:t>
            </w:r>
            <w:r>
              <w:rPr>
                <w:rStyle w:val="25"/>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15" w:type="dxa"/>
            <w:gridSpan w:val="6"/>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部门（单位）：石家庄高新技术产业开发区科学技术局 </w:t>
            </w:r>
            <w:r>
              <w:rPr>
                <w:rFonts w:hint="eastAsia" w:ascii="宋体" w:hAnsi="宋体" w:eastAsia="宋体" w:cs="宋体"/>
                <w:i w:val="0"/>
                <w:iCs w:val="0"/>
                <w:color w:val="000000"/>
                <w:kern w:val="0"/>
                <w:sz w:val="18"/>
                <w:szCs w:val="18"/>
                <w:u w:val="none"/>
                <w:lang w:val="en-US" w:eastAsia="zh-CN" w:bidi="ar"/>
              </w:rPr>
              <w:t xml:space="preserve">                                                                   </w:t>
            </w:r>
          </w:p>
        </w:tc>
        <w:tc>
          <w:tcPr>
            <w:tcW w:w="1774" w:type="dxa"/>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center"/>
              <w:textAlignment w:val="bottom"/>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2025</w:t>
            </w:r>
            <w:r>
              <w:rPr>
                <w:rStyle w:val="25"/>
                <w:lang w:val="en-US" w:eastAsia="zh-CN" w:bidi="ar"/>
              </w:rPr>
              <w:t>年度</w:t>
            </w:r>
          </w:p>
        </w:tc>
        <w:tc>
          <w:tcPr>
            <w:tcW w:w="4212" w:type="dxa"/>
            <w:gridSpan w:val="3"/>
            <w:tcBorders>
              <w:top w:val="nil"/>
              <w:left w:val="nil"/>
              <w:bottom w:val="single" w:color="000000" w:sz="8" w:space="0"/>
              <w:right w:val="nil"/>
            </w:tcBorders>
            <w:shd w:val="clear" w:color="auto" w:fill="auto"/>
            <w:noWrap/>
            <w:vAlign w:val="bottom"/>
          </w:tcPr>
          <w:p>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527.06</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139.84</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基本工资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108.40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8.64</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津贴补贴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11.22</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奖金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349.20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伙食补助费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绩效工资</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15.15</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5.43</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8.10</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1.76</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33.23</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5"/>
                <w:lang w:val="en-US" w:eastAsia="zh-CN" w:bidi="ar"/>
              </w:rPr>
              <w:t>租赁费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115.49</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1774"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0.77</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7.38</w:t>
            </w: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165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1332"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933"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0.25</w:t>
            </w:r>
          </w:p>
        </w:tc>
        <w:tc>
          <w:tcPr>
            <w:tcW w:w="666" w:type="dxa"/>
            <w:tcBorders>
              <w:top w:val="nil"/>
              <w:left w:val="nil"/>
              <w:bottom w:val="single" w:color="000000" w:sz="8" w:space="0"/>
              <w:right w:val="single" w:color="000000" w:sz="8" w:space="0"/>
            </w:tcBorders>
            <w:shd w:val="clear" w:color="auto" w:fill="auto"/>
            <w:noWrap/>
            <w:vAlign w:val="center"/>
          </w:tcPr>
          <w:p>
            <w:pPr>
              <w:snapToGrid w:val="0"/>
              <w:jc w:val="center"/>
              <w:rPr>
                <w:rFonts w:hint="default"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pPr>
              <w:snapToGrid w:val="0"/>
              <w:jc w:val="right"/>
              <w:rPr>
                <w:rFonts w:hint="default" w:ascii="Times New Roman" w:hAnsi="Times New Roman" w:eastAsia="宋体" w:cs="Times New Roman"/>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542.13</w:t>
            </w:r>
          </w:p>
        </w:tc>
        <w:tc>
          <w:tcPr>
            <w:tcW w:w="5811" w:type="dxa"/>
            <w:gridSpan w:val="6"/>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601" w:type="dxa"/>
            <w:gridSpan w:val="10"/>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bidi="ar"/>
              </w:rPr>
              <w:t>注：本表反映部门本年度一般公共预算财政拨款基本支出明细情况。</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部门（单位）：石家庄高新技术产业开发区科学技术局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34"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73"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注：本表反映部门本年度政府性基金预算财政拨款收入、支出及结转和结余情况。（如无相关数据，则需注明空表列示）</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themeColor="text1" w:sz="8" w:space="0"/>
              <w:right w:val="nil"/>
            </w:tcBorders>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部门（单位）：石家庄高新技术产业开发区科学技术局</w:t>
            </w:r>
          </w:p>
        </w:tc>
        <w:tc>
          <w:tcPr>
            <w:tcW w:w="1421" w:type="pct"/>
            <w:gridSpan w:val="4"/>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w:t>
            </w:r>
            <w:r>
              <w:rPr>
                <w:rFonts w:hint="eastAsia"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03" w:type="pct"/>
            <w:gridSpan w:val="3"/>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337" w:type="pct"/>
            <w:gridSpan w:val="6"/>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337" w:type="pct"/>
            <w:gridSpan w:val="6"/>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74"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9" w:type="pct"/>
            <w:gridSpan w:val="3"/>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19" w:type="pct"/>
            <w:vMerge w:val="continue"/>
            <w:tcBorders>
              <w:top w:val="single" w:color="000000" w:themeColor="text1" w:sz="8" w:space="0"/>
              <w:left w:val="single" w:color="000000" w:themeColor="text1" w:sz="8" w:space="0"/>
              <w:bottom w:val="single" w:color="000000" w:themeColor="text1" w:sz="8"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0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24" w:type="pct"/>
            <w:gridSpan w:val="2"/>
            <w:tcBorders>
              <w:top w:val="single" w:color="000000" w:themeColor="text1" w:sz="8" w:space="0"/>
              <w:left w:val="single" w:color="000000" w:themeColor="text1" w:sz="8" w:space="0"/>
              <w:bottom w:val="single" w:color="000000" w:themeColor="text1" w:sz="8"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注：本表反映部门本年度国有资本经营预算财政拨款支出情况。（如无相关数据，则需注明空表列示）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themeColor="text1" w:sz="8"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部门（单位）：石家庄高新技术产业开发区科学技术局</w:t>
            </w:r>
          </w:p>
        </w:tc>
        <w:tc>
          <w:tcPr>
            <w:tcW w:w="933" w:type="pct"/>
            <w:gridSpan w:val="3"/>
            <w:tcBorders>
              <w:top w:val="nil"/>
              <w:left w:val="nil"/>
              <w:bottom w:val="single" w:color="000000" w:themeColor="text1" w:sz="8"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w:t>
            </w:r>
            <w:r>
              <w:rPr>
                <w:rFonts w:hint="eastAsia" w:ascii="Times New Roman" w:hAnsi="Times New Roman" w:eastAsia="宋体" w:cs="Times New Roman"/>
                <w:i w:val="0"/>
                <w:iCs w:val="0"/>
                <w:color w:val="000000"/>
                <w:kern w:val="0"/>
                <w:sz w:val="18"/>
                <w:szCs w:val="18"/>
                <w:highlight w:val="none"/>
                <w:u w:val="none"/>
                <w:lang w:val="en-US" w:eastAsia="zh-CN" w:bidi="ar"/>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000000" w:themeColor="text1" w:sz="8"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2.48</w:t>
            </w:r>
          </w:p>
        </w:tc>
        <w:tc>
          <w:tcPr>
            <w:tcW w:w="52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2.48</w:t>
            </w:r>
          </w:p>
        </w:tc>
        <w:tc>
          <w:tcPr>
            <w:tcW w:w="350"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3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66" w:type="pct"/>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2.48</w:t>
            </w:r>
          </w:p>
        </w:tc>
        <w:tc>
          <w:tcPr>
            <w:tcW w:w="488"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2.48</w:t>
            </w:r>
          </w:p>
        </w:tc>
        <w:tc>
          <w:tcPr>
            <w:tcW w:w="275"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42"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11" w:type="pct"/>
            <w:tcBorders>
              <w:top w:val="single" w:color="000000" w:themeColor="text1" w:sz="8" w:space="0"/>
              <w:left w:val="single" w:color="000000" w:themeColor="text1" w:sz="8" w:space="0"/>
              <w:bottom w:val="single" w:color="000000" w:themeColor="text1" w:sz="8" w:space="0"/>
              <w:right w:val="single" w:color="000000" w:themeColor="text1" w:sz="8"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themeColor="text1" w:sz="8"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color w:val="000000"/>
          <w:spacing w:val="-20"/>
          <w:sz w:val="72"/>
          <w:szCs w:val="72"/>
          <w:highlight w:val="none"/>
          <w:shd w:val="clear" w:fill="FFFFFF"/>
          <w:lang w:val="en-US" w:eastAsia="zh-CN"/>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第三部分</w:t>
      </w:r>
      <w:r>
        <w:rPr>
          <w:rFonts w:ascii="Times New Roman" w:eastAsia="仿宋_GB2312"/>
          <w:b w:val="0"/>
          <w:sz w:val="44"/>
          <w:szCs w:val="44"/>
        </w:rPr>
        <w:t>2025</w:t>
      </w:r>
      <w:r>
        <w:rPr>
          <w:rFonts w:ascii="Times New Roman" w:eastAsia="黑体"/>
          <w:b w:val="0"/>
          <w:sz w:val="44"/>
          <w:szCs w:val="44"/>
        </w:rPr>
        <w:t>年度部门决算情况说明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pP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本部门2025年度收、支总计（含结转和结余）均为10,717.20万元。与2024年度决算相比，收支各减少9,901.45万元，下降48.0%，主要原因是2025年度上级资金减少。</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本年收入合计10,717.20万元，其中：财政拨款收入10,717.20万元，占100.0%；上级补助收入0.00万元，占0.0%；事业收入0.00万元，占0.0%；经营收入0.00万元，占0.0%；附属单位上缴收入0.00万元，占0.0%；其他收入0.00万元，占0.0%。</w:t>
      </w:r>
    </w:p>
    <w:p>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0288" behindDoc="0" locked="0" layoutInCell="1" allowOverlap="1">
            <wp:simplePos x="0" y="0"/>
            <wp:positionH relativeFrom="column">
              <wp:posOffset>-16510</wp:posOffset>
            </wp:positionH>
            <wp:positionV relativeFrom="paragraph">
              <wp:posOffset>201930</wp:posOffset>
            </wp:positionV>
            <wp:extent cx="5797550" cy="3245485"/>
            <wp:effectExtent l="5080" t="4445" r="19050" b="11430"/>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本部门2025年度本年支出合计10,717.20万元，其中：基本支出681.97万元，占6.4%；项目支出10,035.23万元，占93.6%；经营支出0.00万元，占0.0%；上缴上级支出0.00万元，占0.0%；对附属单位补助支出0.00万元，占0.0%。</w:t>
      </w:r>
    </w:p>
    <w:p>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456555" cy="3017520"/>
            <wp:effectExtent l="4445" t="4445" r="10160"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ascii="Times New Roman" w:eastAsia="仿宋_GB2312"/>
          <w:b/>
          <w:sz w:val="32"/>
          <w:szCs w:val="32"/>
        </w:rPr>
        <w:t>2024</w:t>
      </w:r>
      <w:r>
        <w:rPr>
          <w:rFonts w:ascii="Times New Roman" w:eastAsia="楷体_GB2312"/>
          <w:b/>
          <w:sz w:val="32"/>
          <w:szCs w:val="32"/>
        </w:rPr>
        <w:t>年度决算对比情况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本部门2025年度财政拨款收、支总计（含结转和结余）均为10,717.20万元。与2024年度相比，财政拨款收支各减少9,901.45万元，降低48.0%，主要原因是2025年度上级资金减少。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本年收入10,717.20万元,比上年减少9,901.45万元，降低48.0%，主要原因是2025年度上级资金减少，收入减少；本年支出10,717.20万元，比上年减少9,901.45万元，降低48.0%，主要原因是2025年度上级资金减少，支出减少。具体情况如下：</w:t>
      </w:r>
    </w:p>
    <w:p>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10,717.20万元,比上年减少9,901.45万元，降低48.0%，主要原因是2025年度上级资金减少，收入减少；本年支出10,717.20万元，比上年减少9,901.45万元，降低48.0%，主要原因是2025年度上级资金减少，支出减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0.00万元，比上年增加0.00万元，增长0.00%，主要原因是我单位无政府性基金预算财政拨款；本年支出0.00万元，比上年增加0.00万元，增长0.00%，主要原因是我单位无政府性基金预算财政拨款。</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0.00万元，比上年增加0.00万元，增长0.00%，主要原因是我单位无国有资本经营预算财政拨款；本年支出0.00万元，比上年增加0.00万元，增长0.00%，主要原因是我单位无国有资本经营预算财政拨款。</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4445" t="4445" r="6350"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财政拨款本年收入10,717.20万元，完成年初预算的310.9%，比年初预算增加7,270.43万元，决算数大于预算数主要原因是年初预算数不包含2025年度上级资金；本年支出10,717.20万元，完成年初预算的310.9%，比年初预算增加7,270.43万元，决算数大于预算数主要原因是年初预算数不包含2025年度上级资金。具体情况如下：</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310.9%，比年初预算增加7,270.43万元，主要原因是年初预算数不包含2025年度上级资金；支出完成年初预算的310.9%，比年初预算增加7,270.43万元，主要原因是年初预算数不包含2025年度上级资金。</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0.0%，比年初预算增加0.00万元，主要原因是我单位无政府性基金预算财政拨款；支出完成年初预算的0.0%，比年初预算增加0.00万元，主要原因是我单位无政府性基金预算财政拨款。</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3. 国有资本经营预算财政拨款本年收入完成年初预算的0.0%，比年初预算增加0.00万元，主要原因是我单位无国有资本经营预算财政拨款；支出完成年初预算的0.0%，比年初预算增加0.00万元，主要原因是我单位无国有资本经营预算财政拨款。</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2025年度财政拨款支出10,717.20万元，主要用于以下方面：</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一般公共预算财政拨款支出：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类）支出0.00万元，占0.0%，主要用于等支出；教育（类）支出0.00万元，占0.0%，主要用于等支出；科学技术（类）支出10,645.66万元，占99.3%，主要用于科学技术管理事务、基础研究、技术研究与开发、科技条件与服务、科技重大项目等支出；文化旅游体育与传媒（类）支出0.00万元，占0.0%，主要用于等支出；社会保障和就业 （类）支出30.22万元，占0.3%，主要用于行政事业单位养老保险等支出；卫生健康（类）支出8.10万元，占0.1%，主要用于行政事业单位医疗保险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33.23万元，占0.3%，主要用于行政事业单位住房公积金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政府性基金预算财政拨款支出：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0.00%，主要用于等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国有资本经营预算财政拨款支出：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0.00万元，占0.0%，主要用于等支出；外交（类）支出0.00万元，占0.0%，主要用于等支出；国防（类）支出0.00万元，占0.0%，主要用于等支出；公共安全（类）支出0.00万元，占0.0%，主要用于等支出；教育（类）支出0.00万元，占0.0%，主要用于等支出；科学技术（类）支出0.00万元，占0.0%，主要用于等支出；文化旅游体育与传媒（类）支出0.00万元，占0.0%，主要用于等支出；社会保障和就业 （类）支出0.00万元，占0.0%，主要用于等支出；卫生健康（类）支出0.00万元，占0.0%，主要用于等支出；节能环保（类）支出0.00万元，占0.0%，主要用于等支出；城乡社区（类）支出0.00万元，占0.0%，主要用于等支出；农林水（类）支出0.00万元，占0.0%，主要用于等支出；交通运输（类）支出0.00万元，占0.0%，主要用于等支出；资源勘探信息等（类）支出0.00万元，占0.0%，主要用于等支出；商业服务业等（类）支出0.00万元，占0.0%，主要用于等支出；金融（类）支出0.00万元，占0.0%，主要用于等支出；援助其他地区（类）支出0.00万元，占0.0%，主要用于等支出；自然资源海洋气象等（类）支出0.00万元，占0.0%，主要用于等支出；住房保障（类）支出0.00万元，占0.0%，主要用于等支出；粮油物资储备（类）支出0.00万元，占0.0%，主要用于等支出；国有资本经营预算支出0.00万元，占0.0%，主要用于等支出；灾害防治及应急管理（类）支出0.00万元，占0.0%，主要用于等支出；其他（类）支出0.00万元，占0.0%，主要用于等支出；债务还本（类）支出0.00万元，占0.0%，主要用于等支出；债务付息（类）支出0.00万元，占0.0%，主要用于等支出；抗疫特别国债安排的支出0.00万元，占0.0%，主要用于等支出。</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（四）一般公共预算财政拨款基本支出决算情况说明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2025年度财政拨款基本支出681.97万元，其中：</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542.13万元，主要包括基本工资、津贴补贴、奖金、伙食补助费、绩效工资、机关事业部门基本养老保险缴费、职业年金缴费、职工基本医疗保险缴费、公务员医疗补助缴费、住房公积金、医疗费、其他社会保障缴费、其他工资福利支出、离休费、 退休费、 抚恤金、生活补助、医疗费补助、奖励金、其他对个人和家庭的补助支出。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公用经费139.84万元，主要包括办公费、印刷费、手续费、邮电费、差旅费、因公出国（境）费用、维修（护）费、租赁费、会议费、培训费、公务接待费、专用材料费、劳务费、委托业务费、工会经费、福利费、其他交通费用、税金及附加费用、其他商品和服务支出、办公设备购置、专用设备购置、信息网络及软件购置更新、公务用车购置、其他资本性支出。</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 经费支出决算情况说明</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三公”经费财政拨款支出预算为2.48万元，支出决算为2.48万元，完成预算的100.0%，较预算增加0.00万元，增长0.0%，主要原因是落实中央八项规定精神和厉行节约要求，管理制度不断完善；较2024年度决算增加2.48万元，增长100.00%，主要原因是2024年度无“三公”经费支出，2025年度增加了因公出国“境”费支出。</w:t>
      </w:r>
    </w:p>
    <w:p>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部门2025年度因公出国（境）费支出预算为2.48万元,支出决算2.48万元。完成预算的100.0%。因公出国（境）费支出较预算增加0.00万元，增长0.0%,主要原因是落实中央八项规定精神和厉行节约要求，管理制度不断完善；较上年增加2.48万元，增长100.00%,主要原因是2024年度无“三公”经费支出，2025年度增加了因公出国“境”费支出。</w:t>
      </w:r>
      <w:r>
        <w:rPr>
          <w:rFonts w:hint="eastAsia" w:ascii="Times New Roman" w:eastAsia="仿宋_GB2312"/>
          <w:b w:val="0"/>
          <w:sz w:val="32"/>
          <w:szCs w:val="32"/>
          <w:lang w:val="en-US" w:eastAsia="zh-CN"/>
        </w:rPr>
        <w:t>其中参加其他单位组织的</w:t>
      </w:r>
      <w:r>
        <w:rPr>
          <w:rFonts w:ascii="Times New Roman" w:eastAsia="仿宋_GB2312"/>
          <w:b w:val="0"/>
          <w:sz w:val="32"/>
          <w:szCs w:val="32"/>
        </w:rPr>
        <w:t>因公出国（境）团组1个、共1人。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部门2025年度公务用车购置及运行维护费预算为0.00万元，支出决算0.00万元，完成预算的0.0%,较预算增加0.00万元，增长0.0%,主要原因是无公务用车购置指标；较上年增加0.00万元，增长0.00%,主要原因是无公务用车购置指标。其中：</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部门2025年度公务用车购置量0辆，发生“公务用车购置”经费支出0.00万元。公务用车购置费支出较预算增加0.00万元，增长0.0%,主要原因是无公务用车购置指标；较上年增加0.00万元，增长0.00%,主要原因是无公务用车购置指标。</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公务用车运行维护费支出0.00万元：</w:t>
      </w:r>
      <w:r>
        <w:rPr>
          <w:rFonts w:ascii="Times New Roman" w:eastAsia="仿宋_GB2312"/>
          <w:b w:val="0"/>
          <w:sz w:val="32"/>
          <w:szCs w:val="32"/>
        </w:rPr>
        <w:t>本部门2025年度单位公务用车保有量0辆，发生运行维护费支出0.00万元。公车运行维护费支出较预算增加0.00万元，增长0.0%,主要原因是无公务用车；较上年增加0.00万元，增长0.00%，主要原因是无公务用车。</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部门2025年度公务接待费支出预算为0.00万元，支出决算0.00万元，完成预算的0.0%。公务接待费支出较预算增加0.00万元，增长0.0%,主要原因是无公务接待活动；较上年度增加0.00万元，增长0.00%,主要原因是无公务接待活动。本年度共发生公务接待0批次、0人次。</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本部门2025年度机关运行经费支出139.84万元，较2024年度增加4.41万元，增长3.3%。主要原因是日常公用经费</w:t>
      </w:r>
      <w:r>
        <w:rPr>
          <w:rFonts w:hint="eastAsia" w:ascii="Times New Roman" w:eastAsia="仿宋_GB2312"/>
          <w:b w:val="0"/>
          <w:sz w:val="32"/>
          <w:szCs w:val="32"/>
          <w:lang w:val="en-US" w:eastAsia="zh-CN"/>
        </w:rPr>
        <w:t>增加</w:t>
      </w:r>
      <w:r>
        <w:rPr>
          <w:rFonts w:ascii="Times New Roman" w:eastAsia="仿宋_GB2312"/>
          <w:b w:val="0"/>
          <w:sz w:val="32"/>
          <w:szCs w:val="32"/>
        </w:rPr>
        <w:t>。</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部门2025年度政府采购支出总额499.21万元，从采购类型来看，政府采购货物支出0.00万元、政府采购工程支出0.00万元、政府采购服务支出499.21万元。授予中小企业合同金额499.21万元，占政府采购支出总额的100.0%，其中授予小微企业合同金额499.21万元，占政府采购支出总额的100.0%。</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截至2025年12月31日，本部门共有车辆0辆，比上年增加0辆，主要是无公务用车。其中，副部（省）级及以上领导用车0辆，主要负责人用车0辆，机要通信用车0辆，应急保障用车0辆，执法执勤用车0辆，特种专业技术用车0辆，离退休干部用车0辆，其他用车0辆，其他用车主要是无公务用车。单位价值100万元（含）以上设备（不含车辆）0台（套）。</w:t>
      </w:r>
    </w:p>
    <w:p>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九、关于2025年度绩效评价情况的说明</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根据预算绩效管理要求，本部门组织对2025年度本级预算项目支出全面开展绩效自评，共涉及资金</w:t>
      </w:r>
      <w:r>
        <w:rPr>
          <w:rFonts w:hint="eastAsia" w:ascii="Times New Roman" w:eastAsia="仿宋_GB2312"/>
          <w:b w:val="0"/>
          <w:sz w:val="32"/>
          <w:szCs w:val="32"/>
          <w:lang w:val="en-US" w:eastAsia="zh-CN"/>
        </w:rPr>
        <w:t>10035.23</w:t>
      </w:r>
      <w:r>
        <w:rPr>
          <w:rFonts w:ascii="Times New Roman" w:eastAsia="仿宋_GB2312"/>
          <w:b w:val="0"/>
          <w:sz w:val="32"/>
          <w:szCs w:val="32"/>
        </w:rPr>
        <w:t>万元（决算金额）。其中，</w:t>
      </w:r>
      <w:r>
        <w:rPr>
          <w:rFonts w:ascii="Times New Roman" w:eastAsia="仿宋_GB2312"/>
          <w:b w:val="0"/>
          <w:color w:val="auto"/>
          <w:sz w:val="32"/>
          <w:szCs w:val="32"/>
        </w:rPr>
        <w:t>一般公共预算项目3</w:t>
      </w:r>
      <w:r>
        <w:rPr>
          <w:rFonts w:hint="eastAsia" w:ascii="Times New Roman" w:eastAsia="仿宋_GB2312"/>
          <w:b w:val="0"/>
          <w:color w:val="auto"/>
          <w:sz w:val="32"/>
          <w:szCs w:val="32"/>
          <w:lang w:val="en-US" w:eastAsia="zh-CN"/>
        </w:rPr>
        <w:t>1</w:t>
      </w:r>
      <w:r>
        <w:rPr>
          <w:rFonts w:ascii="Times New Roman" w:eastAsia="仿宋_GB2312"/>
          <w:b w:val="0"/>
          <w:color w:val="auto"/>
          <w:sz w:val="32"/>
          <w:szCs w:val="32"/>
        </w:rPr>
        <w:t>个，涉及资金</w:t>
      </w:r>
      <w:r>
        <w:rPr>
          <w:rFonts w:hint="eastAsia" w:ascii="Times New Roman" w:eastAsia="仿宋_GB2312"/>
          <w:b w:val="0"/>
          <w:color w:val="auto"/>
          <w:sz w:val="32"/>
          <w:szCs w:val="32"/>
          <w:lang w:val="en-US" w:eastAsia="zh-CN"/>
        </w:rPr>
        <w:t>10035.23</w:t>
      </w:r>
      <w:r>
        <w:rPr>
          <w:rFonts w:ascii="Times New Roman" w:eastAsia="仿宋_GB2312"/>
          <w:b w:val="0"/>
          <w:color w:val="auto"/>
          <w:sz w:val="32"/>
          <w:szCs w:val="32"/>
        </w:rPr>
        <w:t>万元，</w:t>
      </w:r>
      <w:r>
        <w:rPr>
          <w:rFonts w:ascii="Times New Roman" w:eastAsia="仿宋_GB2312"/>
          <w:b w:val="0"/>
          <w:sz w:val="32"/>
          <w:szCs w:val="32"/>
        </w:rPr>
        <w:t>占一般公共预算项目支出总额的100%；政府性基金预算项目0个，涉及资金0万元，占政府性基金预算项目支出总额的0%；国有资本经营预算项目0个，涉及资金0万元，占国有资本经营预算项目支出总额的0%。</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组织对</w:t>
      </w:r>
      <w:r>
        <w:rPr>
          <w:rFonts w:ascii="Times New Roman" w:eastAsia="仿宋_GB2312"/>
          <w:b w:val="0"/>
          <w:color w:val="auto"/>
          <w:sz w:val="32"/>
          <w:szCs w:val="32"/>
        </w:rPr>
        <w:t>科技金融政策奖补资金等4个项目开展了部门重点评价，涉及一般公共预算支出5,536.10万元</w:t>
      </w:r>
      <w:r>
        <w:rPr>
          <w:rFonts w:ascii="Times New Roman" w:eastAsia="仿宋_GB2312"/>
          <w:b w:val="0"/>
          <w:sz w:val="32"/>
          <w:szCs w:val="32"/>
        </w:rPr>
        <w:t>，政府性基金预算支出0万元，国有资本经营预算支出0万元，从评价情况来看，年初设定绩效目标全部完成。</w:t>
      </w:r>
    </w:p>
    <w:p>
      <w:pPr>
        <w:widowControl/>
        <w:spacing w:before="0" w:beforeLines="0" w:beforeAutospacing="0" w:after="0" w:afterLines="0" w:afterAutospacing="0" w:line="360" w:lineRule="auto"/>
        <w:ind w:firstLine="643" w:firstLineChars="200"/>
        <w:jc w:val="left"/>
        <w:rPr>
          <w:rFonts w:ascii="Times New Roman" w:eastAsia="仿宋_GB2312"/>
          <w:color w:val="auto"/>
          <w:sz w:val="32"/>
          <w:szCs w:val="32"/>
        </w:rPr>
      </w:pPr>
      <w:r>
        <w:rPr>
          <w:rFonts w:ascii="Times New Roman" w:eastAsia="仿宋_GB2312"/>
          <w:b/>
          <w:color w:val="auto"/>
          <w:sz w:val="32"/>
          <w:szCs w:val="32"/>
        </w:rPr>
        <w:t>（二）部门决算中项目绩效自评结果</w:t>
      </w:r>
    </w:p>
    <w:p>
      <w:pPr>
        <w:widowControl/>
        <w:spacing w:before="0" w:beforeLines="0" w:beforeAutospacing="0" w:after="0" w:afterLines="0" w:afterAutospacing="0" w:line="360" w:lineRule="auto"/>
        <w:ind w:firstLine="640" w:firstLineChars="200"/>
        <w:jc w:val="left"/>
        <w:rPr>
          <w:rFonts w:ascii="Times New Roman" w:eastAsia="仿宋_GB2312"/>
          <w:color w:val="auto"/>
          <w:sz w:val="32"/>
          <w:szCs w:val="32"/>
        </w:rPr>
      </w:pPr>
      <w:r>
        <w:rPr>
          <w:rFonts w:ascii="Times New Roman" w:eastAsia="仿宋_GB2312"/>
          <w:b w:val="0"/>
          <w:color w:val="auto"/>
          <w:sz w:val="32"/>
          <w:szCs w:val="32"/>
        </w:rPr>
        <w:t>本部门在今年部门决算公开中反映科技金融政策奖补资金等</w:t>
      </w:r>
      <w:r>
        <w:rPr>
          <w:rFonts w:hint="eastAsia" w:ascii="Times New Roman" w:eastAsia="仿宋_GB2312"/>
          <w:b w:val="0"/>
          <w:color w:val="auto"/>
          <w:sz w:val="32"/>
          <w:szCs w:val="32"/>
          <w:lang w:val="en-US" w:eastAsia="zh-CN"/>
        </w:rPr>
        <w:t>31</w:t>
      </w:r>
      <w:r>
        <w:rPr>
          <w:rFonts w:ascii="Times New Roman" w:eastAsia="仿宋_GB2312"/>
          <w:b w:val="0"/>
          <w:color w:val="auto"/>
          <w:sz w:val="32"/>
          <w:szCs w:val="32"/>
        </w:rPr>
        <w:t>个项目绩效自评结果（绩效自评表附后）。</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rPr>
        <w:t>科技金融政策奖补资金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1334</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1334</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促进企业开展技术创新活动，通过资本市场展示企业实力，提高自主创新能力，加速企业壮大发展，带动企业和产业高质量发展</w:t>
      </w:r>
      <w:r>
        <w:rPr>
          <w:rFonts w:ascii="Times New Roman" w:eastAsia="仿宋_GB2312"/>
          <w:b w:val="0"/>
          <w:color w:val="auto"/>
          <w:sz w:val="32"/>
          <w:szCs w:val="32"/>
        </w:rPr>
        <w:t>；二是</w:t>
      </w:r>
      <w:r>
        <w:rPr>
          <w:rFonts w:hint="eastAsia" w:ascii="Times New Roman" w:eastAsia="仿宋_GB2312"/>
          <w:b w:val="0"/>
          <w:color w:val="auto"/>
          <w:sz w:val="32"/>
          <w:szCs w:val="32"/>
        </w:rPr>
        <w:t>支持区内科技创新和科学普及，引导金融资源向科技企业倾斜，调动科技企业积极性、创造性</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rPr>
        <w:t>石财教〔2024〕88号提前下达2025年支持市县科技创新和科学普及专项资金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1534.81</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1512.10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98.5</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促进科技成果转化</w:t>
      </w:r>
      <w:r>
        <w:rPr>
          <w:rFonts w:ascii="Times New Roman" w:eastAsia="仿宋_GB2312"/>
          <w:b w:val="0"/>
          <w:color w:val="auto"/>
          <w:sz w:val="32"/>
          <w:szCs w:val="32"/>
        </w:rPr>
        <w:t>；</w:t>
      </w:r>
      <w:bookmarkStart w:id="0" w:name="_GoBack"/>
      <w:bookmarkEnd w:id="0"/>
      <w:r>
        <w:rPr>
          <w:rFonts w:ascii="Times New Roman" w:eastAsia="仿宋_GB2312"/>
          <w:b w:val="0"/>
          <w:color w:val="auto"/>
          <w:sz w:val="32"/>
          <w:szCs w:val="32"/>
        </w:rPr>
        <w:t>二是</w:t>
      </w:r>
      <w:r>
        <w:rPr>
          <w:rFonts w:hint="eastAsia" w:ascii="Times New Roman" w:eastAsia="仿宋_GB2312"/>
          <w:b w:val="0"/>
          <w:color w:val="auto"/>
          <w:sz w:val="32"/>
          <w:szCs w:val="32"/>
        </w:rPr>
        <w:t>提高企业创新创业能力</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石财教〔2025〕53号2025年支持市县科技创新和科学普及专项资金（高新技术企业认定奖补）</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1590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1590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支持科技创新</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调动企业积极性、创造性</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w:t>
      </w:r>
      <w:r>
        <w:rPr>
          <w:rFonts w:hint="eastAsia" w:ascii="Times New Roman" w:eastAsia="仿宋_GB2312"/>
          <w:b w:val="0"/>
          <w:color w:val="auto"/>
          <w:sz w:val="32"/>
          <w:szCs w:val="32"/>
        </w:rPr>
        <w:t>〔202</w:t>
      </w:r>
      <w:r>
        <w:rPr>
          <w:rFonts w:hint="eastAsia" w:ascii="Times New Roman" w:eastAsia="仿宋_GB2312"/>
          <w:b w:val="0"/>
          <w:color w:val="auto"/>
          <w:sz w:val="32"/>
          <w:szCs w:val="32"/>
          <w:lang w:val="en-US" w:eastAsia="zh-CN"/>
        </w:rPr>
        <w:t>5</w:t>
      </w:r>
      <w:r>
        <w:rPr>
          <w:rFonts w:hint="eastAsia" w:ascii="Times New Roman" w:eastAsia="仿宋_GB2312"/>
          <w:b w:val="0"/>
          <w:color w:val="auto"/>
          <w:sz w:val="32"/>
          <w:szCs w:val="32"/>
        </w:rPr>
        <w:t>〕</w:t>
      </w:r>
      <w:r>
        <w:rPr>
          <w:rFonts w:hint="eastAsia" w:ascii="Times New Roman" w:eastAsia="仿宋_GB2312"/>
          <w:b w:val="0"/>
          <w:color w:val="auto"/>
          <w:sz w:val="32"/>
          <w:szCs w:val="32"/>
          <w:lang w:eastAsia="zh-CN"/>
        </w:rPr>
        <w:t>47号2025年科技创新平台研发项目市级资金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1100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1100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推动科技创新成果在石家庄转化落地</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支持提升我区省级科技创新平台建设的能力和水平</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4874CB" w:themeColor="accent1"/>
          <w:sz w:val="32"/>
          <w:szCs w:val="32"/>
          <w14:textFill>
            <w14:solidFill>
              <w14:schemeClr w14:val="accent1"/>
            </w14:solidFill>
          </w14:textFill>
        </w:rPr>
      </w:pPr>
      <w:r>
        <w:rPr>
          <w:rFonts w:hint="eastAsia" w:ascii="Times New Roman" w:eastAsia="仿宋_GB2312"/>
          <w:b w:val="0"/>
          <w:color w:val="auto"/>
          <w:sz w:val="32"/>
          <w:szCs w:val="32"/>
          <w:lang w:eastAsia="zh-CN"/>
        </w:rPr>
        <w:t>2025年引进外国专家智力市级资金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220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220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充分发挥了外国专家、人才和国外先进技术和成果作用，提升了企业科技创新能力</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引智项目立项13个，引进外国专家、人才不少于13人</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4874CB" w:themeColor="accent1"/>
          <w:sz w:val="32"/>
          <w:szCs w:val="32"/>
          <w14:textFill>
            <w14:solidFill>
              <w14:schemeClr w14:val="accent1"/>
            </w14:solidFill>
          </w14:textFill>
        </w:rPr>
      </w:pPr>
      <w:r>
        <w:rPr>
          <w:rFonts w:hint="eastAsia" w:ascii="Times New Roman" w:eastAsia="仿宋_GB2312"/>
          <w:b w:val="0"/>
          <w:color w:val="auto"/>
          <w:sz w:val="32"/>
          <w:szCs w:val="32"/>
          <w:lang w:eastAsia="zh-CN"/>
        </w:rPr>
        <w:t>石财教〔2025〕9号2025年科技企业孵化载体市级奖补资金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287.04</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287.04</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获得市级考核良好等次以上器数量达到11家</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新增省级孵化载体数2家</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石财教〔2025〕</w:t>
      </w:r>
      <w:r>
        <w:rPr>
          <w:rFonts w:hint="eastAsia" w:ascii="Times New Roman" w:eastAsia="仿宋_GB2312"/>
          <w:b w:val="0"/>
          <w:color w:val="auto"/>
          <w:sz w:val="32"/>
          <w:szCs w:val="32"/>
          <w:lang w:val="en-US" w:eastAsia="zh-CN"/>
        </w:rPr>
        <w:t>34</w:t>
      </w:r>
      <w:r>
        <w:rPr>
          <w:rFonts w:hint="eastAsia" w:ascii="Times New Roman" w:eastAsia="仿宋_GB2312"/>
          <w:b w:val="0"/>
          <w:color w:val="auto"/>
          <w:sz w:val="32"/>
          <w:szCs w:val="32"/>
          <w:lang w:eastAsia="zh-CN"/>
        </w:rPr>
        <w:t>号2025年高新技术企业认定奖补市级资金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755</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750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99.3</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支持科技创新</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调动企业积极性、创造性</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w:t>
      </w:r>
      <w:r>
        <w:rPr>
          <w:rFonts w:hint="eastAsia" w:ascii="Times New Roman" w:eastAsia="仿宋_GB2312"/>
          <w:b w:val="0"/>
          <w:color w:val="auto"/>
          <w:sz w:val="32"/>
          <w:szCs w:val="32"/>
        </w:rPr>
        <w:t>〔202</w:t>
      </w:r>
      <w:r>
        <w:rPr>
          <w:rFonts w:hint="eastAsia" w:ascii="Times New Roman" w:eastAsia="仿宋_GB2312"/>
          <w:b w:val="0"/>
          <w:color w:val="auto"/>
          <w:sz w:val="32"/>
          <w:szCs w:val="32"/>
          <w:lang w:val="en-US" w:eastAsia="zh-CN"/>
        </w:rPr>
        <w:t>5</w:t>
      </w:r>
      <w:r>
        <w:rPr>
          <w:rFonts w:hint="eastAsia" w:ascii="Times New Roman" w:eastAsia="仿宋_GB2312"/>
          <w:b w:val="0"/>
          <w:color w:val="auto"/>
          <w:sz w:val="32"/>
          <w:szCs w:val="32"/>
        </w:rPr>
        <w:t>〕</w:t>
      </w:r>
      <w:r>
        <w:rPr>
          <w:rFonts w:hint="eastAsia" w:ascii="Times New Roman" w:eastAsia="仿宋_GB2312"/>
          <w:b w:val="0"/>
          <w:color w:val="auto"/>
          <w:sz w:val="32"/>
          <w:szCs w:val="32"/>
          <w:lang w:val="en-US" w:eastAsia="zh-CN"/>
        </w:rPr>
        <w:t>18</w:t>
      </w:r>
      <w:r>
        <w:rPr>
          <w:rFonts w:hint="eastAsia" w:ascii="Times New Roman" w:eastAsia="仿宋_GB2312"/>
          <w:b w:val="0"/>
          <w:color w:val="auto"/>
          <w:sz w:val="32"/>
          <w:szCs w:val="32"/>
          <w:lang w:eastAsia="zh-CN"/>
        </w:rPr>
        <w:t>号2025年技术创新引导专项资金（省科学技术奖奖金）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240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240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w:t>
      </w:r>
      <w:r>
        <w:rPr>
          <w:rFonts w:hint="eastAsia" w:ascii="Times New Roman" w:eastAsia="仿宋_GB2312"/>
          <w:b w:val="0"/>
          <w:color w:val="auto"/>
          <w:sz w:val="32"/>
          <w:szCs w:val="32"/>
        </w:rPr>
        <w:t>进一步激发了科技人员科技创新积极性</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b w:val="0"/>
          <w:color w:val="auto"/>
          <w:sz w:val="32"/>
          <w:szCs w:val="32"/>
        </w:rPr>
      </w:pPr>
      <w:r>
        <w:rPr>
          <w:rFonts w:hint="eastAsia" w:ascii="Times New Roman" w:eastAsia="仿宋_GB2312"/>
          <w:b w:val="0"/>
          <w:color w:val="auto"/>
          <w:sz w:val="32"/>
          <w:szCs w:val="32"/>
          <w:lang w:eastAsia="zh-CN"/>
        </w:rPr>
        <w:t>石财教</w:t>
      </w:r>
      <w:r>
        <w:rPr>
          <w:rFonts w:hint="eastAsia" w:ascii="Times New Roman" w:eastAsia="仿宋_GB2312"/>
          <w:b w:val="0"/>
          <w:color w:val="auto"/>
          <w:sz w:val="32"/>
          <w:szCs w:val="32"/>
        </w:rPr>
        <w:t>〔202</w:t>
      </w:r>
      <w:r>
        <w:rPr>
          <w:rFonts w:hint="eastAsia" w:ascii="Times New Roman" w:eastAsia="仿宋_GB2312"/>
          <w:b w:val="0"/>
          <w:color w:val="auto"/>
          <w:sz w:val="32"/>
          <w:szCs w:val="32"/>
          <w:lang w:val="en-US" w:eastAsia="zh-CN"/>
        </w:rPr>
        <w:t>5</w:t>
      </w:r>
      <w:r>
        <w:rPr>
          <w:rFonts w:hint="eastAsia" w:ascii="Times New Roman" w:eastAsia="仿宋_GB2312"/>
          <w:b w:val="0"/>
          <w:color w:val="auto"/>
          <w:sz w:val="32"/>
          <w:szCs w:val="32"/>
        </w:rPr>
        <w:t>〕</w:t>
      </w:r>
      <w:r>
        <w:rPr>
          <w:rFonts w:hint="eastAsia" w:ascii="Times New Roman" w:eastAsia="仿宋_GB2312"/>
          <w:b w:val="0"/>
          <w:color w:val="auto"/>
          <w:sz w:val="32"/>
          <w:szCs w:val="32"/>
          <w:lang w:val="en-US" w:eastAsia="zh-CN"/>
        </w:rPr>
        <w:t>19</w:t>
      </w:r>
      <w:r>
        <w:rPr>
          <w:rFonts w:hint="eastAsia" w:ascii="Times New Roman" w:eastAsia="仿宋_GB2312"/>
          <w:b w:val="0"/>
          <w:color w:val="auto"/>
          <w:sz w:val="32"/>
          <w:szCs w:val="32"/>
          <w:lang w:eastAsia="zh-CN"/>
        </w:rPr>
        <w:t>号2025年技术经纪人补助市级资金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53.39</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53.39</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科技成果受让企业技术合同超过11份</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支持了企业科技创新，促进了科技成果转移转化</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0" w:firstLineChars="200"/>
        <w:jc w:val="left"/>
        <w:rPr>
          <w:rFonts w:ascii="Times New Roman" w:eastAsia="仿宋_GB2312"/>
          <w:color w:val="0000FF"/>
          <w:sz w:val="32"/>
          <w:szCs w:val="32"/>
        </w:rPr>
      </w:pPr>
      <w:r>
        <w:rPr>
          <w:rFonts w:hint="eastAsia" w:ascii="Times New Roman" w:eastAsia="仿宋_GB2312"/>
          <w:b w:val="0"/>
          <w:color w:val="auto"/>
          <w:sz w:val="32"/>
          <w:szCs w:val="32"/>
          <w:lang w:eastAsia="zh-CN"/>
        </w:rPr>
        <w:t>石财教</w:t>
      </w:r>
      <w:r>
        <w:rPr>
          <w:rFonts w:hint="eastAsia" w:ascii="Times New Roman" w:eastAsia="仿宋_GB2312"/>
          <w:b w:val="0"/>
          <w:color w:val="auto"/>
          <w:sz w:val="32"/>
          <w:szCs w:val="32"/>
        </w:rPr>
        <w:t>〔202</w:t>
      </w:r>
      <w:r>
        <w:rPr>
          <w:rFonts w:hint="eastAsia" w:ascii="Times New Roman" w:eastAsia="仿宋_GB2312"/>
          <w:b w:val="0"/>
          <w:color w:val="auto"/>
          <w:sz w:val="32"/>
          <w:szCs w:val="32"/>
          <w:lang w:val="en-US" w:eastAsia="zh-CN"/>
        </w:rPr>
        <w:t>5</w:t>
      </w:r>
      <w:r>
        <w:rPr>
          <w:rFonts w:hint="eastAsia" w:ascii="Times New Roman" w:eastAsia="仿宋_GB2312"/>
          <w:b w:val="0"/>
          <w:color w:val="auto"/>
          <w:sz w:val="32"/>
          <w:szCs w:val="32"/>
        </w:rPr>
        <w:t>〕</w:t>
      </w:r>
      <w:r>
        <w:rPr>
          <w:rFonts w:hint="eastAsia" w:ascii="Times New Roman" w:eastAsia="仿宋_GB2312"/>
          <w:b w:val="0"/>
          <w:color w:val="auto"/>
          <w:sz w:val="32"/>
          <w:szCs w:val="32"/>
          <w:lang w:eastAsia="zh-CN"/>
        </w:rPr>
        <w:t>4</w:t>
      </w:r>
      <w:r>
        <w:rPr>
          <w:rFonts w:hint="eastAsia" w:ascii="Times New Roman" w:eastAsia="仿宋_GB2312"/>
          <w:b w:val="0"/>
          <w:color w:val="auto"/>
          <w:sz w:val="32"/>
          <w:szCs w:val="32"/>
          <w:lang w:val="en-US" w:eastAsia="zh-CN"/>
        </w:rPr>
        <w:t>0</w:t>
      </w:r>
      <w:r>
        <w:rPr>
          <w:rFonts w:hint="eastAsia" w:ascii="Times New Roman" w:eastAsia="仿宋_GB2312"/>
          <w:b w:val="0"/>
          <w:color w:val="auto"/>
          <w:sz w:val="32"/>
          <w:szCs w:val="32"/>
          <w:lang w:eastAsia="zh-CN"/>
        </w:rPr>
        <w:t>号2025年市级引进高层次人才创业启动资金</w:t>
      </w:r>
      <w:r>
        <w:rPr>
          <w:rFonts w:ascii="Times New Roman" w:eastAsia="仿宋_GB2312"/>
          <w:b w:val="0"/>
          <w:color w:val="auto"/>
          <w:sz w:val="32"/>
          <w:szCs w:val="32"/>
        </w:rPr>
        <w:t>项目绩效自评情况：根据年初设定的绩效目标，项目绩效自评得分为</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分（绩效自评表附后）。全年预算数为</w:t>
      </w:r>
      <w:r>
        <w:rPr>
          <w:rFonts w:hint="eastAsia" w:ascii="Times New Roman" w:eastAsia="仿宋_GB2312"/>
          <w:b w:val="0"/>
          <w:color w:val="auto"/>
          <w:sz w:val="32"/>
          <w:szCs w:val="32"/>
          <w:lang w:val="en-US" w:eastAsia="zh-CN"/>
        </w:rPr>
        <w:t>200</w:t>
      </w:r>
      <w:r>
        <w:rPr>
          <w:rFonts w:ascii="Times New Roman" w:eastAsia="仿宋_GB2312"/>
          <w:b w:val="0"/>
          <w:color w:val="auto"/>
          <w:sz w:val="32"/>
          <w:szCs w:val="32"/>
        </w:rPr>
        <w:t>万元，执行数为</w:t>
      </w:r>
      <w:r>
        <w:rPr>
          <w:rFonts w:hint="eastAsia" w:ascii="Times New Roman" w:eastAsia="仿宋_GB2312"/>
          <w:b w:val="0"/>
          <w:color w:val="auto"/>
          <w:sz w:val="32"/>
          <w:szCs w:val="32"/>
          <w:lang w:val="en-US" w:eastAsia="zh-CN"/>
        </w:rPr>
        <w:t>200</w:t>
      </w:r>
      <w:r>
        <w:rPr>
          <w:rFonts w:ascii="Times New Roman" w:eastAsia="仿宋_GB2312"/>
          <w:b w:val="0"/>
          <w:color w:val="auto"/>
          <w:sz w:val="32"/>
          <w:szCs w:val="32"/>
        </w:rPr>
        <w:t>万元，完成预算的</w:t>
      </w:r>
      <w:r>
        <w:rPr>
          <w:rFonts w:hint="eastAsia" w:ascii="Times New Roman" w:eastAsia="仿宋_GB2312"/>
          <w:b w:val="0"/>
          <w:color w:val="auto"/>
          <w:sz w:val="32"/>
          <w:szCs w:val="32"/>
          <w:lang w:val="en-US" w:eastAsia="zh-CN"/>
        </w:rPr>
        <w:t>100</w:t>
      </w:r>
      <w:r>
        <w:rPr>
          <w:rFonts w:ascii="Times New Roman" w:eastAsia="仿宋_GB2312"/>
          <w:b w:val="0"/>
          <w:color w:val="auto"/>
          <w:sz w:val="32"/>
          <w:szCs w:val="32"/>
        </w:rPr>
        <w:t>%。项目绩效目标完成情况：一是</w:t>
      </w:r>
      <w:r>
        <w:rPr>
          <w:rFonts w:hint="eastAsia" w:ascii="Times New Roman" w:eastAsia="仿宋_GB2312"/>
          <w:b w:val="0"/>
          <w:color w:val="auto"/>
          <w:sz w:val="32"/>
          <w:szCs w:val="32"/>
        </w:rPr>
        <w:t>推动科技创新成果在石家庄转化落地</w:t>
      </w:r>
      <w:r>
        <w:rPr>
          <w:rFonts w:hint="eastAsia" w:ascii="Times New Roman" w:eastAsia="仿宋_GB2312"/>
          <w:b w:val="0"/>
          <w:color w:val="auto"/>
          <w:sz w:val="32"/>
          <w:szCs w:val="32"/>
          <w:lang w:eastAsia="zh-CN"/>
        </w:rPr>
        <w:t>；</w:t>
      </w:r>
      <w:r>
        <w:rPr>
          <w:rFonts w:ascii="Times New Roman" w:eastAsia="仿宋_GB2312"/>
          <w:b w:val="0"/>
          <w:color w:val="auto"/>
          <w:sz w:val="32"/>
          <w:szCs w:val="32"/>
        </w:rPr>
        <w:t>二是</w:t>
      </w:r>
      <w:r>
        <w:rPr>
          <w:rFonts w:hint="eastAsia" w:ascii="Times New Roman" w:eastAsia="仿宋_GB2312"/>
          <w:b w:val="0"/>
          <w:color w:val="auto"/>
          <w:sz w:val="32"/>
          <w:szCs w:val="32"/>
        </w:rPr>
        <w:t>吸引国内外领军人才（团队）来石家庄创新创业</w:t>
      </w:r>
      <w:r>
        <w:rPr>
          <w:rFonts w:ascii="Times New Roman" w:eastAsia="仿宋_GB2312"/>
          <w:b w:val="0"/>
          <w:color w:val="auto"/>
          <w:sz w:val="32"/>
          <w:szCs w:val="32"/>
        </w:rPr>
        <w:t>。发现的主要问题及原因是：</w:t>
      </w:r>
      <w:r>
        <w:rPr>
          <w:rFonts w:hint="eastAsia" w:ascii="Times New Roman" w:eastAsia="仿宋_GB2312"/>
          <w:b w:val="0"/>
          <w:color w:val="auto"/>
          <w:sz w:val="32"/>
          <w:szCs w:val="32"/>
          <w:lang w:val="en-US" w:eastAsia="zh-CN"/>
        </w:rPr>
        <w:t>未发现问题</w:t>
      </w:r>
      <w:r>
        <w:rPr>
          <w:rFonts w:ascii="Times New Roman" w:eastAsia="仿宋_GB2312"/>
          <w:b w:val="0"/>
          <w:color w:val="auto"/>
          <w:sz w:val="32"/>
          <w:szCs w:val="32"/>
        </w:rPr>
        <w:t>。下一步改进措施：</w:t>
      </w:r>
      <w:r>
        <w:rPr>
          <w:rFonts w:hint="eastAsia" w:ascii="Times New Roman" w:eastAsia="仿宋_GB2312"/>
          <w:b w:val="0"/>
          <w:color w:val="auto"/>
          <w:sz w:val="32"/>
          <w:szCs w:val="32"/>
          <w:lang w:val="en-US" w:eastAsia="zh-CN"/>
        </w:rPr>
        <w:t>无</w:t>
      </w:r>
      <w:r>
        <w:rPr>
          <w:rFonts w:ascii="Times New Roman" w:eastAsia="仿宋_GB2312"/>
          <w:b w:val="0"/>
          <w:color w:val="auto"/>
          <w:sz w:val="32"/>
          <w:szCs w:val="32"/>
        </w:rPr>
        <w:t>。</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（三）部门评价项目绩效评价结果</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p>
    <w:p>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部门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由于决算公开表格中金额数值应当保留两位小数，公开数据为四舍五入计算结果，个别数据合计项与分项之和存在小数点后差额，特此说明。</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 名词解释</w:t>
      </w: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eastAsia"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both"/>
        <w:rPr>
          <w:rFonts w:hint="default" w:ascii="Times New Roman" w:hAnsi="Times New Roman" w:eastAsia="黑体" w:cs="Times New Roman"/>
          <w:color w:val="000000" w:themeColor="text1"/>
          <w:sz w:val="44"/>
          <w:szCs w:val="44"/>
          <w:lang w:val="en-US"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指单位从同级财政部门取得的财政预算资金。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指事业单位开展专业业务活动及辅助活动取得的收入。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指事业单位在专业业务活动及其辅助活动之外开展非独立核算经营活动取得的收入。</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指单位取得的除上述收入以外的各项收入。主要是事业单位固定资产出租收入、存款利息收入等。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指事业单位按照预算管理要求使用非财政拨款结余弥补收支差额的金额，以及使用专用结余安排支出的金额。</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指单位以前年度尚未完成、结转到本年仍按原规定用途继续使用的资金，或项目已完成等产生的结余资金。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指事业单位按照会计制度规定缴纳的所得税、提取的专用结余以及转入非财政拨款结余的金额等。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指单位按有关规定结转到下年或以后年度继续使用的资金，或项目已完成等产生的结余资金。</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 ：</w:t>
      </w:r>
      <w:r>
        <w:rPr>
          <w:rFonts w:ascii="Times New Roman" w:eastAsia="仿宋_GB2312"/>
          <w:b w:val="0"/>
          <w:sz w:val="32"/>
          <w:szCs w:val="32"/>
        </w:rPr>
        <w:t>指事业单位在专业业务活动及其辅助活动之外开展非独立核算经营活动发生的支出。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填列单位除公务用车运行维护费以外的其他交通费用。如公务交通补贴、租车费用、出租车费用，飞机、船舶等燃料费、维修费、保险费等。</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填列单位公务用车车辆购置支出（含车辆购置税、牌照费）。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填列单位除公务用车外的其他各类交通工具（如船舶、飞机等）购置支出（含车辆购置税、牌照费）。</w:t>
      </w:r>
    </w:p>
    <w:p>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309A00-B844-44ED-9CBB-FA68484FE2A7}"/>
  </w:font>
  <w:font w:name="黑体">
    <w:panose1 w:val="02010609060101010101"/>
    <w:charset w:val="86"/>
    <w:family w:val="auto"/>
    <w:pitch w:val="default"/>
    <w:sig w:usb0="800002BF" w:usb1="38CF7CFA" w:usb2="00000016" w:usb3="00000000" w:csb0="00040001" w:csb1="00000000"/>
    <w:embedRegular r:id="rId2" w:fontKey="{0D30139B-9E67-4E73-A838-19EFF3EC4E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43175EF-B785-47CB-A90D-C79C97E88A3C}"/>
  </w:font>
  <w:font w:name="仿宋">
    <w:panose1 w:val="02010609060101010101"/>
    <w:charset w:val="86"/>
    <w:family w:val="modern"/>
    <w:pitch w:val="default"/>
    <w:sig w:usb0="800002BF" w:usb1="38CF7CFA" w:usb2="00000016" w:usb3="00000000" w:csb0="00040001" w:csb1="00000000"/>
    <w:embedRegular r:id="rId4" w:fontKey="{257B5586-489D-4CF3-997B-5FBC12FC1E90}"/>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5" w:fontKey="{A384ACD9-FEEC-45EF-8781-839899C3ECB0}"/>
  </w:font>
  <w:font w:name="楷体_GB2312">
    <w:panose1 w:val="02010609030101010101"/>
    <w:charset w:val="86"/>
    <w:family w:val="auto"/>
    <w:pitch w:val="default"/>
    <w:sig w:usb0="00000001" w:usb1="080E0000" w:usb2="00000000" w:usb3="00000000" w:csb0="00040000" w:csb1="00000000"/>
    <w:embedRegular r:id="rId6" w:fontKey="{D2ED3F4D-61E7-450F-96C2-1893CDA916A9}"/>
  </w:font>
  <w:font w:name="微软雅黑">
    <w:panose1 w:val="020B0503020204020204"/>
    <w:charset w:val="86"/>
    <w:family w:val="auto"/>
    <w:pitch w:val="default"/>
    <w:sig w:usb0="80000287" w:usb1="2ACF3C50" w:usb2="00000016" w:usb3="00000000" w:csb0="0004001F" w:csb1="00000000"/>
    <w:embedRegular r:id="rId7" w:fontKey="{02E77B7A-B139-425B-9231-072277FFA3D7}"/>
  </w:font>
  <w:font w:name="方正小标宋_GBK">
    <w:panose1 w:val="02000000000000000000"/>
    <w:charset w:val="86"/>
    <w:family w:val="script"/>
    <w:pitch w:val="default"/>
    <w:sig w:usb0="A00002BF" w:usb1="38CF7CFA" w:usb2="00082016" w:usb3="00000000" w:csb0="00040001" w:csb1="00000000"/>
    <w:embedRegular r:id="rId8" w:fontKey="{BDD7C720-ECF6-4534-AAD9-074DB5152592}"/>
  </w:font>
  <w:font w:name="仿宋_GB2312">
    <w:panose1 w:val="02010609030101010101"/>
    <w:charset w:val="86"/>
    <w:family w:val="auto"/>
    <w:pitch w:val="default"/>
    <w:sig w:usb0="00000001" w:usb1="080E0000" w:usb2="00000000" w:usb3="00000000" w:csb0="00040000" w:csb1="00000000"/>
    <w:embedRegular r:id="rId9" w:fontKey="{DCFD2B3D-088A-48D9-B374-4D09735B329F}"/>
  </w:font>
  <w:font w:name="ArialUnicodeMS">
    <w:altName w:val="Malgun Gothic"/>
    <w:panose1 w:val="00000000000000000000"/>
    <w:charset w:val="81"/>
    <w:family w:val="auto"/>
    <w:pitch w:val="default"/>
    <w:sig w:usb0="00000000" w:usb1="00000000" w:usb2="00000010" w:usb3="00000000" w:csb0="00080001" w:csb1="00000000"/>
    <w:embedRegular r:id="rId10" w:fontKey="{EC706522-78BC-4DAC-86E6-96468D66C96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07462"/>
    <w:multiLevelType w:val="singleLevel"/>
    <w:tmpl w:val="A9D07462"/>
    <w:lvl w:ilvl="0" w:tentative="0">
      <w:start w:val="1"/>
      <w:numFmt w:val="chineseCounting"/>
      <w:suff w:val="nothing"/>
      <w:lvlText w:val="（%1）"/>
      <w:lvlJc w:val="left"/>
      <w:rPr>
        <w:rFonts w:hint="eastAsia"/>
      </w:rPr>
    </w:lvl>
  </w:abstractNum>
  <w:abstractNum w:abstractNumId="1">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TrueTypeFonts/>
  <w:saveSubsetFonts/>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ODYsImhkaWQiOiJhYmY1MDFhMDQ1OWVlNTQ5Zjk1ZjQxY2UzMGM0ZTY5NiIsInVzZXJDb3VudCI6MTd9"/>
  </w:docVars>
  <w:rsids>
    <w:rsidRoot w:val="00172A27"/>
    <w:rsid w:val="00086151"/>
    <w:rsid w:val="00236F8C"/>
    <w:rsid w:val="00822154"/>
    <w:rsid w:val="00C65689"/>
    <w:rsid w:val="00CC2C8E"/>
    <w:rsid w:val="01080A12"/>
    <w:rsid w:val="0179546C"/>
    <w:rsid w:val="01A03C5A"/>
    <w:rsid w:val="01A5267D"/>
    <w:rsid w:val="01AE3368"/>
    <w:rsid w:val="01AF6A8D"/>
    <w:rsid w:val="024808A2"/>
    <w:rsid w:val="025C3821"/>
    <w:rsid w:val="0269542C"/>
    <w:rsid w:val="02DA3B1B"/>
    <w:rsid w:val="02E57B4D"/>
    <w:rsid w:val="03450B90"/>
    <w:rsid w:val="037B12D4"/>
    <w:rsid w:val="03804D63"/>
    <w:rsid w:val="03F5128D"/>
    <w:rsid w:val="03FB73B0"/>
    <w:rsid w:val="04642795"/>
    <w:rsid w:val="04806B11"/>
    <w:rsid w:val="049C1B9D"/>
    <w:rsid w:val="04BD008C"/>
    <w:rsid w:val="04C55939"/>
    <w:rsid w:val="04DA28BB"/>
    <w:rsid w:val="04F528BE"/>
    <w:rsid w:val="050E10CE"/>
    <w:rsid w:val="054F2DFB"/>
    <w:rsid w:val="055C198B"/>
    <w:rsid w:val="05991C82"/>
    <w:rsid w:val="05CD1EC8"/>
    <w:rsid w:val="05E57574"/>
    <w:rsid w:val="061416A9"/>
    <w:rsid w:val="061D60A6"/>
    <w:rsid w:val="06236884"/>
    <w:rsid w:val="06B07006"/>
    <w:rsid w:val="06FC7C2A"/>
    <w:rsid w:val="070B57B7"/>
    <w:rsid w:val="07533AFE"/>
    <w:rsid w:val="07AC18F2"/>
    <w:rsid w:val="07B3657A"/>
    <w:rsid w:val="07C857D0"/>
    <w:rsid w:val="081163FE"/>
    <w:rsid w:val="083F3A0A"/>
    <w:rsid w:val="08AB5AAF"/>
    <w:rsid w:val="08C65EBD"/>
    <w:rsid w:val="08D24C32"/>
    <w:rsid w:val="09012C64"/>
    <w:rsid w:val="093B2E99"/>
    <w:rsid w:val="095D7943"/>
    <w:rsid w:val="09C006C6"/>
    <w:rsid w:val="0A10621F"/>
    <w:rsid w:val="0A464C4F"/>
    <w:rsid w:val="0A6729A3"/>
    <w:rsid w:val="0A694877"/>
    <w:rsid w:val="0AA954BE"/>
    <w:rsid w:val="0AE70639"/>
    <w:rsid w:val="0AEC32FF"/>
    <w:rsid w:val="0B4F5E6D"/>
    <w:rsid w:val="0B52270F"/>
    <w:rsid w:val="0B753AE2"/>
    <w:rsid w:val="0BB67D0A"/>
    <w:rsid w:val="0BC56230"/>
    <w:rsid w:val="0BCF21BD"/>
    <w:rsid w:val="0C481041"/>
    <w:rsid w:val="0C4E53E8"/>
    <w:rsid w:val="0C65503D"/>
    <w:rsid w:val="0C6712D6"/>
    <w:rsid w:val="0C7F7845"/>
    <w:rsid w:val="0C9F7900"/>
    <w:rsid w:val="0CB20B1A"/>
    <w:rsid w:val="0CB23317"/>
    <w:rsid w:val="0D101068"/>
    <w:rsid w:val="0D4E13BE"/>
    <w:rsid w:val="0D7557DF"/>
    <w:rsid w:val="0D853E34"/>
    <w:rsid w:val="0D9C2A57"/>
    <w:rsid w:val="0DC3019B"/>
    <w:rsid w:val="0DE47D04"/>
    <w:rsid w:val="0DFA5D82"/>
    <w:rsid w:val="0E1E52CE"/>
    <w:rsid w:val="0E866524"/>
    <w:rsid w:val="0E9268D3"/>
    <w:rsid w:val="0E957F1F"/>
    <w:rsid w:val="0F0E7284"/>
    <w:rsid w:val="0F28110F"/>
    <w:rsid w:val="0F37083F"/>
    <w:rsid w:val="0F4351D1"/>
    <w:rsid w:val="0F7470AF"/>
    <w:rsid w:val="0F8751F8"/>
    <w:rsid w:val="0F891DB8"/>
    <w:rsid w:val="0F8D3287"/>
    <w:rsid w:val="0FAA3B86"/>
    <w:rsid w:val="10191346"/>
    <w:rsid w:val="102A01A6"/>
    <w:rsid w:val="105A290D"/>
    <w:rsid w:val="10754A6C"/>
    <w:rsid w:val="108B537D"/>
    <w:rsid w:val="10B11DB1"/>
    <w:rsid w:val="11177F57"/>
    <w:rsid w:val="11217C97"/>
    <w:rsid w:val="113076C2"/>
    <w:rsid w:val="11365128"/>
    <w:rsid w:val="11464C20"/>
    <w:rsid w:val="115E4926"/>
    <w:rsid w:val="118A1FFA"/>
    <w:rsid w:val="11E35B5A"/>
    <w:rsid w:val="11E42DD6"/>
    <w:rsid w:val="125F5A1B"/>
    <w:rsid w:val="126979D6"/>
    <w:rsid w:val="129E45A7"/>
    <w:rsid w:val="13074404"/>
    <w:rsid w:val="136A5C00"/>
    <w:rsid w:val="13B97B08"/>
    <w:rsid w:val="13C527AC"/>
    <w:rsid w:val="14711797"/>
    <w:rsid w:val="147B6F17"/>
    <w:rsid w:val="14D42061"/>
    <w:rsid w:val="15081C8B"/>
    <w:rsid w:val="15090D5C"/>
    <w:rsid w:val="15CC19E2"/>
    <w:rsid w:val="15CF053D"/>
    <w:rsid w:val="15E0131A"/>
    <w:rsid w:val="15E11DC0"/>
    <w:rsid w:val="16457D9F"/>
    <w:rsid w:val="169C13B3"/>
    <w:rsid w:val="17223EFF"/>
    <w:rsid w:val="17AA5F28"/>
    <w:rsid w:val="17B713F6"/>
    <w:rsid w:val="184350A0"/>
    <w:rsid w:val="18935485"/>
    <w:rsid w:val="18A34206"/>
    <w:rsid w:val="18DE3B2C"/>
    <w:rsid w:val="18EF453A"/>
    <w:rsid w:val="1906685D"/>
    <w:rsid w:val="19111683"/>
    <w:rsid w:val="19353916"/>
    <w:rsid w:val="193E101D"/>
    <w:rsid w:val="19C10AF1"/>
    <w:rsid w:val="1A017CDA"/>
    <w:rsid w:val="1A2672DE"/>
    <w:rsid w:val="1AA81D42"/>
    <w:rsid w:val="1AB433D9"/>
    <w:rsid w:val="1AEE2FA0"/>
    <w:rsid w:val="1AFB6D70"/>
    <w:rsid w:val="1B1B11EE"/>
    <w:rsid w:val="1B3719E0"/>
    <w:rsid w:val="1B437B7E"/>
    <w:rsid w:val="1B6261C3"/>
    <w:rsid w:val="1B731730"/>
    <w:rsid w:val="1B882BB5"/>
    <w:rsid w:val="1B9B33C7"/>
    <w:rsid w:val="1B9D7FEC"/>
    <w:rsid w:val="1BA55461"/>
    <w:rsid w:val="1BE74496"/>
    <w:rsid w:val="1BFB1448"/>
    <w:rsid w:val="1C3D67D1"/>
    <w:rsid w:val="1C40731A"/>
    <w:rsid w:val="1C4B53F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22D79"/>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834E87"/>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8761A6"/>
    <w:rsid w:val="23920578"/>
    <w:rsid w:val="23BB6F9A"/>
    <w:rsid w:val="23FC3864"/>
    <w:rsid w:val="24857B00"/>
    <w:rsid w:val="24F25212"/>
    <w:rsid w:val="25087C0C"/>
    <w:rsid w:val="251B0465"/>
    <w:rsid w:val="254B0AC6"/>
    <w:rsid w:val="25571AB6"/>
    <w:rsid w:val="2561056D"/>
    <w:rsid w:val="2577160A"/>
    <w:rsid w:val="259C5A45"/>
    <w:rsid w:val="25B40AD6"/>
    <w:rsid w:val="25BE7872"/>
    <w:rsid w:val="25BF702A"/>
    <w:rsid w:val="26390459"/>
    <w:rsid w:val="264D2D17"/>
    <w:rsid w:val="26661BB3"/>
    <w:rsid w:val="26773DC1"/>
    <w:rsid w:val="26895CCA"/>
    <w:rsid w:val="26D50E55"/>
    <w:rsid w:val="271A539C"/>
    <w:rsid w:val="273823FA"/>
    <w:rsid w:val="274972D4"/>
    <w:rsid w:val="27AA3D97"/>
    <w:rsid w:val="280A3758"/>
    <w:rsid w:val="28292E99"/>
    <w:rsid w:val="284E28FF"/>
    <w:rsid w:val="289057C5"/>
    <w:rsid w:val="28A67C7A"/>
    <w:rsid w:val="28EA3248"/>
    <w:rsid w:val="28F72F97"/>
    <w:rsid w:val="28F879DA"/>
    <w:rsid w:val="294B7731"/>
    <w:rsid w:val="29514455"/>
    <w:rsid w:val="29D21FF2"/>
    <w:rsid w:val="2A611B0F"/>
    <w:rsid w:val="2AC1762B"/>
    <w:rsid w:val="2AE845D0"/>
    <w:rsid w:val="2B4975FB"/>
    <w:rsid w:val="2B695031"/>
    <w:rsid w:val="2B735A8F"/>
    <w:rsid w:val="2BA7478D"/>
    <w:rsid w:val="2BB038DB"/>
    <w:rsid w:val="2BB761E0"/>
    <w:rsid w:val="2BB812F9"/>
    <w:rsid w:val="2BE35C27"/>
    <w:rsid w:val="2BFA504B"/>
    <w:rsid w:val="2C681F1F"/>
    <w:rsid w:val="2C8608DC"/>
    <w:rsid w:val="2CA4764A"/>
    <w:rsid w:val="2CC42ECA"/>
    <w:rsid w:val="2CCC7A22"/>
    <w:rsid w:val="2CDA4349"/>
    <w:rsid w:val="2D225539"/>
    <w:rsid w:val="2D4618D2"/>
    <w:rsid w:val="2D5F021B"/>
    <w:rsid w:val="2D6E1286"/>
    <w:rsid w:val="2D70583E"/>
    <w:rsid w:val="2DA07759"/>
    <w:rsid w:val="2E0725DC"/>
    <w:rsid w:val="2E1B4BB8"/>
    <w:rsid w:val="2E256CB6"/>
    <w:rsid w:val="2E5F27E4"/>
    <w:rsid w:val="2EBD223E"/>
    <w:rsid w:val="2EC10AD1"/>
    <w:rsid w:val="2ECB6A5A"/>
    <w:rsid w:val="2EE65418"/>
    <w:rsid w:val="2EFC0112"/>
    <w:rsid w:val="2F0F45A5"/>
    <w:rsid w:val="2F0F6197"/>
    <w:rsid w:val="2F2B730D"/>
    <w:rsid w:val="2F6A001E"/>
    <w:rsid w:val="2F9F3DC1"/>
    <w:rsid w:val="2FFC7AC2"/>
    <w:rsid w:val="301430AF"/>
    <w:rsid w:val="30630612"/>
    <w:rsid w:val="308E59B0"/>
    <w:rsid w:val="30B10568"/>
    <w:rsid w:val="30E070F0"/>
    <w:rsid w:val="30E55DD3"/>
    <w:rsid w:val="30E60399"/>
    <w:rsid w:val="31356AA5"/>
    <w:rsid w:val="313E22F0"/>
    <w:rsid w:val="31B0194C"/>
    <w:rsid w:val="31CE17D1"/>
    <w:rsid w:val="31FD161E"/>
    <w:rsid w:val="32270449"/>
    <w:rsid w:val="323E4515"/>
    <w:rsid w:val="326A4E14"/>
    <w:rsid w:val="3286389B"/>
    <w:rsid w:val="32994FDB"/>
    <w:rsid w:val="32CF5C94"/>
    <w:rsid w:val="32D337C7"/>
    <w:rsid w:val="32E200EC"/>
    <w:rsid w:val="32E5408B"/>
    <w:rsid w:val="32EB0D70"/>
    <w:rsid w:val="330E785B"/>
    <w:rsid w:val="332824BC"/>
    <w:rsid w:val="332868BB"/>
    <w:rsid w:val="333211F3"/>
    <w:rsid w:val="33504B41"/>
    <w:rsid w:val="338B4A07"/>
    <w:rsid w:val="33944811"/>
    <w:rsid w:val="33BE79A7"/>
    <w:rsid w:val="33CE0488"/>
    <w:rsid w:val="341D31EE"/>
    <w:rsid w:val="34262463"/>
    <w:rsid w:val="34296F31"/>
    <w:rsid w:val="34340A27"/>
    <w:rsid w:val="346A2989"/>
    <w:rsid w:val="348865E9"/>
    <w:rsid w:val="348F70D5"/>
    <w:rsid w:val="349D2BAD"/>
    <w:rsid w:val="34B25886"/>
    <w:rsid w:val="34E538E1"/>
    <w:rsid w:val="35277FF8"/>
    <w:rsid w:val="35763460"/>
    <w:rsid w:val="35776F72"/>
    <w:rsid w:val="35997371"/>
    <w:rsid w:val="35BC359E"/>
    <w:rsid w:val="35DA3A24"/>
    <w:rsid w:val="35DD4D47"/>
    <w:rsid w:val="360134DF"/>
    <w:rsid w:val="360B1E2F"/>
    <w:rsid w:val="360D500F"/>
    <w:rsid w:val="36330424"/>
    <w:rsid w:val="36FE3ABA"/>
    <w:rsid w:val="37072BDE"/>
    <w:rsid w:val="37455334"/>
    <w:rsid w:val="37527C32"/>
    <w:rsid w:val="37731921"/>
    <w:rsid w:val="37E509C0"/>
    <w:rsid w:val="37E96FB8"/>
    <w:rsid w:val="38222D85"/>
    <w:rsid w:val="38767A34"/>
    <w:rsid w:val="38803721"/>
    <w:rsid w:val="38925A62"/>
    <w:rsid w:val="389F5F4F"/>
    <w:rsid w:val="38C36BA2"/>
    <w:rsid w:val="38D34E55"/>
    <w:rsid w:val="38E11CEF"/>
    <w:rsid w:val="38F6595C"/>
    <w:rsid w:val="391702A7"/>
    <w:rsid w:val="39286EB6"/>
    <w:rsid w:val="39601DF4"/>
    <w:rsid w:val="396960F3"/>
    <w:rsid w:val="39840D35"/>
    <w:rsid w:val="39A97DAF"/>
    <w:rsid w:val="39BF365D"/>
    <w:rsid w:val="39CD1330"/>
    <w:rsid w:val="39DD1AFF"/>
    <w:rsid w:val="3A2510B9"/>
    <w:rsid w:val="3A2B0CF2"/>
    <w:rsid w:val="3A2B1DFC"/>
    <w:rsid w:val="3AA6422C"/>
    <w:rsid w:val="3AAF46D5"/>
    <w:rsid w:val="3AF562AE"/>
    <w:rsid w:val="3B135A0E"/>
    <w:rsid w:val="3B183213"/>
    <w:rsid w:val="3B272BBC"/>
    <w:rsid w:val="3B374FEE"/>
    <w:rsid w:val="3B4410EE"/>
    <w:rsid w:val="3B46744C"/>
    <w:rsid w:val="3B56159C"/>
    <w:rsid w:val="3B596DF7"/>
    <w:rsid w:val="3B7D732B"/>
    <w:rsid w:val="3BD30423"/>
    <w:rsid w:val="3C14299D"/>
    <w:rsid w:val="3C6C0B58"/>
    <w:rsid w:val="3C813CDA"/>
    <w:rsid w:val="3C945583"/>
    <w:rsid w:val="3CBE41D5"/>
    <w:rsid w:val="3D446B0E"/>
    <w:rsid w:val="3D745844"/>
    <w:rsid w:val="3D8626D0"/>
    <w:rsid w:val="3D8C1AA8"/>
    <w:rsid w:val="3D953A6B"/>
    <w:rsid w:val="3D9A15BC"/>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CD4B44"/>
    <w:rsid w:val="3FD17600"/>
    <w:rsid w:val="3FFF0C57"/>
    <w:rsid w:val="402E7C36"/>
    <w:rsid w:val="4050218A"/>
    <w:rsid w:val="405C7868"/>
    <w:rsid w:val="406B3BF6"/>
    <w:rsid w:val="408B24EB"/>
    <w:rsid w:val="408D1DBF"/>
    <w:rsid w:val="40C652D1"/>
    <w:rsid w:val="40F40090"/>
    <w:rsid w:val="417044B8"/>
    <w:rsid w:val="41A203A0"/>
    <w:rsid w:val="41A25D3E"/>
    <w:rsid w:val="41C62EB7"/>
    <w:rsid w:val="41C77987"/>
    <w:rsid w:val="41E83F8C"/>
    <w:rsid w:val="421C17EA"/>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EB7986"/>
    <w:rsid w:val="43F06264"/>
    <w:rsid w:val="44223AB6"/>
    <w:rsid w:val="44404C8E"/>
    <w:rsid w:val="447537F1"/>
    <w:rsid w:val="44870D07"/>
    <w:rsid w:val="44D33826"/>
    <w:rsid w:val="45344EFF"/>
    <w:rsid w:val="453950E7"/>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2A4397"/>
    <w:rsid w:val="483820D2"/>
    <w:rsid w:val="48692CD0"/>
    <w:rsid w:val="48AE3D01"/>
    <w:rsid w:val="48B96318"/>
    <w:rsid w:val="49067B2F"/>
    <w:rsid w:val="49100B80"/>
    <w:rsid w:val="49677E31"/>
    <w:rsid w:val="496C2225"/>
    <w:rsid w:val="49A35E02"/>
    <w:rsid w:val="49AE2880"/>
    <w:rsid w:val="49F42EAF"/>
    <w:rsid w:val="4A337323"/>
    <w:rsid w:val="4A5B28DC"/>
    <w:rsid w:val="4AA06B93"/>
    <w:rsid w:val="4ADB18EB"/>
    <w:rsid w:val="4B3A6FE7"/>
    <w:rsid w:val="4B96118E"/>
    <w:rsid w:val="4BAE1B66"/>
    <w:rsid w:val="4BBF6159"/>
    <w:rsid w:val="4BC806E6"/>
    <w:rsid w:val="4BED4708"/>
    <w:rsid w:val="4BF133DC"/>
    <w:rsid w:val="4C1A4AD9"/>
    <w:rsid w:val="4C2E4987"/>
    <w:rsid w:val="4C4117A4"/>
    <w:rsid w:val="4C507D4A"/>
    <w:rsid w:val="4CD60F91"/>
    <w:rsid w:val="4CDF5563"/>
    <w:rsid w:val="4CFB2214"/>
    <w:rsid w:val="4D2C4D26"/>
    <w:rsid w:val="4D335E0E"/>
    <w:rsid w:val="4D4759EB"/>
    <w:rsid w:val="4D4E4EA3"/>
    <w:rsid w:val="4D9A5B1B"/>
    <w:rsid w:val="4DA55D85"/>
    <w:rsid w:val="4DBB20DB"/>
    <w:rsid w:val="4DDC3F22"/>
    <w:rsid w:val="4DE66FB2"/>
    <w:rsid w:val="4DEC6CB8"/>
    <w:rsid w:val="4E1040C7"/>
    <w:rsid w:val="4E1760BF"/>
    <w:rsid w:val="4E30647F"/>
    <w:rsid w:val="4E353A96"/>
    <w:rsid w:val="4E5D2C75"/>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4FD571A2"/>
    <w:rsid w:val="503D1C79"/>
    <w:rsid w:val="507A6406"/>
    <w:rsid w:val="50853863"/>
    <w:rsid w:val="508A4590"/>
    <w:rsid w:val="50B51B45"/>
    <w:rsid w:val="50F1461D"/>
    <w:rsid w:val="50FE5411"/>
    <w:rsid w:val="510B072E"/>
    <w:rsid w:val="511B0BF4"/>
    <w:rsid w:val="51264306"/>
    <w:rsid w:val="514E62C9"/>
    <w:rsid w:val="516123CE"/>
    <w:rsid w:val="51932FAD"/>
    <w:rsid w:val="51B177A9"/>
    <w:rsid w:val="51E066EB"/>
    <w:rsid w:val="52640E8B"/>
    <w:rsid w:val="5267570A"/>
    <w:rsid w:val="52707792"/>
    <w:rsid w:val="52734B8D"/>
    <w:rsid w:val="528D02F2"/>
    <w:rsid w:val="52A12CDC"/>
    <w:rsid w:val="52DF0C92"/>
    <w:rsid w:val="52E1159C"/>
    <w:rsid w:val="52E34D6A"/>
    <w:rsid w:val="530C1269"/>
    <w:rsid w:val="531E524E"/>
    <w:rsid w:val="534072EB"/>
    <w:rsid w:val="537648BE"/>
    <w:rsid w:val="538E2D0B"/>
    <w:rsid w:val="53922782"/>
    <w:rsid w:val="539C1424"/>
    <w:rsid w:val="53A639C0"/>
    <w:rsid w:val="53F00A24"/>
    <w:rsid w:val="53F63DBA"/>
    <w:rsid w:val="53FF492A"/>
    <w:rsid w:val="54261D4F"/>
    <w:rsid w:val="5448624E"/>
    <w:rsid w:val="54492049"/>
    <w:rsid w:val="546E2B1A"/>
    <w:rsid w:val="5482555F"/>
    <w:rsid w:val="54A31DD8"/>
    <w:rsid w:val="54AA6F8B"/>
    <w:rsid w:val="54D26583"/>
    <w:rsid w:val="54DA0EF3"/>
    <w:rsid w:val="55363E67"/>
    <w:rsid w:val="556E6DF7"/>
    <w:rsid w:val="55965CE3"/>
    <w:rsid w:val="559D47CE"/>
    <w:rsid w:val="55BE1959"/>
    <w:rsid w:val="56232437"/>
    <w:rsid w:val="56541A75"/>
    <w:rsid w:val="56755377"/>
    <w:rsid w:val="568832FC"/>
    <w:rsid w:val="568C4181"/>
    <w:rsid w:val="570725A9"/>
    <w:rsid w:val="5714693E"/>
    <w:rsid w:val="571D0C9C"/>
    <w:rsid w:val="573A16CE"/>
    <w:rsid w:val="57482A8C"/>
    <w:rsid w:val="578D049F"/>
    <w:rsid w:val="579C7F80"/>
    <w:rsid w:val="57B30D7C"/>
    <w:rsid w:val="58166B03"/>
    <w:rsid w:val="583E3C94"/>
    <w:rsid w:val="58721734"/>
    <w:rsid w:val="58900246"/>
    <w:rsid w:val="58977358"/>
    <w:rsid w:val="58C96F70"/>
    <w:rsid w:val="58CB5DC0"/>
    <w:rsid w:val="58D53944"/>
    <w:rsid w:val="58D65478"/>
    <w:rsid w:val="58F52487"/>
    <w:rsid w:val="58F9403E"/>
    <w:rsid w:val="590422E6"/>
    <w:rsid w:val="592257E5"/>
    <w:rsid w:val="59635CB4"/>
    <w:rsid w:val="59655E33"/>
    <w:rsid w:val="5970233D"/>
    <w:rsid w:val="59CF5BD9"/>
    <w:rsid w:val="59E20C3C"/>
    <w:rsid w:val="59E3512D"/>
    <w:rsid w:val="5A001BC6"/>
    <w:rsid w:val="5A1D5B0A"/>
    <w:rsid w:val="5A2447F3"/>
    <w:rsid w:val="5A3B4B4E"/>
    <w:rsid w:val="5A4804CA"/>
    <w:rsid w:val="5A594C85"/>
    <w:rsid w:val="5A8842AA"/>
    <w:rsid w:val="5AEB1E3C"/>
    <w:rsid w:val="5B2507CA"/>
    <w:rsid w:val="5B2A474A"/>
    <w:rsid w:val="5B2D237E"/>
    <w:rsid w:val="5B612747"/>
    <w:rsid w:val="5B830730"/>
    <w:rsid w:val="5BBB2DD6"/>
    <w:rsid w:val="5BD6009C"/>
    <w:rsid w:val="5BE263B6"/>
    <w:rsid w:val="5C8E5C5A"/>
    <w:rsid w:val="5C965E61"/>
    <w:rsid w:val="5CD839BA"/>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5FD64459"/>
    <w:rsid w:val="5FE33352"/>
    <w:rsid w:val="604F6C39"/>
    <w:rsid w:val="60806DF2"/>
    <w:rsid w:val="61072DA5"/>
    <w:rsid w:val="611C0817"/>
    <w:rsid w:val="61224A52"/>
    <w:rsid w:val="61300818"/>
    <w:rsid w:val="61520CCB"/>
    <w:rsid w:val="61851A29"/>
    <w:rsid w:val="61DF7484"/>
    <w:rsid w:val="622D1522"/>
    <w:rsid w:val="622E0574"/>
    <w:rsid w:val="62683B6B"/>
    <w:rsid w:val="6275761C"/>
    <w:rsid w:val="62816E52"/>
    <w:rsid w:val="62AB7BE6"/>
    <w:rsid w:val="62AC5944"/>
    <w:rsid w:val="632F3F8A"/>
    <w:rsid w:val="63332842"/>
    <w:rsid w:val="63716241"/>
    <w:rsid w:val="637279B4"/>
    <w:rsid w:val="63817D2B"/>
    <w:rsid w:val="63BD1FA9"/>
    <w:rsid w:val="63D175D1"/>
    <w:rsid w:val="63D27965"/>
    <w:rsid w:val="63F4667E"/>
    <w:rsid w:val="6408782B"/>
    <w:rsid w:val="64095516"/>
    <w:rsid w:val="641A2468"/>
    <w:rsid w:val="64372F20"/>
    <w:rsid w:val="648944D0"/>
    <w:rsid w:val="64DC72D7"/>
    <w:rsid w:val="64FA42B4"/>
    <w:rsid w:val="653619A6"/>
    <w:rsid w:val="65610A02"/>
    <w:rsid w:val="658C0E37"/>
    <w:rsid w:val="65A11EA3"/>
    <w:rsid w:val="65AC3D66"/>
    <w:rsid w:val="65BB5334"/>
    <w:rsid w:val="663E1DBA"/>
    <w:rsid w:val="665D0213"/>
    <w:rsid w:val="668506C7"/>
    <w:rsid w:val="669E59F1"/>
    <w:rsid w:val="66A2024B"/>
    <w:rsid w:val="66CB5E2D"/>
    <w:rsid w:val="6704732B"/>
    <w:rsid w:val="670F6731"/>
    <w:rsid w:val="67585CB0"/>
    <w:rsid w:val="67770F0C"/>
    <w:rsid w:val="679E649A"/>
    <w:rsid w:val="67B03535"/>
    <w:rsid w:val="68174F69"/>
    <w:rsid w:val="682C436A"/>
    <w:rsid w:val="68382778"/>
    <w:rsid w:val="68391F41"/>
    <w:rsid w:val="68436B8C"/>
    <w:rsid w:val="68797358"/>
    <w:rsid w:val="6884624F"/>
    <w:rsid w:val="68A519DF"/>
    <w:rsid w:val="68A90218"/>
    <w:rsid w:val="68BF2482"/>
    <w:rsid w:val="68C4160B"/>
    <w:rsid w:val="68C41C30"/>
    <w:rsid w:val="68CF3BA4"/>
    <w:rsid w:val="69257FA7"/>
    <w:rsid w:val="693F26C7"/>
    <w:rsid w:val="697E12B2"/>
    <w:rsid w:val="69C8706D"/>
    <w:rsid w:val="6A0E3FB4"/>
    <w:rsid w:val="6A292754"/>
    <w:rsid w:val="6A5E3B28"/>
    <w:rsid w:val="6A6B1EBE"/>
    <w:rsid w:val="6A8F43F7"/>
    <w:rsid w:val="6AD625F3"/>
    <w:rsid w:val="6B5B46E4"/>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ED00D0"/>
    <w:rsid w:val="6DFA3EBF"/>
    <w:rsid w:val="6E3E63D2"/>
    <w:rsid w:val="6E5F7BE6"/>
    <w:rsid w:val="6E6918C6"/>
    <w:rsid w:val="6EEB4AC4"/>
    <w:rsid w:val="6F212DD6"/>
    <w:rsid w:val="6F3B5912"/>
    <w:rsid w:val="6F856942"/>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5400DF"/>
    <w:rsid w:val="726A729D"/>
    <w:rsid w:val="72A6189E"/>
    <w:rsid w:val="73177841"/>
    <w:rsid w:val="733774FE"/>
    <w:rsid w:val="735231C7"/>
    <w:rsid w:val="73617E1B"/>
    <w:rsid w:val="736D7653"/>
    <w:rsid w:val="738035CB"/>
    <w:rsid w:val="73852C46"/>
    <w:rsid w:val="7396335C"/>
    <w:rsid w:val="73F46595"/>
    <w:rsid w:val="73F47FAE"/>
    <w:rsid w:val="74283FA2"/>
    <w:rsid w:val="742C135B"/>
    <w:rsid w:val="74463733"/>
    <w:rsid w:val="748A2F40"/>
    <w:rsid w:val="74D81D96"/>
    <w:rsid w:val="74D84FF7"/>
    <w:rsid w:val="74F85778"/>
    <w:rsid w:val="75272439"/>
    <w:rsid w:val="758F1E9B"/>
    <w:rsid w:val="75CE266B"/>
    <w:rsid w:val="75E538F2"/>
    <w:rsid w:val="76120141"/>
    <w:rsid w:val="76510960"/>
    <w:rsid w:val="768216BE"/>
    <w:rsid w:val="76C23B43"/>
    <w:rsid w:val="76FD6F97"/>
    <w:rsid w:val="770218E8"/>
    <w:rsid w:val="779469CE"/>
    <w:rsid w:val="77C875A5"/>
    <w:rsid w:val="77D777E8"/>
    <w:rsid w:val="78A27DF6"/>
    <w:rsid w:val="79285B3A"/>
    <w:rsid w:val="79490B03"/>
    <w:rsid w:val="79625CA9"/>
    <w:rsid w:val="79A91196"/>
    <w:rsid w:val="7A0B32D3"/>
    <w:rsid w:val="7AC13CD3"/>
    <w:rsid w:val="7AE10264"/>
    <w:rsid w:val="7AE4248E"/>
    <w:rsid w:val="7B4A207F"/>
    <w:rsid w:val="7B7122A7"/>
    <w:rsid w:val="7B936F45"/>
    <w:rsid w:val="7BA47419"/>
    <w:rsid w:val="7BB10D45"/>
    <w:rsid w:val="7BB44151"/>
    <w:rsid w:val="7C067CC4"/>
    <w:rsid w:val="7C656A39"/>
    <w:rsid w:val="7CAE7D7C"/>
    <w:rsid w:val="7CB93996"/>
    <w:rsid w:val="7CBE0F99"/>
    <w:rsid w:val="7D4E45F1"/>
    <w:rsid w:val="7DFB6D82"/>
    <w:rsid w:val="7E1D71D1"/>
    <w:rsid w:val="7E246254"/>
    <w:rsid w:val="7E553215"/>
    <w:rsid w:val="7E6D090F"/>
    <w:rsid w:val="7E7E2263"/>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5"/>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Balloon Text"/>
    <w:basedOn w:val="1"/>
    <w:link w:val="24"/>
    <w:unhideWhenUsed/>
    <w:qFormat/>
    <w:uiPriority w:val="99"/>
    <w:rPr>
      <w:rFonts w:cstheme="minorBidi"/>
      <w:kern w:val="2"/>
      <w:sz w:val="18"/>
      <w:szCs w:val="18"/>
    </w:rPr>
  </w:style>
  <w:style w:type="paragraph" w:styleId="8">
    <w:name w:val="footer"/>
    <w:basedOn w:val="1"/>
    <w:link w:val="16"/>
    <w:qFormat/>
    <w:uiPriority w:val="99"/>
    <w:pPr>
      <w:tabs>
        <w:tab w:val="center" w:pos="4153"/>
        <w:tab w:val="right" w:pos="8306"/>
      </w:tabs>
      <w:snapToGrid w:val="0"/>
      <w:jc w:val="left"/>
    </w:pPr>
    <w:rPr>
      <w:rFonts w:cstheme="minorBidi"/>
      <w:kern w:val="2"/>
      <w:sz w:val="18"/>
      <w:szCs w:val="18"/>
    </w:rPr>
  </w:style>
  <w:style w:type="paragraph" w:styleId="9">
    <w:name w:val="header"/>
    <w:basedOn w:val="1"/>
    <w:link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2">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customStyle="1" w:styleId="15">
    <w:name w:val="标题 2 Char"/>
    <w:link w:val="3"/>
    <w:qFormat/>
    <w:uiPriority w:val="0"/>
    <w:rPr>
      <w:rFonts w:ascii="Calibri Light" w:hAnsi="Calibri Light" w:eastAsia="宋体" w:cs="Times New Roman"/>
      <w:b/>
      <w:bCs/>
      <w:sz w:val="28"/>
      <w:szCs w:val="32"/>
    </w:rPr>
  </w:style>
  <w:style w:type="character" w:customStyle="1" w:styleId="16">
    <w:name w:val="页脚 Char"/>
    <w:basedOn w:val="13"/>
    <w:link w:val="8"/>
    <w:qFormat/>
    <w:uiPriority w:val="99"/>
    <w:rPr>
      <w:rFonts w:asciiTheme="minorHAnsi" w:hAnsiTheme="minorHAnsi" w:eastAsiaTheme="minorEastAsia" w:cstheme="minorBidi"/>
      <w:sz w:val="18"/>
      <w:szCs w:val="18"/>
      <w:lang w:val="en-US" w:eastAsia="zh-CN" w:bidi="ar-SA"/>
    </w:rPr>
  </w:style>
  <w:style w:type="character" w:customStyle="1" w:styleId="17">
    <w:name w:val="页眉 Char"/>
    <w:basedOn w:val="13"/>
    <w:link w:val="9"/>
    <w:qFormat/>
    <w:uiPriority w:val="0"/>
    <w:rPr>
      <w:rFonts w:asciiTheme="minorHAnsi" w:hAnsiTheme="minorHAnsi" w:eastAsiaTheme="minorEastAsia" w:cstheme="minorBidi"/>
      <w:sz w:val="18"/>
      <w:szCs w:val="18"/>
      <w:lang w:val="en-US" w:eastAsia="zh-CN" w:bidi="ar-SA"/>
    </w:rPr>
  </w:style>
  <w:style w:type="character" w:customStyle="1" w:styleId="18">
    <w:name w:val="font11"/>
    <w:basedOn w:val="13"/>
    <w:qFormat/>
    <w:uiPriority w:val="0"/>
    <w:rPr>
      <w:rFonts w:hint="eastAsia" w:ascii="宋体" w:hAnsi="宋体" w:eastAsia="宋体" w:cs="宋体"/>
      <w:color w:val="000000"/>
      <w:sz w:val="20"/>
      <w:szCs w:val="20"/>
      <w:u w:val="none"/>
      <w:lang w:val="en-US" w:eastAsia="zh-CN" w:bidi="ar-SA"/>
    </w:rPr>
  </w:style>
  <w:style w:type="character" w:customStyle="1" w:styleId="19">
    <w:name w:val="font01"/>
    <w:basedOn w:val="13"/>
    <w:qFormat/>
    <w:uiPriority w:val="0"/>
    <w:rPr>
      <w:rFonts w:hint="eastAsia" w:ascii="宋体" w:hAnsi="宋体" w:eastAsia="宋体" w:cs="宋体"/>
      <w:color w:val="000000"/>
      <w:sz w:val="22"/>
      <w:szCs w:val="22"/>
      <w:u w:val="none"/>
      <w:lang w:val="en-US" w:eastAsia="zh-CN" w:bidi="ar-SA"/>
    </w:rPr>
  </w:style>
  <w:style w:type="character" w:customStyle="1" w:styleId="20">
    <w:name w:val="font41"/>
    <w:basedOn w:val="13"/>
    <w:qFormat/>
    <w:uiPriority w:val="0"/>
    <w:rPr>
      <w:rFonts w:hint="eastAsia" w:ascii="宋体" w:hAnsi="宋体" w:eastAsia="宋体" w:cs="宋体"/>
      <w:color w:val="000000"/>
      <w:sz w:val="24"/>
      <w:szCs w:val="24"/>
      <w:u w:val="none"/>
      <w:lang w:val="en-US" w:eastAsia="zh-CN" w:bidi="ar-SA"/>
    </w:rPr>
  </w:style>
  <w:style w:type="character" w:customStyle="1" w:styleId="21">
    <w:name w:val="font3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2">
    <w:name w:val="font91"/>
    <w:basedOn w:val="13"/>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3">
    <w:name w:val="font51"/>
    <w:basedOn w:val="13"/>
    <w:qFormat/>
    <w:uiPriority w:val="0"/>
    <w:rPr>
      <w:rFonts w:hint="eastAsia" w:ascii="宋体" w:hAnsi="宋体" w:eastAsia="宋体" w:cs="宋体"/>
      <w:color w:val="000000"/>
      <w:sz w:val="24"/>
      <w:szCs w:val="24"/>
      <w:u w:val="none"/>
      <w:lang w:val="en-US" w:eastAsia="zh-CN" w:bidi="ar-SA"/>
    </w:rPr>
  </w:style>
  <w:style w:type="character" w:customStyle="1" w:styleId="24">
    <w:name w:val="批注框文本 Char"/>
    <w:basedOn w:val="13"/>
    <w:link w:val="7"/>
    <w:semiHidden/>
    <w:qFormat/>
    <w:uiPriority w:val="99"/>
    <w:rPr>
      <w:rFonts w:asciiTheme="minorHAnsi" w:hAnsiTheme="minorHAnsi" w:eastAsiaTheme="minorEastAsia" w:cstheme="minorBidi"/>
      <w:sz w:val="18"/>
      <w:szCs w:val="18"/>
      <w:lang w:val="en-US" w:eastAsia="zh-CN" w:bidi="ar-SA"/>
    </w:rPr>
  </w:style>
  <w:style w:type="character" w:customStyle="1" w:styleId="25">
    <w:name w:val="font2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6">
    <w:name w:val="font61"/>
    <w:basedOn w:val="13"/>
    <w:qFormat/>
    <w:uiPriority w:val="0"/>
    <w:rPr>
      <w:rFonts w:hint="eastAsia"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10717.2</c:v>
                </c:pt>
                <c:pt idx="1">
                  <c:v>20618.65</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107171989.45</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6819700.54</c:v>
                </c:pt>
                <c:pt idx="1">
                  <c:v>100352288.91</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20618.65</c:v>
                </c:pt>
                <c:pt idx="1">
                  <c:v>20618.65</c:v>
                </c:pt>
                <c:pt idx="2">
                  <c:v>20618.65</c:v>
                </c:pt>
                <c:pt idx="3">
                  <c:v>20618.65</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10717.2</c:v>
                </c:pt>
                <c:pt idx="1">
                  <c:v>10717.2</c:v>
                </c:pt>
                <c:pt idx="2">
                  <c:v>10717.2</c:v>
                </c:pt>
                <c:pt idx="3">
                  <c:v>10717.2</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3446.77</c:v>
                </c:pt>
                <c:pt idx="1">
                  <c:v>3446.77</c:v>
                </c:pt>
                <c:pt idx="2">
                  <c:v>3446.77</c:v>
                </c:pt>
                <c:pt idx="3">
                  <c:v>3446.77</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10717.2</c:v>
                </c:pt>
                <c:pt idx="1">
                  <c:v>10717.2</c:v>
                </c:pt>
                <c:pt idx="2">
                  <c:v>10717.2</c:v>
                </c:pt>
                <c:pt idx="3">
                  <c:v>10717.2</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tags>
    <s:tag s:spid="_x0000_s1026">
      <s:item s:name="KSO_DOCER_RESOURCE_TRACE_INFO" s:val="{&quot;id&quot;:&quot;&quot;,&quot;origin&quot;:0,&quot;type&quot;:&quot;wordart&quot;,&quot;user&quot;:&quot;292216292&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48</Pages>
  <Words>13359</Words>
  <Characters>16830</Characters>
  <Lines>86</Lines>
  <Paragraphs>24</Paragraphs>
  <TotalTime>249</TotalTime>
  <ScaleCrop>false</ScaleCrop>
  <LinksUpToDate>false</LinksUpToDate>
  <CharactersWithSpaces>17364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86133</cp:lastModifiedBy>
  <cp:lastPrinted>2023-08-04T01:00:00Z</cp:lastPrinted>
  <dcterms:modified xsi:type="dcterms:W3CDTF">2026-08-28T06:33:53Z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5C1B136609854E18BDF3455763276D05_13</vt:lpwstr>
  </property>
  <property fmtid="{D5CDD505-2E9C-101B-9397-08002B2CF9AE}" pid="4" name="KSOTemplateUUID">
    <vt:lpwstr>v1.0_mb_S7ajbG3IpAnL1wSthNCxfw==</vt:lpwstr>
  </property>
  <property fmtid="{D5CDD505-2E9C-101B-9397-08002B2CF9AE}" pid="5" name="KSOTemplateDocerSaveRecord">
    <vt:lpwstr>eyJoZGlkIjoiMGUwMDdiZjE4MTAzNDUzMDk3OTAyNWU5OGVmNGE2MmMiLCJ1c2VySWQiOiIxNTIwMzY1OTkzIn0=</vt:lpwstr>
  </property>
</Properties>
</file>