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rPr>
        <w:drawing>
          <wp:anchor distT="0" distB="0" distL="114300" distR="114300" simplePos="0" relativeHeight="251661312" behindDoc="1" locked="0" layoutInCell="1" allowOverlap="1">
            <wp:simplePos x="0" y="0"/>
            <wp:positionH relativeFrom="column">
              <wp:posOffset>-845820</wp:posOffset>
            </wp:positionH>
            <wp:positionV relativeFrom="page">
              <wp:posOffset>-159385</wp:posOffset>
            </wp:positionV>
            <wp:extent cx="7569835" cy="10692130"/>
            <wp:effectExtent l="0" t="0" r="1206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3"/>
                    <a:srcRect/>
                    <a:stretch>
                      <a:fillRect/>
                    </a:stretch>
                  </pic:blipFill>
                  <pic:spPr>
                    <a:xfrm>
                      <a:off x="0" y="0"/>
                      <a:ext cx="7569835" cy="1069213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-472440</wp:posOffset>
                </wp:positionH>
                <wp:positionV relativeFrom="paragraph">
                  <wp:posOffset>-17145</wp:posOffset>
                </wp:positionV>
                <wp:extent cx="6431280" cy="2862580"/>
                <wp:effectExtent l="0" t="0" r="0" b="0"/>
                <wp:wrapNone/>
                <wp:docPr id="1" name="文本框 1" descr="7b0a2020202022776f7264617274223a20227b5c2269645c223a32353030323136362c5c227469645c223a5c225c227d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wordart&quot;,&quot;user&quot;:&quot;292216292&quot;}"/>
                      </s:tag>
                    </a:ext>
                  </a:extLst>
                </wp:cNvGraphicFramePr>
                <a:graphic xmlns:a="http://schemas.openxmlformats.org/drawingml/2006/main">
                  <a:graphicData uri="http://schemas.microsoft.com/office/word/2010/wordprocessingShape">
                    <wps:wsp>
                      <wps:cNvSpPr txBox="1"/>
                      <wps:spPr>
                        <a:xfrm>
                          <a:off x="0" y="0"/>
                          <a:ext cx="6431280" cy="2862580"/>
                        </a:xfrm>
                        <a:prstGeom prst="rect">
                          <a:avLst/>
                        </a:prstGeom>
                        <a:noFill/>
                        <a:ln>
                          <a:noFill/>
                        </a:ln>
                        <a:effectLst/>
                      </wps:spPr>
                      <wps:txbx>
                        <w:txbxContent>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wps:txbx>
                      <wps:bodyPr upright="1"/>
                    </wps:wsp>
                  </a:graphicData>
                </a:graphic>
              </wp:anchor>
            </w:drawing>
          </mc:Choice>
          <mc:Fallback>
            <w:pict>
              <v:shape id="_x0000_s1026" o:spid="_x0000_s1026" o:spt="202" alt="7b0a2020202022776f7264617274223a20227b5c2269645c223a32353030323136362c5c227469645c223a5c225c227d220a7d0a" type="#_x0000_t202" style="position:absolute;left:0pt;margin-left:-37.2pt;margin-top:-1.35pt;height:225.4pt;width:506.4pt;z-index:251659264;mso-width-relative:page;mso-height-relative:page;" filled="f" stroked="f" coordsize="21600,21600" o:gfxdata="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ysnNNcAAAAKAQAADwAAAAAAAAABACAAAAAiAAAAZHJzL2Rvd25yZXYueG1sUEsB&#10;AhQAFAAAAAgAh07iQKNa9/H2AQAAzgMAAA4AAAAAAAAAAQAgAAAAJgEAAGRycy9lMm9Eb2MueG1s&#10;UEsFBgAAAAAGAAYAWQEAAI4FAAAAAA==&#10;">
                <v:fill on="f" focussize="0,0"/>
                <v:stroke on="f"/>
                <v:imagedata o:title=""/>
                <o:lock v:ext="edit" aspectratio="f"/>
                <v:textbox>
                  <w:txbxContent>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v:textbox>
              </v:shape>
            </w:pict>
          </mc:Fallback>
        </mc:AlternateContent>
      </w: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both"/>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中共石家庄高新区工委巡察工作领导小组办公室</w:t>
      </w:r>
      <w:bookmarkStart w:id="0" w:name="_GoBack"/>
      <w:bookmarkEnd w:id="0"/>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预算代码：</w:t>
      </w:r>
      <w:r>
        <w:rPr>
          <w:rFonts w:hint="eastAsia" w:ascii="楷体_GB2312" w:hAnsi="楷体_GB2312" w:eastAsia="楷体_GB2312" w:cs="楷体_GB2312"/>
          <w:b/>
          <w:bCs/>
          <w:color w:val="0D0D0D" w:themeColor="text1" w:themeTint="F2"/>
          <w:kern w:val="2"/>
          <w:sz w:val="48"/>
          <w:szCs w:val="56"/>
          <w:lang w:val="en-US" w:eastAsia="zh-CN"/>
          <w14:textFill>
            <w14:solidFill>
              <w14:schemeClr w14:val="tx1">
                <w14:lumMod w14:val="95000"/>
                <w14:lumOff w14:val="5000"/>
              </w14:schemeClr>
            </w14:solidFill>
          </w14:textFill>
        </w:rPr>
        <w:t>311001</w:t>
      </w:r>
    </w:p>
    <w:p>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p>
    <w:p>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二〇二六年八月</w:t>
      </w:r>
    </w:p>
    <w:p>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pgBorders>
            <w:top w:val="none" w:sz="0" w:space="0"/>
            <w:left w:val="none" w:sz="0" w:space="0"/>
            <w:bottom w:val="none" w:sz="0" w:space="0"/>
            <w:right w:val="none" w:sz="0" w:space="0"/>
          </w:pgBorders>
          <w:cols w:space="720" w:num="1"/>
          <w:docGrid w:type="lines" w:linePitch="312" w:charSpace="0"/>
        </w:sectPr>
      </w:pPr>
    </w:p>
    <w:p>
      <w:pPr>
        <w:spacing w:line="600" w:lineRule="auto"/>
        <w:jc w:val="center"/>
        <w:rPr>
          <w:rFonts w:hint="eastAsia" w:ascii="楷体_GB2312" w:hAnsi="楷体_GB2312" w:eastAsia="楷体_GB2312" w:cs="楷体_GB2312"/>
          <w:color w:val="000000"/>
          <w:sz w:val="40"/>
          <w:szCs w:val="40"/>
        </w:rPr>
      </w:pPr>
    </w:p>
    <w:p>
      <w:pPr>
        <w:rPr>
          <w:rFonts w:hint="eastAsia" w:ascii="黑体" w:hAnsi="黑体" w:eastAsia="黑体" w:cs="黑体"/>
          <w:b/>
          <w:bCs/>
          <w:sz w:val="32"/>
          <w:szCs w:val="36"/>
          <w:highlight w:val="yellow"/>
        </w:rPr>
      </w:pPr>
    </w:p>
    <w:p>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方正小标宋_GBK"/>
          <w:b w:val="0"/>
          <w:sz w:val="72"/>
          <w:szCs w:val="72"/>
        </w:rPr>
        <w:t>中共石家庄高新区工委巡察工作领导小组办公室</w:t>
      </w:r>
    </w:p>
    <w:p>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仿宋_GB2312"/>
          <w:b w:val="0"/>
          <w:sz w:val="72"/>
          <w:szCs w:val="72"/>
        </w:rPr>
        <w:t>2025</w:t>
      </w:r>
      <w:r>
        <w:rPr>
          <w:rFonts w:ascii="Times New Roman" w:eastAsia="方正小标宋_GBK"/>
          <w:b w:val="0"/>
          <w:sz w:val="72"/>
          <w:szCs w:val="72"/>
        </w:rPr>
        <w:t>年度部门决算公开文本</w:t>
      </w:r>
    </w:p>
    <w:p>
      <w:pPr>
        <w:spacing w:line="360" w:lineRule="auto"/>
        <w:jc w:val="center"/>
        <w:rPr>
          <w:rFonts w:ascii="黑体" w:hAnsi="黑体" w:eastAsia="黑体" w:cs="黑体"/>
          <w:sz w:val="56"/>
          <w:szCs w:val="72"/>
        </w:rPr>
      </w:pPr>
    </w:p>
    <w:p>
      <w:pPr>
        <w:spacing w:line="480" w:lineRule="auto"/>
        <w:jc w:val="both"/>
        <w:rPr>
          <w:rFonts w:ascii="黑体" w:hAnsi="黑体" w:eastAsia="黑体" w:cs="黑体"/>
          <w:sz w:val="56"/>
          <w:szCs w:val="72"/>
        </w:rPr>
      </w:pPr>
    </w:p>
    <w:p>
      <w:pPr>
        <w:widowControl/>
        <w:spacing w:before="0" w:beforeLines="0" w:beforeAutospacing="0" w:after="0" w:afterLines="0" w:afterAutospacing="0" w:line="360" w:lineRule="auto"/>
        <w:jc w:val="center"/>
        <w:rPr>
          <w:rFonts w:hint="eastAsia" w:ascii="Times New Roman" w:eastAsia="楷体_GB2312"/>
          <w:b w:val="0"/>
          <w:sz w:val="44"/>
          <w:szCs w:val="44"/>
          <w:lang w:val="en-US" w:eastAsia="zh-CN"/>
        </w:rPr>
      </w:pPr>
      <w:r>
        <w:rPr>
          <w:rFonts w:hint="eastAsia" w:ascii="Times New Roman" w:eastAsia="楷体_GB2312"/>
          <w:b w:val="0"/>
          <w:sz w:val="44"/>
          <w:szCs w:val="44"/>
          <w:lang w:val="en-US" w:eastAsia="zh-CN"/>
        </w:rPr>
        <w:t xml:space="preserve"> </w:t>
      </w:r>
    </w:p>
    <w:p>
      <w:pPr>
        <w:widowControl/>
        <w:spacing w:before="0" w:beforeLines="0" w:beforeAutospacing="0" w:after="0" w:afterLines="0" w:afterAutospacing="0" w:line="360" w:lineRule="auto"/>
        <w:jc w:val="center"/>
        <w:rPr>
          <w:rFonts w:hint="eastAsia" w:ascii="Times New Roman" w:eastAsia="楷体_GB2312"/>
          <w:b w:val="0"/>
          <w:sz w:val="44"/>
          <w:szCs w:val="44"/>
          <w:lang w:val="en-US" w:eastAsia="zh-CN"/>
        </w:rPr>
      </w:pPr>
      <w:r>
        <w:rPr>
          <w:rFonts w:hint="eastAsia" w:ascii="Times New Roman" w:eastAsia="楷体_GB2312"/>
          <w:b w:val="0"/>
          <w:sz w:val="44"/>
          <w:szCs w:val="44"/>
          <w:lang w:val="en-US" w:eastAsia="zh-CN"/>
        </w:rPr>
        <w:t xml:space="preserve">， </w:t>
      </w:r>
    </w:p>
    <w:p>
      <w:pPr>
        <w:widowControl/>
        <w:spacing w:before="0" w:beforeLines="0" w:beforeAutospacing="0" w:after="0" w:afterLines="0" w:afterAutospacing="0" w:line="360" w:lineRule="auto"/>
        <w:jc w:val="center"/>
        <w:rPr>
          <w:rFonts w:hint="default" w:ascii="Times New Roman" w:eastAsia="楷体_GB2312"/>
          <w:b w:val="0"/>
          <w:sz w:val="44"/>
          <w:szCs w:val="44"/>
          <w:lang w:val="en-US" w:eastAsia="zh-CN"/>
        </w:rPr>
      </w:pPr>
    </w:p>
    <w:p>
      <w:pPr>
        <w:rPr>
          <w:rFonts w:hint="eastAsia"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br w:type="page"/>
      </w:r>
    </w:p>
    <w:p>
      <w:pPr>
        <w:snapToGrid w:val="0"/>
        <w:jc w:val="left"/>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footerReference r:id="rId4" w:type="default"/>
          <w:pgSz w:w="11906" w:h="16838"/>
          <w:pgMar w:top="1531" w:right="1984" w:bottom="1531" w:left="2098"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目  录</w:t>
      </w:r>
    </w:p>
    <w:p>
      <w:pPr>
        <w:widowControl/>
        <w:spacing w:after="160" w:line="580" w:lineRule="exact"/>
        <w:ind w:firstLine="640" w:firstLineChars="200"/>
        <w:rPr>
          <w:rFonts w:ascii="Times New Roman" w:hAnsi="Times New Roman" w:eastAsia="黑体" w:cs="Times New Roman"/>
          <w:sz w:val="32"/>
          <w:szCs w:val="32"/>
        </w:rPr>
      </w:pP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第一部分</w:t>
      </w:r>
      <w:r>
        <w:rPr>
          <w:rFonts w:hint="eastAsia" w:ascii="Times New Roman" w:eastAsia="黑体"/>
          <w:b w:val="0"/>
          <w:sz w:val="32"/>
          <w:szCs w:val="32"/>
          <w:lang w:eastAsia="zh-CN"/>
        </w:rPr>
        <w:t xml:space="preserve">  部门</w:t>
      </w:r>
      <w:r>
        <w:rPr>
          <w:rFonts w:ascii="Times New Roman" w:eastAsia="黑体"/>
          <w:b w:val="0"/>
          <w:sz w:val="32"/>
          <w:szCs w:val="32"/>
        </w:rPr>
        <w:t>概况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w:t>
      </w:r>
      <w:r>
        <w:rPr>
          <w:rFonts w:hint="eastAsia" w:ascii="Times New Roman" w:eastAsia="仿宋_GB2312"/>
          <w:b w:val="0"/>
          <w:sz w:val="32"/>
          <w:szCs w:val="32"/>
          <w:lang w:eastAsia="zh-CN"/>
        </w:rPr>
        <w:t xml:space="preserve">  部门</w:t>
      </w:r>
      <w:r>
        <w:rPr>
          <w:rFonts w:ascii="Times New Roman" w:eastAsia="仿宋_GB2312"/>
          <w:b w:val="0"/>
          <w:sz w:val="32"/>
          <w:szCs w:val="32"/>
        </w:rPr>
        <w:t>职责</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二、机构设置</w:t>
      </w:r>
    </w:p>
    <w:p>
      <w:pPr>
        <w:widowControl/>
        <w:spacing w:before="0" w:beforeLines="0" w:beforeAutospacing="0" w:after="0" w:afterLines="0" w:afterAutospacing="0" w:line="360" w:lineRule="auto"/>
        <w:jc w:val="left"/>
        <w:outlineLvl w:val="0"/>
        <w:rPr>
          <w:rFonts w:ascii="Times New Roman" w:eastAsia="黑体"/>
          <w:sz w:val="32"/>
          <w:szCs w:val="32"/>
        </w:rPr>
      </w:pPr>
      <w:r>
        <w:rPr>
          <w:rFonts w:ascii="Times New Roman" w:eastAsia="黑体"/>
          <w:b w:val="0"/>
          <w:sz w:val="32"/>
          <w:szCs w:val="32"/>
        </w:rPr>
        <w:t>第二部分 2025年度部门决算报表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五、一般公共预算财政拨款支出决算表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六、一般公共预算财政拨款基本支出决算明细表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七、政府性基金预算财政拨款收入支出决算表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八、国有资本经营预算财政拨款支出决算表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九、财政拨款“三公”经费支出决算表</w:t>
      </w: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第三部分 2025年度部门决算情况说明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五、财政拨款“三公”经费支出决算情况说明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六、机关运行经费支出说明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七、政府采购支出说明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八、国有资产占用情况说明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九、关于2025年度绩效评价情况的说明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十、其他需要说明的情况</w:t>
      </w: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第四部分 名词解释</w:t>
      </w:r>
    </w:p>
    <w:p>
      <w:pPr>
        <w:widowControl/>
        <w:spacing w:after="160" w:line="580" w:lineRule="exact"/>
        <w:rPr>
          <w:rFonts w:hint="eastAsia" w:ascii="Times New Roman" w:hAnsi="Times New Roman" w:eastAsia="黑体" w:cs="Times New Roman"/>
          <w:sz w:val="32"/>
          <w:szCs w:val="32"/>
          <w:lang w:val="en-US" w:eastAsia="zh-CN"/>
        </w:rPr>
        <w:sectPr>
          <w:headerReference r:id="rId6" w:type="first"/>
          <w:footerReference r:id="rId8" w:type="first"/>
          <w:headerReference r:id="rId5" w:type="default"/>
          <w:footerReference r:id="rId7"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第一部分</w:t>
      </w:r>
      <w:r>
        <w:rPr>
          <w:rFonts w:hint="eastAsia" w:ascii="Times New Roman" w:eastAsia="黑体"/>
          <w:b w:val="0"/>
          <w:sz w:val="44"/>
          <w:szCs w:val="44"/>
          <w:lang w:eastAsia="zh-CN"/>
        </w:rPr>
        <w:t xml:space="preserve">  部门</w:t>
      </w:r>
      <w:r>
        <w:rPr>
          <w:rFonts w:ascii="Times New Roman" w:eastAsia="黑体"/>
          <w:b w:val="0"/>
          <w:sz w:val="44"/>
          <w:szCs w:val="44"/>
        </w:rPr>
        <w:t>概况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outlineLvl w:val="1"/>
        <w:rPr>
          <w:rFonts w:hint="eastAsia" w:ascii="黑体" w:hAnsi="宋体" w:eastAsia="黑体" w:cs="黑体"/>
          <w:i w:val="0"/>
          <w:iCs w:val="0"/>
          <w:caps w:val="0"/>
          <w:color w:val="000000"/>
          <w:spacing w:val="0"/>
          <w:sz w:val="32"/>
          <w:szCs w:val="32"/>
          <w:highlight w:val="none"/>
          <w:shd w:val="clear" w:fill="FFFFFF"/>
          <w:lang w:val="en-US" w:eastAsia="zh-CN"/>
        </w:rPr>
      </w:pP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w:t>
      </w:r>
      <w:r>
        <w:rPr>
          <w:rFonts w:hint="eastAsia" w:ascii="Times New Roman" w:eastAsia="黑体"/>
          <w:b w:val="0"/>
          <w:sz w:val="32"/>
          <w:szCs w:val="32"/>
          <w:lang w:eastAsia="zh-CN"/>
        </w:rPr>
        <w:t xml:space="preserve">  部门</w:t>
      </w:r>
      <w:r>
        <w:rPr>
          <w:rFonts w:ascii="Times New Roman" w:eastAsia="黑体"/>
          <w:b w:val="0"/>
          <w:sz w:val="32"/>
          <w:szCs w:val="32"/>
        </w:rPr>
        <w:t>职责</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传达贯彻党中央、省委、市委、区工委巡视巡察工作领导小组的决策部署，向区工委巡察工作领导小组报告工作情况；对上级和区工委巡察工作领导小组决定的事项进行督办；统筹协调配合上级巡视、巡察工作，开展区级巡察工作；承担巡视巡察政策研究、制度建设等工作；督促检查巡视巡察反馈意见的整改落实；配合有关部门对巡察工作人员进行培训、考核、监督和管理；办理区工委巡察工作领导小组交办的其他事项。</w:t>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二、机构设置</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从决算编报</w:t>
      </w:r>
      <w:r>
        <w:rPr>
          <w:rFonts w:hint="eastAsia" w:ascii="Times New Roman" w:eastAsia="仿宋_GB2312"/>
          <w:b w:val="0"/>
          <w:sz w:val="32"/>
          <w:szCs w:val="32"/>
          <w:lang w:eastAsia="zh-CN"/>
        </w:rPr>
        <w:t xml:space="preserve">  部门</w:t>
      </w:r>
      <w:r>
        <w:rPr>
          <w:rFonts w:ascii="Times New Roman" w:eastAsia="仿宋_GB2312"/>
          <w:b w:val="0"/>
          <w:sz w:val="32"/>
          <w:szCs w:val="32"/>
        </w:rPr>
        <w:t>构成看，纳入2025年度本部门决算汇编范围的独立核算</w:t>
      </w:r>
      <w:r>
        <w:rPr>
          <w:rFonts w:hint="eastAsia" w:ascii="Times New Roman" w:eastAsia="仿宋_GB2312"/>
          <w:b w:val="0"/>
          <w:sz w:val="32"/>
          <w:szCs w:val="32"/>
          <w:lang w:eastAsia="zh-CN"/>
        </w:rPr>
        <w:t xml:space="preserve">  部门</w:t>
      </w:r>
      <w:r>
        <w:rPr>
          <w:rFonts w:ascii="Times New Roman" w:eastAsia="仿宋_GB2312"/>
          <w:b w:val="0"/>
          <w:sz w:val="32"/>
          <w:szCs w:val="32"/>
        </w:rPr>
        <w:t>（以下简称“</w:t>
      </w:r>
      <w:r>
        <w:rPr>
          <w:rFonts w:hint="eastAsia" w:ascii="Times New Roman" w:eastAsia="仿宋_GB2312"/>
          <w:b w:val="0"/>
          <w:sz w:val="32"/>
          <w:szCs w:val="32"/>
          <w:lang w:eastAsia="zh-CN"/>
        </w:rPr>
        <w:t xml:space="preserve">  部门</w:t>
      </w:r>
      <w:r>
        <w:rPr>
          <w:rFonts w:ascii="Times New Roman" w:eastAsia="仿宋_GB2312"/>
          <w:b w:val="0"/>
          <w:sz w:val="32"/>
          <w:szCs w:val="32"/>
        </w:rPr>
        <w:t>”）共1个，具体情况如下：</w:t>
      </w:r>
    </w:p>
    <w:tbl>
      <w:tblPr>
        <w:tblStyle w:val="11"/>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lang w:eastAsia="zh-CN"/>
              </w:rPr>
              <w:t xml:space="preserve">  部门</w:t>
            </w:r>
            <w:r>
              <w:rPr>
                <w:rFonts w:hint="eastAsia" w:ascii="仿宋_GB2312" w:hAnsi="Calibri" w:eastAsia="仿宋_GB2312" w:cs="ArialUnicodeMS"/>
                <w:b/>
                <w:bCs/>
                <w:kern w:val="0"/>
                <w:sz w:val="28"/>
                <w:szCs w:val="28"/>
              </w:rPr>
              <w:t>名称</w:t>
            </w:r>
          </w:p>
        </w:tc>
        <w:tc>
          <w:tcPr>
            <w:tcW w:w="244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lang w:eastAsia="zh-CN"/>
              </w:rPr>
              <w:t xml:space="preserve">  部门</w:t>
            </w:r>
            <w:r>
              <w:rPr>
                <w:rFonts w:hint="eastAsia" w:ascii="仿宋_GB2312" w:hAnsi="Calibri" w:eastAsia="仿宋_GB2312" w:cs="ArialUnicodeMS"/>
                <w:b/>
                <w:bCs/>
                <w:kern w:val="0"/>
                <w:sz w:val="28"/>
                <w:szCs w:val="28"/>
              </w:rPr>
              <w:t>基本性质</w:t>
            </w:r>
          </w:p>
        </w:tc>
        <w:tc>
          <w:tcPr>
            <w:tcW w:w="266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1</w:t>
            </w:r>
          </w:p>
        </w:tc>
        <w:tc>
          <w:tcPr>
            <w:tcW w:w="34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中共石家庄高新区工委巡察工作领导小组办公室(本级)</w:t>
            </w:r>
          </w:p>
        </w:tc>
        <w:tc>
          <w:tcPr>
            <w:tcW w:w="2445" w:type="dxa"/>
          </w:tcPr>
          <w:p>
            <w:pPr>
              <w:spacing w:line="560" w:lineRule="exact"/>
              <w:jc w:val="center"/>
              <w:rPr>
                <w:rFonts w:ascii="仿宋_GB2312" w:hAnsi="Calibri" w:eastAsia="仿宋_GB2312" w:cs="ArialUnicodeMS"/>
                <w:kern w:val="0"/>
                <w:sz w:val="28"/>
                <w:szCs w:val="28"/>
              </w:rPr>
            </w:pPr>
          </w:p>
        </w:tc>
        <w:tc>
          <w:tcPr>
            <w:tcW w:w="266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全额</w:t>
            </w:r>
          </w:p>
        </w:tc>
      </w:tr>
    </w:tbl>
    <w:p>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第二部分</w:t>
      </w:r>
      <w:r>
        <w:rPr>
          <w:rFonts w:ascii="Times New Roman" w:eastAsia="仿宋_GB2312"/>
          <w:b w:val="0"/>
          <w:sz w:val="44"/>
          <w:szCs w:val="44"/>
        </w:rPr>
        <w:t>2025</w:t>
      </w:r>
      <w:r>
        <w:rPr>
          <w:rFonts w:ascii="Times New Roman" w:eastAsia="黑体"/>
          <w:b w:val="0"/>
          <w:sz w:val="44"/>
          <w:szCs w:val="44"/>
        </w:rPr>
        <w:t>年度部门决算表</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bidi w:val="0"/>
        <w:rPr>
          <w:rFonts w:hint="default"/>
          <w:lang w:val="en-US" w:eastAsia="zh-CN"/>
        </w:rPr>
      </w:pPr>
    </w:p>
    <w:p>
      <w:pPr>
        <w:bidi w:val="0"/>
        <w:rPr>
          <w:rFonts w:hint="default"/>
          <w:lang w:val="en-US" w:eastAsia="zh-CN"/>
        </w:r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154"/>
        <w:gridCol w:w="1791"/>
        <w:gridCol w:w="1300"/>
        <w:gridCol w:w="675"/>
        <w:gridCol w:w="2124"/>
        <w:gridCol w:w="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61" w:hRule="atLeast"/>
        </w:trPr>
        <w:tc>
          <w:tcPr>
            <w:tcW w:w="4985" w:type="pct"/>
            <w:gridSpan w:val="8"/>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000000" w:themeColor="text1" w:sz="8" w:space="0"/>
              <w:right w:val="nil"/>
            </w:tcBorders>
            <w:noWrap/>
            <w:vAlign w:val="bottom"/>
          </w:tcPr>
          <w:p>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  部门）：中共石家庄高新区工委巡察工作领导小组办公室(本级)</w:t>
            </w:r>
          </w:p>
        </w:tc>
        <w:tc>
          <w:tcPr>
            <w:tcW w:w="1262" w:type="pct"/>
            <w:gridSpan w:val="2"/>
            <w:tcBorders>
              <w:top w:val="nil"/>
              <w:left w:val="nil"/>
              <w:bottom w:val="single" w:color="000000" w:themeColor="text1" w:sz="8" w:space="0"/>
              <w:right w:val="nil"/>
            </w:tcBorders>
            <w:noWrap/>
            <w:vAlign w:val="bottom"/>
          </w:tcPr>
          <w:p>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000000" w:themeColor="text1" w:sz="8" w:space="0"/>
              <w:right w:val="nil"/>
            </w:tcBorders>
            <w:noWrap/>
            <w:vAlign w:val="bottom"/>
          </w:tcPr>
          <w:p>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  部门：万元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45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2525"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  部门上缴收入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681"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78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9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二十二、灾害防治及应急管理支出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二十六、抗疫特别国债安排的支出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注：1.本表反映部门本年度的总收支和年末结转结余情况。</w:t>
            </w:r>
          </w:p>
          <w:p>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2.本套报表金额转换时可能存在尾数误差。</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000000" w:themeColor="text1" w:sz="8" w:space="0"/>
              <w:right w:val="nil"/>
            </w:tcBorders>
            <w:noWrap/>
            <w:vAlign w:val="bottom"/>
          </w:tcPr>
          <w:p>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  部门）：中共石家庄高新区工委巡察工作领导小组办公室(本级)                                                                                                         </w:t>
            </w:r>
          </w:p>
        </w:tc>
        <w:tc>
          <w:tcPr>
            <w:tcW w:w="3405" w:type="dxa"/>
            <w:gridSpan w:val="4"/>
            <w:tcBorders>
              <w:top w:val="nil"/>
              <w:left w:val="nil"/>
              <w:bottom w:val="single" w:color="000000" w:themeColor="text1" w:sz="8" w:space="0"/>
              <w:right w:val="nil"/>
            </w:tcBorders>
            <w:noWrap/>
            <w:vAlign w:val="bottom"/>
          </w:tcPr>
          <w:p>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default" w:ascii="Times New Roman" w:hAnsi="Times New Roman" w:eastAsia="方正仿宋_GB2312" w:cs="Times New Roman"/>
                <w:i w:val="0"/>
                <w:iCs w:val="0"/>
                <w:color w:val="000000"/>
                <w:sz w:val="20"/>
                <w:szCs w:val="20"/>
                <w:highlight w:val="none"/>
                <w:u w:val="none"/>
                <w:lang w:val="en-US" w:eastAsia="zh-CN"/>
              </w:rPr>
              <w:t>202</w:t>
            </w:r>
            <w:r>
              <w:rPr>
                <w:rFonts w:hint="eastAsia" w:ascii="Times New Roman" w:hAnsi="Times New Roman" w:eastAsia="方正仿宋_GB2312" w:cs="Times New Roman"/>
                <w:i w:val="0"/>
                <w:iCs w:val="0"/>
                <w:color w:val="00000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000000" w:themeColor="text1" w:sz="8" w:space="0"/>
              <w:right w:val="nil"/>
            </w:tcBorders>
            <w:noWrap/>
            <w:vAlign w:val="bottom"/>
          </w:tcPr>
          <w:p>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  部门：万元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  部门上缴收入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20111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纪检监察事务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2011106</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巡视工作</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130.08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注：本表反映部门本年度取得的各项收入情况。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5000" w:type="pct"/>
            <w:gridSpan w:val="10"/>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  部门）：中共石家庄高新区工委巡察工作领导小组办公室(本级)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1403"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eastAsiaTheme="minorEastAsia"/>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34"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金额  部门：万元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79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  部门补助支出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6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114.01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16.07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20111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纪检监察事务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2011106</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巡视工作</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注：本表反映部门本年度各项支出情况。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04</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000000" w:themeColor="text1" w:sz="8" w:space="0"/>
              <w:right w:val="nil"/>
            </w:tcBorders>
            <w:noWrap/>
            <w:vAlign w:val="bottom"/>
          </w:tcPr>
          <w:p>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  部门）：中共石家庄高新区工委巡察工作领导小组办公室(本级)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649" w:type="pct"/>
            <w:gridSpan w:val="3"/>
            <w:tcBorders>
              <w:top w:val="nil"/>
              <w:left w:val="nil"/>
              <w:bottom w:val="single" w:color="000000" w:themeColor="text1" w:sz="8" w:space="0"/>
              <w:right w:val="nil"/>
            </w:tcBorders>
            <w:noWrap/>
            <w:vAlign w:val="bottom"/>
          </w:tcPr>
          <w:p>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919" w:type="pct"/>
            <w:gridSpan w:val="4"/>
            <w:tcBorders>
              <w:top w:val="nil"/>
              <w:left w:val="nil"/>
              <w:bottom w:val="single" w:color="000000" w:themeColor="text1" w:sz="8" w:space="0"/>
              <w:right w:val="nil"/>
            </w:tcBorders>
            <w:noWrap/>
            <w:vAlign w:val="bottom"/>
          </w:tcPr>
          <w:p>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  部门：万元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3276" w:type="pct"/>
            <w:gridSpan w:val="8"/>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    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60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895"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55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0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95"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5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b/>
                <w:bCs/>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both"/>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both"/>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cs="Times New Roman"/>
                <w:sz w:val="20"/>
                <w:szCs w:val="20"/>
                <w:highlight w:val="none"/>
              </w:rPr>
            </w:pPr>
          </w:p>
          <w:p>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130.08</w:t>
            </w:r>
          </w:p>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注：本表反映部门本年度一般公共预算财政拨款、政府性基金预算财政拨款和国有资本经营预算财政拨款的总收支和年末结转结余情况。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348"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57"/>
        <w:gridCol w:w="2318"/>
        <w:gridCol w:w="1241"/>
        <w:gridCol w:w="671"/>
        <w:gridCol w:w="703"/>
        <w:gridCol w:w="376"/>
        <w:gridCol w:w="12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5000" w:type="pct"/>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000" w:type="pct"/>
            <w:gridSpan w:val="7"/>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868" w:type="pct"/>
            <w:gridSpan w:val="3"/>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  部门）：中共石家庄高新区工委巡察工作领导小组办公室(本级)</w:t>
            </w:r>
          </w:p>
        </w:tc>
        <w:tc>
          <w:tcPr>
            <w:tcW w:w="1541" w:type="pct"/>
            <w:gridSpan w:val="2"/>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590" w:type="pct"/>
            <w:gridSpan w:val="2"/>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  部门：万元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3538" w:type="pct"/>
            <w:gridSpan w:val="5"/>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restart"/>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7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218" w:type="pct"/>
            <w:vMerge w:val="restart"/>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130.08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114.01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20111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纪检监察事务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2011106</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巡视工作</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130.08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5000" w:type="pct"/>
            <w:gridSpan w:val="7"/>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116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32"/>
        <w:gridCol w:w="1896"/>
        <w:gridCol w:w="666"/>
        <w:gridCol w:w="933"/>
        <w:gridCol w:w="122"/>
        <w:gridCol w:w="1774"/>
        <w:gridCol w:w="666"/>
        <w:gridCol w:w="1650"/>
        <w:gridCol w:w="1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pPr>
              <w:keepNext w:val="0"/>
              <w:keepLines w:val="0"/>
              <w:widowControl/>
              <w:suppressLineNumbers w:val="0"/>
              <w:snapToGrid w:val="0"/>
              <w:jc w:val="center"/>
              <w:textAlignment w:val="bottom"/>
              <w:rPr>
                <w:rFonts w:ascii="方正仿宋_GB2312" w:hAnsi="方正仿宋_GB2312" w:eastAsia="方正仿宋_GB2312" w:cs="方正仿宋_GB2312"/>
                <w:i w:val="0"/>
                <w:iCs w:val="0"/>
                <w:color w:val="000000"/>
                <w:sz w:val="32"/>
                <w:szCs w:val="32"/>
                <w:u w:val="none"/>
              </w:rPr>
            </w:pPr>
            <w:r>
              <w:rPr>
                <w:rFonts w:hint="eastAsia" w:ascii="方正仿宋_GB2312" w:hAnsi="方正仿宋_GB2312" w:eastAsia="方正仿宋_GB2312" w:cs="方正仿宋_GB2312"/>
                <w:i w:val="0"/>
                <w:iCs w:val="0"/>
                <w:color w:val="000000"/>
                <w:kern w:val="0"/>
                <w:sz w:val="32"/>
                <w:szCs w:val="32"/>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公开</w:t>
            </w:r>
            <w:r>
              <w:rPr>
                <w:rFonts w:hint="default" w:ascii="Times New Roman" w:hAnsi="Times New Roman" w:eastAsia="方正仿宋_GB2312" w:cs="Times New Roman"/>
                <w:i w:val="0"/>
                <w:iCs w:val="0"/>
                <w:color w:val="000000"/>
                <w:kern w:val="0"/>
                <w:sz w:val="18"/>
                <w:szCs w:val="18"/>
                <w:u w:val="none"/>
                <w:lang w:val="en-US" w:eastAsia="zh-CN" w:bidi="ar"/>
              </w:rPr>
              <w:t>06</w:t>
            </w:r>
            <w:r>
              <w:rPr>
                <w:rStyle w:val="25"/>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15" w:type="dxa"/>
            <w:gridSpan w:val="6"/>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both"/>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部门（  部门）：中共石家庄高新区工委巡察工作领导小组办公室(本级) </w:t>
            </w:r>
            <w:r>
              <w:rPr>
                <w:rFonts w:hint="eastAsia" w:ascii="宋体" w:hAnsi="宋体" w:eastAsia="宋体" w:cs="宋体"/>
                <w:i w:val="0"/>
                <w:iCs w:val="0"/>
                <w:color w:val="000000"/>
                <w:kern w:val="0"/>
                <w:sz w:val="18"/>
                <w:szCs w:val="18"/>
                <w:u w:val="none"/>
                <w:lang w:val="en-US" w:eastAsia="zh-CN" w:bidi="ar"/>
              </w:rPr>
              <w:t xml:space="preserve">                                                                   </w:t>
            </w:r>
          </w:p>
        </w:tc>
        <w:tc>
          <w:tcPr>
            <w:tcW w:w="1774" w:type="dxa"/>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w:t>
            </w:r>
            <w:r>
              <w:rPr>
                <w:rStyle w:val="25"/>
                <w:lang w:val="en-US" w:eastAsia="zh-CN" w:bidi="ar"/>
              </w:rPr>
              <w:t>年度</w:t>
            </w:r>
          </w:p>
        </w:tc>
        <w:tc>
          <w:tcPr>
            <w:tcW w:w="4212" w:type="dxa"/>
            <w:gridSpan w:val="3"/>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  部门：万元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9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w:t>
            </w:r>
          </w:p>
        </w:tc>
        <w:tc>
          <w:tcPr>
            <w:tcW w:w="7707" w:type="dxa"/>
            <w:gridSpan w:val="7"/>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055" w:type="dxa"/>
            <w:gridSpan w:val="2"/>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774"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650"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101.69</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基本工资</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2.38</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津贴补贴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奖金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伙食补助费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绩效工资</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  部门基本养老保险缴费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租赁费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12.32</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99.31</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12.32</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snapToGrid w:val="0"/>
              <w:jc w:val="center"/>
              <w:rPr>
                <w:rFonts w:hint="default" w:ascii="Times New Roman" w:hAnsi="Times New Roman" w:eastAsia="宋体" w:cs="Times New Roman"/>
                <w:i w:val="0"/>
                <w:iCs w:val="0"/>
                <w:color w:val="000000"/>
                <w:sz w:val="18"/>
                <w:szCs w:val="18"/>
                <w:u w:val="none"/>
              </w:rPr>
            </w:pPr>
          </w:p>
        </w:tc>
        <w:tc>
          <w:tcPr>
            <w:tcW w:w="1650" w:type="dxa"/>
            <w:tcBorders>
              <w:top w:val="nil"/>
              <w:left w:val="nil"/>
              <w:bottom w:val="single" w:color="000000" w:sz="8" w:space="0"/>
              <w:right w:val="single" w:color="000000" w:sz="8" w:space="0"/>
            </w:tcBorders>
            <w:shd w:val="clear" w:color="auto" w:fill="auto"/>
            <w:noWrap/>
            <w:vAlign w:val="center"/>
          </w:tcPr>
          <w:p>
            <w:pPr>
              <w:snapToGrid w:val="0"/>
              <w:jc w:val="left"/>
              <w:rPr>
                <w:rFonts w:hint="eastAsia" w:ascii="方正仿宋_GB2312" w:hAnsi="方正仿宋_GB2312" w:eastAsia="方正仿宋_GB2312" w:cs="方正仿宋_GB2312"/>
                <w:i w:val="0"/>
                <w:iCs w:val="0"/>
                <w:color w:val="000000"/>
                <w:sz w:val="18"/>
                <w:szCs w:val="18"/>
                <w:u w:val="none"/>
              </w:rPr>
            </w:pPr>
          </w:p>
        </w:tc>
        <w:tc>
          <w:tcPr>
            <w:tcW w:w="1896" w:type="dxa"/>
            <w:tcBorders>
              <w:top w:val="nil"/>
              <w:left w:val="nil"/>
              <w:bottom w:val="single" w:color="000000" w:sz="8" w:space="0"/>
              <w:right w:val="single" w:color="000000" w:sz="8" w:space="0"/>
            </w:tcBorders>
            <w:shd w:val="clear" w:color="auto" w:fill="auto"/>
            <w:noWrap/>
            <w:vAlign w:val="center"/>
          </w:tcPr>
          <w:p>
            <w:pPr>
              <w:snapToGrid w:val="0"/>
              <w:jc w:val="right"/>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8" w:type="dxa"/>
            <w:gridSpan w:val="2"/>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12.32</w:t>
            </w:r>
          </w:p>
        </w:tc>
        <w:tc>
          <w:tcPr>
            <w:tcW w:w="5811" w:type="dxa"/>
            <w:gridSpan w:val="6"/>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注：本表反映部门本年度一般公共预算财政拨款基本支出明细情况。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  部门）：中共石家庄高新区工委巡察工作领导小组办公室(本级) </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217"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854"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  部门：万元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48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160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97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7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53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54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注：本表反映部门本年度政府性基金预算财政拨款收入、支出及结转和结余情况。</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63" w:type="pct"/>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3"/>
        <w:gridCol w:w="731"/>
        <w:gridCol w:w="1296"/>
        <w:gridCol w:w="1332"/>
        <w:gridCol w:w="5"/>
        <w:gridCol w:w="47"/>
        <w:gridCol w:w="1281"/>
        <w:gridCol w:w="10"/>
        <w:gridCol w:w="17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74" w:type="pct"/>
            <w:gridSpan w:val="2"/>
            <w:tcBorders>
              <w:top w:val="nil"/>
              <w:left w:val="nil"/>
              <w:bottom w:val="single" w:color="000000" w:themeColor="text1" w:sz="8" w:space="0"/>
              <w:right w:val="nil"/>
            </w:tcBorders>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  部门）：中共石家庄高新区工委巡察工作领导小组办公室(本级)</w:t>
            </w:r>
          </w:p>
        </w:tc>
        <w:tc>
          <w:tcPr>
            <w:tcW w:w="1421" w:type="pct"/>
            <w:gridSpan w:val="4"/>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603"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  部门：万元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项目</w:t>
            </w:r>
          </w:p>
        </w:tc>
        <w:tc>
          <w:tcPr>
            <w:tcW w:w="2337" w:type="pct"/>
            <w:gridSpan w:val="6"/>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2337" w:type="pct"/>
            <w:gridSpan w:val="6"/>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07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709"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709"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919" w:type="pct"/>
            <w:vMerge w:val="restart"/>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7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19" w:type="pct"/>
            <w:vMerge w:val="continue"/>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注：本表反映部门本年度国有资本经营预算财政拨款支出情况。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部门（  部门）：中共石家庄高新区工委巡察工作领导小组办公室(本级)</w:t>
            </w:r>
          </w:p>
        </w:tc>
        <w:tc>
          <w:tcPr>
            <w:tcW w:w="933"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202</w:t>
            </w:r>
            <w:r>
              <w:rPr>
                <w:rFonts w:hint="eastAsia" w:ascii="Times New Roman" w:hAnsi="Times New Roman" w:eastAsia="宋体" w:cs="Times New Roman"/>
                <w:i w:val="0"/>
                <w:iCs w:val="0"/>
                <w:color w:val="000000"/>
                <w:kern w:val="0"/>
                <w:sz w:val="18"/>
                <w:szCs w:val="18"/>
                <w:highlight w:val="none"/>
                <w:u w:val="none"/>
                <w:lang w:val="en-US" w:eastAsia="zh-CN" w:bidi="ar"/>
              </w:rPr>
              <w:t>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2129" w:type="pct"/>
            <w:gridSpan w:val="6"/>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  部门：万元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2493"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217"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3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366"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48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12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51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3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66"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48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51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headerReference r:id="rId9" w:type="default"/>
          <w:footerReference r:id="rId10" w:type="default"/>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第三部分</w:t>
      </w:r>
      <w:r>
        <w:rPr>
          <w:rFonts w:ascii="Times New Roman" w:eastAsia="仿宋_GB2312"/>
          <w:b w:val="0"/>
          <w:sz w:val="44"/>
          <w:szCs w:val="44"/>
        </w:rPr>
        <w:t>2025</w:t>
      </w:r>
      <w:r>
        <w:rPr>
          <w:rFonts w:ascii="Times New Roman" w:eastAsia="黑体"/>
          <w:b w:val="0"/>
          <w:sz w:val="44"/>
          <w:szCs w:val="44"/>
        </w:rPr>
        <w:t>年度部门决算情况说明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sectPr>
          <w:footerReference r:id="rId11" w:type="default"/>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pP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2025年度收、支总计（含结转和结余）均为130.08万元。与2024年度决算相比，收支各增加1.41万元，增长1.1%，主要原因是我办1名劳务派遣人员于24年10月入职，故基本支出增长。</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二、收入决算情况说明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2025年度本年收入合计130.08万元，其中：财政拨款收入130.08万元，占100.0%；上级补助收入0.00万元，占0.0%；事业收入0.00万元，占0.0%；经营收入0.00万元，占0.0%；附属</w:t>
      </w:r>
      <w:r>
        <w:rPr>
          <w:rFonts w:hint="eastAsia" w:ascii="Times New Roman" w:eastAsia="仿宋_GB2312"/>
          <w:b w:val="0"/>
          <w:sz w:val="32"/>
          <w:szCs w:val="32"/>
          <w:lang w:eastAsia="zh-CN"/>
        </w:rPr>
        <w:t xml:space="preserve">  部门</w:t>
      </w:r>
      <w:r>
        <w:rPr>
          <w:rFonts w:ascii="Times New Roman" w:eastAsia="仿宋_GB2312"/>
          <w:b w:val="0"/>
          <w:sz w:val="32"/>
          <w:szCs w:val="32"/>
        </w:rPr>
        <w:t>上缴收入0.00万元，占0.0%；其他收入0.00万元，占0.0%。</w:t>
      </w:r>
    </w:p>
    <w:p>
      <w:pPr>
        <w:adjustRightInd w:val="0"/>
        <w:snapToGrid w:val="0"/>
        <w:spacing w:line="580" w:lineRule="exact"/>
        <w:jc w:val="both"/>
        <w:rPr>
          <w:rFonts w:hint="default"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60288" behindDoc="0" locked="0" layoutInCell="1" allowOverlap="1">
            <wp:simplePos x="0" y="0"/>
            <wp:positionH relativeFrom="column">
              <wp:posOffset>-16510</wp:posOffset>
            </wp:positionH>
            <wp:positionV relativeFrom="paragraph">
              <wp:posOffset>201930</wp:posOffset>
            </wp:positionV>
            <wp:extent cx="5256530" cy="2988310"/>
            <wp:effectExtent l="5080" t="4445" r="889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三、支出决算情况说明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2025年度本年支出合计130.08万元，其中：基本支出114.01万元，占87.6%；项目支出16.07万元，占12.4%；经营支出0.00万元，占0.0%；上缴上级支出0.00万元，占0.0%；对附属</w:t>
      </w:r>
      <w:r>
        <w:rPr>
          <w:rFonts w:hint="eastAsia" w:ascii="Times New Roman" w:eastAsia="仿宋_GB2312"/>
          <w:b w:val="0"/>
          <w:sz w:val="32"/>
          <w:szCs w:val="32"/>
          <w:lang w:eastAsia="zh-CN"/>
        </w:rPr>
        <w:t xml:space="preserve">  部门</w:t>
      </w:r>
      <w:r>
        <w:rPr>
          <w:rFonts w:ascii="Times New Roman" w:eastAsia="仿宋_GB2312"/>
          <w:b w:val="0"/>
          <w:sz w:val="32"/>
          <w:szCs w:val="32"/>
        </w:rPr>
        <w:t>补助支出0.00万元，占0.0%。</w:t>
      </w:r>
    </w:p>
    <w:p>
      <w:pPr>
        <w:autoSpaceDE w:val="0"/>
        <w:autoSpaceDN w:val="0"/>
        <w:adjustRightInd w:val="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四、财政拨款收入支出决算总体情况说明</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（一）财政拨款收支与</w:t>
      </w:r>
      <w:r>
        <w:rPr>
          <w:rFonts w:ascii="Times New Roman" w:eastAsia="仿宋_GB2312"/>
          <w:b/>
          <w:sz w:val="32"/>
          <w:szCs w:val="32"/>
        </w:rPr>
        <w:t>2024</w:t>
      </w:r>
      <w:r>
        <w:rPr>
          <w:rFonts w:ascii="Times New Roman" w:eastAsia="楷体_GB2312"/>
          <w:b/>
          <w:sz w:val="32"/>
          <w:szCs w:val="32"/>
        </w:rPr>
        <w:t>年度决算对比情况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2025年度财政拨款收、支总计（含结转和结余）均为130.08万元。与2024年度相比，财政拨款收支各增加1.41万元，增长1.1%，主要原因是我办1名劳务派遣人员于24年10月入职，故基本支出增长。</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财政拨款本年收入130.08万元,比上年增加1.41万元，增长1.1%，主要原因是我办1名劳务派遣人员于24年10月入职，故基本支出增长；本年支出130.08万元，比上年增加1.41万元，增长1.1%，主要原因是我办1名劳务派遣人员于24年10月入职，故基本支出增长。具体情况如下：</w:t>
      </w:r>
    </w:p>
    <w:p>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130.08万元,比上年增加1.41万元，增长1.1%，主要原因是我办1名劳务派遣人员于24年10月入职，故基本支出增长；本年支出130.08万元，比上年增加1.41万元，增长1.1%，主要原因是我办1名劳务派遣人员于24年10月入职，故基本支出增长。</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政府性基金预算财政拨款本年收入0.00万元，比上年增加0.00万元，增长0.00%，主要原因是我办不涉及政府性基金；本年支出0.00万元，比上年增加0.00万元，增长0.00%，主要原因是我办不涉及政府性基金。</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0.00万元，比上年增加0.00万元，增长0.00%，主要原因是我办不涉及国有资本经营资金；本年支出0.00万元，比上年增加0.00万元，增长0.00%，主要原因是我办不涉及国有资本经营资金。</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3189605"/>
            <wp:effectExtent l="4445" t="4445" r="6350"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（二）财政拨款收支与年初预算数对比情况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财政拨款本年收入130.08万元，完成年初预算的81.5%，比年初预算减少29.48万元，决算数小于预算数主要原因是按照市巡察工作要求，本年度减少一轮巡察；本年支出130.08万元，完成年初预算的81.5%，比年初预算减少29.48万元，决算数小于预算数主要原因是按照市巡察工作要求，本年度减少一轮巡察。具体情况如下：</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81.5%，比年初预算减少29.48万元，主要原因是按照市巡察工作要求，本年度减少一轮巡察；支出完成年初预算的81.5%，比年初预算减少29.48万元，主要原因是按照市巡察工作要求，本年度减少一轮巡察。</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政府性基金预算财政拨款本年收入完成年初预算的0.0%，比年初预算增加0.00万元，主要原因是我办不涉及政府性基金；支出完成年初预算的0.0%，比年初预算增加0.00万元，主要原因是我办不涉及政府性基金。</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完成年初预算的0.0%，比年初预算增加0.00万元，主要原因是我办不涉及国有资本经营资金；支出完成年初预算的0.0%，比年初预算增加0.00万元，主要原因是我办不涉及国有资本经营资金。</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5080" t="4445" r="889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（三）财政拨款支出决算结构情况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2025年度财政拨款支出130.08万元，主要用于以下方面：</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一般公共预算财政拨款支出：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130.08万元，占100.0%，主要用于人员支出、项目等支出；外交（类）支出0.00万元，占0.0%，主要用于等支出；国防（类）支出0.00万元，占0.0%，主要用于等支出；公共安全类（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主要用于等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政府性基金预算财政拨款支出：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0.00%，主要用于等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国有资本经营预算财政拨款支出：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主要用于等支出。</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（四）一般公共预算财政拨款基本支出决算情况说明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2025年度财政拨款基本支出114.01万元，其中：</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12.32万元，主要包括基本工资、津贴补贴、奖金、伙食补助费、绩效工资、机关事业部门基本养老保险缴费、职业年金缴费、职工基本医疗保险缴费、公务员医疗补助缴费、住房公积金、医疗费、其他社会保障缴费、其他工资福利支出、离休费、 退休费、 抚恤金、生活补助、医疗费补助、奖励金、其他对个人和家庭的补助支出。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公用经费101.69万元，主要包括办公费、印刷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五、财政拨款“三公” 经费支出决算情况说明</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（一）“三公”经费财政拨款支出决算总体情况说明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三公”经费财政拨款支出预算为0.00万元，支出决算为0.00万元，完成预算的0.0%，较预算增加0.00万元，增长0.0%，主要原因是无“三公“预算；较2024年度决算增加0.00万元，增长0.00%，主要原因是无“三公“预算。</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（二）“三公”经费财政拨款支出决算具体情况说明</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1.因公出国（境）费支出情况。</w:t>
      </w: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因公出国（境）费支出预算为0.00万元,支出决算0.00万元。完成预算的0.0%。因公出国（境）费支出较预算增加0.00万元，增长0.0%,主要原因是无“三公“预算；较上年增加0.00万元，增长0.00%,主要原因是无“三公“预算。因公出国（境）团组0个、共0人、参加其他</w:t>
      </w:r>
      <w:r>
        <w:rPr>
          <w:rFonts w:hint="eastAsia" w:ascii="Times New Roman" w:eastAsia="仿宋_GB2312"/>
          <w:b w:val="0"/>
          <w:sz w:val="32"/>
          <w:szCs w:val="32"/>
          <w:lang w:eastAsia="zh-CN"/>
        </w:rPr>
        <w:t xml:space="preserve">  部门</w:t>
      </w:r>
      <w:r>
        <w:rPr>
          <w:rFonts w:ascii="Times New Roman" w:eastAsia="仿宋_GB2312"/>
          <w:b w:val="0"/>
          <w:sz w:val="32"/>
          <w:szCs w:val="32"/>
        </w:rPr>
        <w:t>组织的因公出国（境）团组无“三公“预算个、共0人/无本部门组织的出国（境）团组。</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2.公务用车购置及运行维护费支出情况。</w:t>
      </w: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2025年度公务用车购置及运行维护费预算为0.00万元，支出决算0.00万元，完成预算的0.0%,较预算增加0.00万元，增长0.0%,主要原因是与预算持平；较上年增加0.00万元，增长0.00%,主要原因是与预算持平。其中：</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公务用车购置费支出0.00万元：</w:t>
      </w: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2025年度公务用车购置量0辆，发生“公务用车购置”经费支出0.00万元。公务用车购置费支出较预算增加0.00万元，增长0.0%,主要原因是与预算持平；较上年增加0.00万元，增长0.00%,主要原因是与预算持平。</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公务用车运行维护费支出0.00万元：</w:t>
      </w: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w:t>
      </w:r>
      <w:r>
        <w:rPr>
          <w:rFonts w:hint="eastAsia" w:ascii="Times New Roman" w:eastAsia="仿宋_GB2312"/>
          <w:b w:val="0"/>
          <w:sz w:val="32"/>
          <w:szCs w:val="32"/>
          <w:lang w:eastAsia="zh-CN"/>
        </w:rPr>
        <w:t xml:space="preserve">  部门</w:t>
      </w:r>
      <w:r>
        <w:rPr>
          <w:rFonts w:ascii="Times New Roman" w:eastAsia="仿宋_GB2312"/>
          <w:b w:val="0"/>
          <w:sz w:val="32"/>
          <w:szCs w:val="32"/>
        </w:rPr>
        <w:t>公务用车保有量0辆，发生运行维护费支出0.00万元。公车运行维护费支出较预算增加0.00万元，增长0.0%,主要原因是与预算持平；较上年增加0.00万元，增长0.00%，主要原因是与预算持平。</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3.公务接待费支出情况。</w:t>
      </w: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公务接待费支出预算为0.00万元，支出决算0.00万元，完成预算的0.0%。公务接待费支出较预算增加0.00万元，增长0.0%,主要原因是与预算持平；较上年度增加0.00万元，增长0.00%,主要原因是与预算持平。本年度共发生公务接待0批次、0人次。</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六、机关运行经费支出说明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2025年度机关运行经费支出101.69万元，较2024年度增加93.00万元，增长1,068.9%。主要原因是本年度将巡察保障办公设备购置纳入，故机关运行费增长。</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七、政府采购支出说明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政府采购支出总额0.00万元，从采购类型来看，政府采购货物支出0.00万元、政府采购工程支出0.00万元、政府采购服务支出0.00万元。授予中小企业合同金额0.00万元，占政府采购支出总额的0.0%，其中授予小微企业合同金额0.00万元，占政府采购支出总额的0.0%。</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八、国有资产占用情况说明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截至2025年12月31日，本</w:t>
      </w:r>
      <w:r>
        <w:rPr>
          <w:rFonts w:hint="eastAsia" w:ascii="Times New Roman" w:eastAsia="仿宋_GB2312"/>
          <w:b w:val="0"/>
          <w:sz w:val="32"/>
          <w:szCs w:val="32"/>
          <w:lang w:eastAsia="zh-CN"/>
        </w:rPr>
        <w:t xml:space="preserve">  部门</w:t>
      </w:r>
      <w:r>
        <w:rPr>
          <w:rFonts w:ascii="Times New Roman" w:eastAsia="仿宋_GB2312"/>
          <w:b w:val="0"/>
          <w:sz w:val="32"/>
          <w:szCs w:val="32"/>
        </w:rPr>
        <w:t>共有车辆0辆，比上年增加0辆，主要是与预算持平。其中，副部（省）级及以上领导用车0辆，主要负责人用车0辆，机要通信用车0辆，应急保障用车0辆，执法执勤用车0辆，特种专业技术用车0辆，离退休干部用车0辆，其他用车0辆，其他用车主要是与预算持平。</w:t>
      </w:r>
      <w:r>
        <w:rPr>
          <w:rFonts w:hint="eastAsia" w:ascii="Times New Roman" w:eastAsia="仿宋_GB2312"/>
          <w:b w:val="0"/>
          <w:sz w:val="32"/>
          <w:szCs w:val="32"/>
          <w:lang w:eastAsia="zh-CN"/>
        </w:rPr>
        <w:t xml:space="preserve">  部门</w:t>
      </w:r>
      <w:r>
        <w:rPr>
          <w:rFonts w:ascii="Times New Roman" w:eastAsia="仿宋_GB2312"/>
          <w:b w:val="0"/>
          <w:sz w:val="32"/>
          <w:szCs w:val="32"/>
        </w:rPr>
        <w:t>价值100万元（含）以上设备（不含车辆）0台（套）。</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九、关于2025年度绩效评价情况的说明</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（一）绩效评价工作开展情况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根据预算绩效管理要求，本</w:t>
      </w:r>
      <w:r>
        <w:rPr>
          <w:rFonts w:hint="eastAsia" w:ascii="Times New Roman" w:eastAsia="仿宋_GB2312"/>
          <w:b w:val="0"/>
          <w:sz w:val="32"/>
          <w:szCs w:val="32"/>
          <w:lang w:eastAsia="zh-CN"/>
        </w:rPr>
        <w:t xml:space="preserve">  部门</w:t>
      </w:r>
      <w:r>
        <w:rPr>
          <w:rFonts w:ascii="Times New Roman" w:eastAsia="仿宋_GB2312"/>
          <w:b w:val="0"/>
          <w:sz w:val="32"/>
          <w:szCs w:val="32"/>
        </w:rPr>
        <w:t>组织对2025年度本级预算项目支出全面开展绩效自评，共涉及资金50万元（决算金额）。其中，一般公共预算项目3个，涉及资金50万元，占一般公共预算项目支出总额的100%；政府性基金预算项目0个，涉及资金0万元，占政府性基金预算项目支出总额的0%；国有资本经营预算项目0个，涉及资金0万元，占国有资本经营预算项目支出总额的0%。</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组织对2025年巡察工作保障经费等1个项目开展了部门重点评价，涉及一般公共预算支出44万元，政府性基金预算支出0万元，国有资本经营预算支出0万元，从评价情况来看，我办重点项目一般公共预算占比100%。</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（二）部门决算中项目绩效自评结果</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 xml:space="preserve">  部门</w:t>
      </w:r>
      <w:r>
        <w:rPr>
          <w:rFonts w:ascii="Times New Roman" w:eastAsia="仿宋_GB2312"/>
          <w:b w:val="0"/>
          <w:sz w:val="32"/>
          <w:szCs w:val="32"/>
        </w:rPr>
        <w:t>在今年部门决算公开中反映2025年巡视巡察保障经费等1个项目绩效自评结果。</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巡视巡察保障经费项目绩效自评情况：根据年初设定的绩效目标，2025年巡视巡察保障经费项目绩效自评得分为100分（绩效自评表附后）。全年预算数为44万元，执行数为0.67万元，完成预算的0.02%。项目绩效目标完成情况：一是按照上级机关相关工作要求，减少一轮巡察任务；二是按照上级部门相关工作要求，下发巡察补助。发现的主要问题及原因是：一是按照年初预算支出计划，完成率较低；二是绩效目标均为年终一次性指标，缺少中间节点。下一步改进措施：一是压实工作责任。细化巡视巡察保障工作方案；二是强化预算执行动态调度，按月跟踪项目支出进展，确保年终按时完成指标任务。</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（三）部门评价项目绩效评价结果（如有）</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全面对照部门整体绩效目标及3个项目绩效目标开展梳理排查。经排查，我办巡视巡察保障工作经费支出进度较低。针对此类情况认真研判预算执行滞后风险。合理安排工作开展及预算支出。</w:t>
      </w:r>
    </w:p>
    <w:p>
      <w:pPr>
        <w:widowControl/>
        <w:spacing w:before="0" w:beforeLines="0" w:beforeAutospacing="0" w:after="0" w:afterLines="0" w:afterAutospacing="0" w:line="360" w:lineRule="auto"/>
        <w:ind w:firstLine="640" w:firstLineChars="200"/>
        <w:jc w:val="left"/>
        <w:rPr>
          <w:rFonts w:ascii="Times New Roman" w:eastAsia="黑体"/>
          <w:sz w:val="32"/>
          <w:szCs w:val="32"/>
        </w:rPr>
      </w:pPr>
      <w:r>
        <w:rPr>
          <w:rFonts w:ascii="Times New Roman" w:eastAsia="黑体"/>
          <w:b w:val="0"/>
          <w:sz w:val="32"/>
          <w:szCs w:val="32"/>
        </w:rPr>
        <w:t>十、其他需要说明的情况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1.本</w:t>
      </w:r>
      <w:r>
        <w:rPr>
          <w:rFonts w:hint="eastAsia" w:ascii="Times New Roman" w:eastAsia="仿宋_GB2312"/>
          <w:b w:val="0"/>
          <w:sz w:val="32"/>
          <w:szCs w:val="32"/>
          <w:lang w:eastAsia="zh-CN"/>
        </w:rPr>
        <w:t xml:space="preserve">  部门</w:t>
      </w:r>
      <w:r>
        <w:rPr>
          <w:rFonts w:ascii="Times New Roman" w:eastAsia="仿宋_GB2312"/>
          <w:b w:val="0"/>
          <w:sz w:val="32"/>
          <w:szCs w:val="32"/>
        </w:rPr>
        <w:t>2025年度收入支出决算总表（公开01表）、收入决算表（公开02表）、支出决算表（公开03表）、财政拨款收入支出决算总表（公开04表）、一般公共预算财政拨款支出决算表（公开05表）、一般公共预算财政拨款基本支出决算明细表（公开06表）、政府性基金预算财政拨款收入支出决算表（公开07表）、国有资本经营预算财政拨款支出决算表（公开08表）、财政拨款“三公”经费支出决算表（公开09表）无相应收支，故空表列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由于决算公开表格中金额数值应当保留两位小数，公开数据为四舍五入计算结果，个别数据合计项与分项之和存在小数点后差额，特此说明。</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第四部分 名词解释</w:t>
      </w: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default"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一、财政拨款收入：</w:t>
      </w:r>
      <w:r>
        <w:rPr>
          <w:rFonts w:ascii="Times New Roman" w:eastAsia="仿宋_GB2312"/>
          <w:b w:val="0"/>
          <w:sz w:val="32"/>
          <w:szCs w:val="32"/>
        </w:rPr>
        <w:t>指</w:t>
      </w:r>
      <w:r>
        <w:rPr>
          <w:rFonts w:hint="eastAsia" w:ascii="Times New Roman" w:eastAsia="仿宋_GB2312"/>
          <w:b w:val="0"/>
          <w:sz w:val="32"/>
          <w:szCs w:val="32"/>
          <w:lang w:eastAsia="zh-CN"/>
        </w:rPr>
        <w:t xml:space="preserve">  部门</w:t>
      </w:r>
      <w:r>
        <w:rPr>
          <w:rFonts w:ascii="Times New Roman" w:eastAsia="仿宋_GB2312"/>
          <w:b w:val="0"/>
          <w:sz w:val="32"/>
          <w:szCs w:val="32"/>
        </w:rPr>
        <w:t>从同级财政部门取得的财政预算资金。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二、事业收入：</w:t>
      </w:r>
      <w:r>
        <w:rPr>
          <w:rFonts w:ascii="Times New Roman" w:eastAsia="仿宋_GB2312"/>
          <w:b w:val="0"/>
          <w:sz w:val="32"/>
          <w:szCs w:val="32"/>
        </w:rPr>
        <w:t>指事业</w:t>
      </w:r>
      <w:r>
        <w:rPr>
          <w:rFonts w:hint="eastAsia" w:ascii="Times New Roman" w:eastAsia="仿宋_GB2312"/>
          <w:b w:val="0"/>
          <w:sz w:val="32"/>
          <w:szCs w:val="32"/>
          <w:lang w:eastAsia="zh-CN"/>
        </w:rPr>
        <w:t xml:space="preserve">  部门</w:t>
      </w:r>
      <w:r>
        <w:rPr>
          <w:rFonts w:ascii="Times New Roman" w:eastAsia="仿宋_GB2312"/>
          <w:b w:val="0"/>
          <w:sz w:val="32"/>
          <w:szCs w:val="32"/>
        </w:rPr>
        <w:t>开展专业业务活动及辅助活动取得的收入。</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三、经营收入：</w:t>
      </w:r>
      <w:r>
        <w:rPr>
          <w:rFonts w:ascii="Times New Roman" w:eastAsia="仿宋_GB2312"/>
          <w:b w:val="0"/>
          <w:sz w:val="32"/>
          <w:szCs w:val="32"/>
        </w:rPr>
        <w:t>指事业</w:t>
      </w:r>
      <w:r>
        <w:rPr>
          <w:rFonts w:hint="eastAsia" w:ascii="Times New Roman" w:eastAsia="仿宋_GB2312"/>
          <w:b w:val="0"/>
          <w:sz w:val="32"/>
          <w:szCs w:val="32"/>
          <w:lang w:eastAsia="zh-CN"/>
        </w:rPr>
        <w:t xml:space="preserve">  部门</w:t>
      </w:r>
      <w:r>
        <w:rPr>
          <w:rFonts w:ascii="Times New Roman" w:eastAsia="仿宋_GB2312"/>
          <w:b w:val="0"/>
          <w:sz w:val="32"/>
          <w:szCs w:val="32"/>
        </w:rPr>
        <w:t>在专业业务活动及其辅助活动之外开展非独立核算经营活动取得的收入。</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四、其他收入：</w:t>
      </w:r>
      <w:r>
        <w:rPr>
          <w:rFonts w:ascii="Times New Roman" w:eastAsia="仿宋_GB2312"/>
          <w:b w:val="0"/>
          <w:sz w:val="32"/>
          <w:szCs w:val="32"/>
        </w:rPr>
        <w:t>指</w:t>
      </w:r>
      <w:r>
        <w:rPr>
          <w:rFonts w:hint="eastAsia" w:ascii="Times New Roman" w:eastAsia="仿宋_GB2312"/>
          <w:b w:val="0"/>
          <w:sz w:val="32"/>
          <w:szCs w:val="32"/>
          <w:lang w:eastAsia="zh-CN"/>
        </w:rPr>
        <w:t xml:space="preserve">  部门</w:t>
      </w:r>
      <w:r>
        <w:rPr>
          <w:rFonts w:ascii="Times New Roman" w:eastAsia="仿宋_GB2312"/>
          <w:b w:val="0"/>
          <w:sz w:val="32"/>
          <w:szCs w:val="32"/>
        </w:rPr>
        <w:t>取得的除上述收入以外的各项收入。主要是事业</w:t>
      </w:r>
      <w:r>
        <w:rPr>
          <w:rFonts w:hint="eastAsia" w:ascii="Times New Roman" w:eastAsia="仿宋_GB2312"/>
          <w:b w:val="0"/>
          <w:sz w:val="32"/>
          <w:szCs w:val="32"/>
          <w:lang w:eastAsia="zh-CN"/>
        </w:rPr>
        <w:t xml:space="preserve">  部门</w:t>
      </w:r>
      <w:r>
        <w:rPr>
          <w:rFonts w:ascii="Times New Roman" w:eastAsia="仿宋_GB2312"/>
          <w:b w:val="0"/>
          <w:sz w:val="32"/>
          <w:szCs w:val="32"/>
        </w:rPr>
        <w:t>固定资产出租收入、存款利息收入等。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五、使用非财政拨款结余（含专用结余）：</w:t>
      </w:r>
      <w:r>
        <w:rPr>
          <w:rFonts w:ascii="Times New Roman" w:eastAsia="仿宋_GB2312"/>
          <w:b w:val="0"/>
          <w:sz w:val="32"/>
          <w:szCs w:val="32"/>
        </w:rPr>
        <w:t>指事业</w:t>
      </w:r>
      <w:r>
        <w:rPr>
          <w:rFonts w:hint="eastAsia" w:ascii="Times New Roman" w:eastAsia="仿宋_GB2312"/>
          <w:b w:val="0"/>
          <w:sz w:val="32"/>
          <w:szCs w:val="32"/>
          <w:lang w:eastAsia="zh-CN"/>
        </w:rPr>
        <w:t xml:space="preserve">  部门</w:t>
      </w:r>
      <w:r>
        <w:rPr>
          <w:rFonts w:ascii="Times New Roman" w:eastAsia="仿宋_GB2312"/>
          <w:b w:val="0"/>
          <w:sz w:val="32"/>
          <w:szCs w:val="32"/>
        </w:rPr>
        <w:t>按照预算管理要求使用非财政拨款结余弥补收支差额的金额，以及使用专用结余安排支出的金额。</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六、年初结转和结余：</w:t>
      </w:r>
      <w:r>
        <w:rPr>
          <w:rFonts w:ascii="Times New Roman" w:eastAsia="仿宋_GB2312"/>
          <w:b w:val="0"/>
          <w:sz w:val="32"/>
          <w:szCs w:val="32"/>
        </w:rPr>
        <w:t>指</w:t>
      </w:r>
      <w:r>
        <w:rPr>
          <w:rFonts w:hint="eastAsia" w:ascii="Times New Roman" w:eastAsia="仿宋_GB2312"/>
          <w:b w:val="0"/>
          <w:sz w:val="32"/>
          <w:szCs w:val="32"/>
          <w:lang w:eastAsia="zh-CN"/>
        </w:rPr>
        <w:t xml:space="preserve">  部门</w:t>
      </w:r>
      <w:r>
        <w:rPr>
          <w:rFonts w:ascii="Times New Roman" w:eastAsia="仿宋_GB2312"/>
          <w:b w:val="0"/>
          <w:sz w:val="32"/>
          <w:szCs w:val="32"/>
        </w:rPr>
        <w:t>以前年度尚未完成、结转到本年仍按原规定用途继续使用的资金，或项目已完成等产生的结余资金。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七、结余分配：</w:t>
      </w:r>
      <w:r>
        <w:rPr>
          <w:rFonts w:ascii="Times New Roman" w:eastAsia="仿宋_GB2312"/>
          <w:b w:val="0"/>
          <w:sz w:val="32"/>
          <w:szCs w:val="32"/>
        </w:rPr>
        <w:t>指事业</w:t>
      </w:r>
      <w:r>
        <w:rPr>
          <w:rFonts w:hint="eastAsia" w:ascii="Times New Roman" w:eastAsia="仿宋_GB2312"/>
          <w:b w:val="0"/>
          <w:sz w:val="32"/>
          <w:szCs w:val="32"/>
          <w:lang w:eastAsia="zh-CN"/>
        </w:rPr>
        <w:t xml:space="preserve">  部门</w:t>
      </w:r>
      <w:r>
        <w:rPr>
          <w:rFonts w:ascii="Times New Roman" w:eastAsia="仿宋_GB2312"/>
          <w:b w:val="0"/>
          <w:sz w:val="32"/>
          <w:szCs w:val="32"/>
        </w:rPr>
        <w:t>按照会计制度规定缴纳的所得税、提取的专用结余以及转入非财政拨款结余的金额等。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八、年末结转和结余：</w:t>
      </w:r>
      <w:r>
        <w:rPr>
          <w:rFonts w:ascii="Times New Roman" w:eastAsia="仿宋_GB2312"/>
          <w:b w:val="0"/>
          <w:sz w:val="32"/>
          <w:szCs w:val="32"/>
        </w:rPr>
        <w:t>指</w:t>
      </w:r>
      <w:r>
        <w:rPr>
          <w:rFonts w:hint="eastAsia" w:ascii="Times New Roman" w:eastAsia="仿宋_GB2312"/>
          <w:b w:val="0"/>
          <w:sz w:val="32"/>
          <w:szCs w:val="32"/>
          <w:lang w:eastAsia="zh-CN"/>
        </w:rPr>
        <w:t xml:space="preserve">  部门</w:t>
      </w:r>
      <w:r>
        <w:rPr>
          <w:rFonts w:ascii="Times New Roman" w:eastAsia="仿宋_GB2312"/>
          <w:b w:val="0"/>
          <w:sz w:val="32"/>
          <w:szCs w:val="32"/>
        </w:rPr>
        <w:t>按有关规定结转到下年或以后年度继续使用的资金，或项目已完成等产生的结余资金。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九、基本支出：</w:t>
      </w:r>
      <w:r>
        <w:rPr>
          <w:rFonts w:ascii="Times New Roman" w:eastAsia="仿宋_GB2312"/>
          <w:b w:val="0"/>
          <w:sz w:val="32"/>
          <w:szCs w:val="32"/>
        </w:rPr>
        <w:t>指为保障机构正常运转、完成日常工作任务而发生的人员支出和公用支出。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十、项目支出：</w:t>
      </w:r>
      <w:r>
        <w:rPr>
          <w:rFonts w:ascii="Times New Roman" w:eastAsia="仿宋_GB2312"/>
          <w:b w:val="0"/>
          <w:sz w:val="32"/>
          <w:szCs w:val="32"/>
        </w:rPr>
        <w:t>指在基本支出之外为完成特定行政任务和事业发展目标所发生的支出。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十一、经营支出 ：</w:t>
      </w:r>
      <w:r>
        <w:rPr>
          <w:rFonts w:ascii="Times New Roman" w:eastAsia="仿宋_GB2312"/>
          <w:b w:val="0"/>
          <w:sz w:val="32"/>
          <w:szCs w:val="32"/>
        </w:rPr>
        <w:t>指事业</w:t>
      </w:r>
      <w:r>
        <w:rPr>
          <w:rFonts w:hint="eastAsia" w:ascii="Times New Roman" w:eastAsia="仿宋_GB2312"/>
          <w:b w:val="0"/>
          <w:sz w:val="32"/>
          <w:szCs w:val="32"/>
          <w:lang w:eastAsia="zh-CN"/>
        </w:rPr>
        <w:t xml:space="preserve">  部门</w:t>
      </w:r>
      <w:r>
        <w:rPr>
          <w:rFonts w:ascii="Times New Roman" w:eastAsia="仿宋_GB2312"/>
          <w:b w:val="0"/>
          <w:sz w:val="32"/>
          <w:szCs w:val="32"/>
        </w:rPr>
        <w:t>在专业业务活动及其辅助活动之外开展非独立核算经营活动发生的支出。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十二、基本建设支出：</w:t>
      </w:r>
      <w:r>
        <w:rPr>
          <w:rFonts w:ascii="Times New Roman" w:eastAsia="仿宋_GB2312"/>
          <w:b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十三、其他资本性支出：</w:t>
      </w:r>
      <w:r>
        <w:rPr>
          <w:rFonts w:ascii="Times New Roman" w:eastAsia="仿宋_GB2312"/>
          <w:b w:val="0"/>
          <w:sz w:val="32"/>
          <w:szCs w:val="32"/>
        </w:rPr>
        <w:t>填列由各级非发展与改革部门集中安排的用于购置固定资产、战备性和应急性储备、土地和无形资产，以及购建基础设施、大型修缮和财政支持企业更新改造所发生的支出。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十四、“三公”经费：</w:t>
      </w:r>
      <w:r>
        <w:rPr>
          <w:rFonts w:ascii="Times New Roman" w:eastAsia="仿宋_GB2312"/>
          <w:b w:val="0"/>
          <w:sz w:val="32"/>
          <w:szCs w:val="32"/>
        </w:rPr>
        <w:t>指部门用财政拨款安排的因公出国（境）费、公务用车购置及运行费和公务接待费。其中，因公出国（境）费反映</w:t>
      </w:r>
      <w:r>
        <w:rPr>
          <w:rFonts w:hint="eastAsia" w:ascii="Times New Roman" w:eastAsia="仿宋_GB2312"/>
          <w:b w:val="0"/>
          <w:sz w:val="32"/>
          <w:szCs w:val="32"/>
          <w:lang w:eastAsia="zh-CN"/>
        </w:rPr>
        <w:t xml:space="preserve">  部门</w:t>
      </w:r>
      <w:r>
        <w:rPr>
          <w:rFonts w:ascii="Times New Roman" w:eastAsia="仿宋_GB2312"/>
          <w:b w:val="0"/>
          <w:sz w:val="32"/>
          <w:szCs w:val="32"/>
        </w:rPr>
        <w:t>公务出国（境）的国际旅费、国外城市间交通费、住宿费、伙食费、培训费、公杂费等支出；公务用车购置及运行费反映</w:t>
      </w:r>
      <w:r>
        <w:rPr>
          <w:rFonts w:hint="eastAsia" w:ascii="Times New Roman" w:eastAsia="仿宋_GB2312"/>
          <w:b w:val="0"/>
          <w:sz w:val="32"/>
          <w:szCs w:val="32"/>
          <w:lang w:eastAsia="zh-CN"/>
        </w:rPr>
        <w:t xml:space="preserve">  部门</w:t>
      </w:r>
      <w:r>
        <w:rPr>
          <w:rFonts w:ascii="Times New Roman" w:eastAsia="仿宋_GB2312"/>
          <w:b w:val="0"/>
          <w:sz w:val="32"/>
          <w:szCs w:val="32"/>
        </w:rPr>
        <w:t>公务用车购置支出（含车辆购置税、牌照费）及按规定保留的公务用车燃料费、维修费、过桥过路费、保险费、安全奖励费用等支出；公务接待费反映</w:t>
      </w:r>
      <w:r>
        <w:rPr>
          <w:rFonts w:hint="eastAsia" w:ascii="Times New Roman" w:eastAsia="仿宋_GB2312"/>
          <w:b w:val="0"/>
          <w:sz w:val="32"/>
          <w:szCs w:val="32"/>
          <w:lang w:eastAsia="zh-CN"/>
        </w:rPr>
        <w:t xml:space="preserve">  部门</w:t>
      </w:r>
      <w:r>
        <w:rPr>
          <w:rFonts w:ascii="Times New Roman" w:eastAsia="仿宋_GB2312"/>
          <w:b w:val="0"/>
          <w:sz w:val="32"/>
          <w:szCs w:val="32"/>
        </w:rPr>
        <w:t>按规定开支的各类公务接待（含外宾接待）支出。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十五、其他交通费用：</w:t>
      </w:r>
      <w:r>
        <w:rPr>
          <w:rFonts w:ascii="Times New Roman" w:eastAsia="仿宋_GB2312"/>
          <w:b w:val="0"/>
          <w:sz w:val="32"/>
          <w:szCs w:val="32"/>
        </w:rPr>
        <w:t>填列</w:t>
      </w:r>
      <w:r>
        <w:rPr>
          <w:rFonts w:hint="eastAsia" w:ascii="Times New Roman" w:eastAsia="仿宋_GB2312"/>
          <w:b w:val="0"/>
          <w:sz w:val="32"/>
          <w:szCs w:val="32"/>
          <w:lang w:eastAsia="zh-CN"/>
        </w:rPr>
        <w:t xml:space="preserve">  部门</w:t>
      </w:r>
      <w:r>
        <w:rPr>
          <w:rFonts w:ascii="Times New Roman" w:eastAsia="仿宋_GB2312"/>
          <w:b w:val="0"/>
          <w:sz w:val="32"/>
          <w:szCs w:val="32"/>
        </w:rPr>
        <w:t>除公务用车运行维护费以外的其他交通费用。如公务交通补贴、租车费用、出租车费用，飞机、船舶等燃料费、维修费、保险费等。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十六、公务用车购置：</w:t>
      </w:r>
      <w:r>
        <w:rPr>
          <w:rFonts w:ascii="Times New Roman" w:eastAsia="仿宋_GB2312"/>
          <w:b w:val="0"/>
          <w:sz w:val="32"/>
          <w:szCs w:val="32"/>
        </w:rPr>
        <w:t>填列</w:t>
      </w:r>
      <w:r>
        <w:rPr>
          <w:rFonts w:hint="eastAsia" w:ascii="Times New Roman" w:eastAsia="仿宋_GB2312"/>
          <w:b w:val="0"/>
          <w:sz w:val="32"/>
          <w:szCs w:val="32"/>
          <w:lang w:eastAsia="zh-CN"/>
        </w:rPr>
        <w:t xml:space="preserve">  部门</w:t>
      </w:r>
      <w:r>
        <w:rPr>
          <w:rFonts w:ascii="Times New Roman" w:eastAsia="仿宋_GB2312"/>
          <w:b w:val="0"/>
          <w:sz w:val="32"/>
          <w:szCs w:val="32"/>
        </w:rPr>
        <w:t>公务用车车辆购置支出（含车辆购置税、牌照费）。</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十七、其他交通工具购置：</w:t>
      </w:r>
      <w:r>
        <w:rPr>
          <w:rFonts w:ascii="Times New Roman" w:eastAsia="仿宋_GB2312"/>
          <w:b w:val="0"/>
          <w:sz w:val="32"/>
          <w:szCs w:val="32"/>
        </w:rPr>
        <w:t>填列</w:t>
      </w:r>
      <w:r>
        <w:rPr>
          <w:rFonts w:hint="eastAsia" w:ascii="Times New Roman" w:eastAsia="仿宋_GB2312"/>
          <w:b w:val="0"/>
          <w:sz w:val="32"/>
          <w:szCs w:val="32"/>
          <w:lang w:eastAsia="zh-CN"/>
        </w:rPr>
        <w:t xml:space="preserve">  部门</w:t>
      </w:r>
      <w:r>
        <w:rPr>
          <w:rFonts w:ascii="Times New Roman" w:eastAsia="仿宋_GB2312"/>
          <w:b w:val="0"/>
          <w:sz w:val="32"/>
          <w:szCs w:val="32"/>
        </w:rPr>
        <w:t>除公务用车外的其他各类交通工具（如船舶、飞机等）购置支出（含车辆购置税、牌照费）。</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十八、机关运行经费：</w:t>
      </w:r>
      <w:r>
        <w:rPr>
          <w:rFonts w:ascii="Times New Roman" w:eastAsia="仿宋_GB2312"/>
          <w:b w:val="0"/>
          <w:sz w:val="32"/>
          <w:szCs w:val="32"/>
        </w:rPr>
        <w:t>指为保障行政</w:t>
      </w:r>
      <w:r>
        <w:rPr>
          <w:rFonts w:hint="eastAsia" w:ascii="Times New Roman" w:eastAsia="仿宋_GB2312"/>
          <w:b w:val="0"/>
          <w:sz w:val="32"/>
          <w:szCs w:val="32"/>
          <w:lang w:eastAsia="zh-CN"/>
        </w:rPr>
        <w:t xml:space="preserve">  部门</w:t>
      </w:r>
      <w:r>
        <w:rPr>
          <w:rFonts w:ascii="Times New Roman" w:eastAsia="仿宋_GB2312"/>
          <w:b w:val="0"/>
          <w:sz w:val="32"/>
          <w:szCs w:val="32"/>
        </w:rPr>
        <w:t>（包括参照公务员法管理的事业</w:t>
      </w:r>
      <w:r>
        <w:rPr>
          <w:rFonts w:hint="eastAsia" w:ascii="Times New Roman" w:eastAsia="仿宋_GB2312"/>
          <w:b w:val="0"/>
          <w:sz w:val="32"/>
          <w:szCs w:val="32"/>
          <w:lang w:eastAsia="zh-CN"/>
        </w:rPr>
        <w:t xml:space="preserve">  部门</w:t>
      </w:r>
      <w:r>
        <w:rPr>
          <w:rFonts w:ascii="Times New Roman" w:eastAsia="仿宋_GB2312"/>
          <w:b w:val="0"/>
          <w:sz w:val="32"/>
          <w:szCs w:val="32"/>
        </w:rPr>
        <w:t>）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F57CB96-F08C-4B4E-8844-946E17014DCE}"/>
  </w:font>
  <w:font w:name="黑体">
    <w:panose1 w:val="02010600030101010101"/>
    <w:charset w:val="86"/>
    <w:family w:val="auto"/>
    <w:pitch w:val="default"/>
    <w:sig w:usb0="800002BF" w:usb1="38CF7CFA" w:usb2="00000016" w:usb3="00000000" w:csb0="00040001" w:csb1="00000000"/>
    <w:embedRegular r:id="rId2" w:fontKey="{AAF26B25-4F3D-4144-9483-76BCD58B59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06398E2-92C5-4F7A-B718-2BB0A69B8797}"/>
  </w:font>
  <w:font w:name="仿宋">
    <w:panose1 w:val="02010609060101010101"/>
    <w:charset w:val="86"/>
    <w:family w:val="modern"/>
    <w:pitch w:val="default"/>
    <w:sig w:usb0="800002BF" w:usb1="38CF7CFA" w:usb2="00000016" w:usb3="00000000" w:csb0="00040001" w:csb1="00000000"/>
    <w:embedRegular r:id="rId4" w:fontKey="{61A7B5AA-2EB6-49BE-8A14-DE35F249657D}"/>
  </w:font>
  <w:font w:name="Calibri Light">
    <w:panose1 w:val="020F0302020204030204"/>
    <w:charset w:val="00"/>
    <w:family w:val="auto"/>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5" w:fontKey="{3C6565F6-92B0-40C2-9A75-9DF9DE5865C5}"/>
  </w:font>
  <w:font w:name="楷体_GB2312">
    <w:panose1 w:val="02010609030101010101"/>
    <w:charset w:val="86"/>
    <w:family w:val="auto"/>
    <w:pitch w:val="default"/>
    <w:sig w:usb0="00000001" w:usb1="080E0000" w:usb2="00000000" w:usb3="00000000" w:csb0="00040000" w:csb1="00000000"/>
    <w:embedRegular r:id="rId6" w:fontKey="{1FFE5069-7EB8-45B8-8A47-F2B691782D88}"/>
  </w:font>
  <w:font w:name="微软雅黑">
    <w:panose1 w:val="020B0503020204020204"/>
    <w:charset w:val="86"/>
    <w:family w:val="auto"/>
    <w:pitch w:val="default"/>
    <w:sig w:usb0="80000287" w:usb1="2ACF3C50" w:usb2="00000016" w:usb3="00000000" w:csb0="0004001F" w:csb1="00000000"/>
    <w:embedRegular r:id="rId7" w:fontKey="{4F3967CD-8C5A-4C43-A0EB-91799530F4BA}"/>
  </w:font>
  <w:font w:name="方正小标宋_GBK">
    <w:panose1 w:val="02000000000000000000"/>
    <w:charset w:val="86"/>
    <w:family w:val="script"/>
    <w:pitch w:val="default"/>
    <w:sig w:usb0="00000001" w:usb1="080E0000" w:usb2="00000000" w:usb3="00000000" w:csb0="00040000" w:csb1="00000000"/>
    <w:embedRegular r:id="rId8" w:fontKey="{183B504B-68EB-409A-8113-39C6925808CE}"/>
  </w:font>
  <w:font w:name="仿宋_GB2312">
    <w:panose1 w:val="02010609030101010101"/>
    <w:charset w:val="86"/>
    <w:family w:val="auto"/>
    <w:pitch w:val="default"/>
    <w:sig w:usb0="00000001" w:usb1="080E0000" w:usb2="00000000" w:usb3="00000000" w:csb0="00040000" w:csb1="00000000"/>
    <w:embedRegular r:id="rId9" w:fontKey="{560BCFA0-E2D3-472A-8060-C140F9329FD3}"/>
  </w:font>
  <w:font w:name="ArialUnicodeMS">
    <w:altName w:val="Malgun Gothic"/>
    <w:panose1 w:val="00000000000000000000"/>
    <w:charset w:val="81"/>
    <w:family w:val="auto"/>
    <w:pitch w:val="default"/>
    <w:sig w:usb0="00000000" w:usb1="00000000" w:usb2="00000010" w:usb3="00000000" w:csb0="00080001" w:csb1="00000000"/>
    <w:embedRegular r:id="rId10" w:fontKey="{7899B9CC-6D17-44DE-BF22-AC7F956A3703}"/>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embedTrueTypeFonts/>
  <w:saveSubset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NjksImhkaWQiOiJiMzk2N2EzZjUyYWViODRjZjJhMDZjM2YyYjk4MTExMiIsInVzZXJDb3VudCI6MX0="/>
  </w:docVars>
  <w:rsids>
    <w:rsidRoot w:val="00172A27"/>
    <w:rsid w:val="00086151"/>
    <w:rsid w:val="00236F8C"/>
    <w:rsid w:val="00822154"/>
    <w:rsid w:val="00C65689"/>
    <w:rsid w:val="00CC2C8E"/>
    <w:rsid w:val="0179546C"/>
    <w:rsid w:val="01A03C5A"/>
    <w:rsid w:val="01A5267D"/>
    <w:rsid w:val="01AE3368"/>
    <w:rsid w:val="01AF6A8D"/>
    <w:rsid w:val="024808A2"/>
    <w:rsid w:val="025C3821"/>
    <w:rsid w:val="02DA3B1B"/>
    <w:rsid w:val="02E57B4D"/>
    <w:rsid w:val="03450B90"/>
    <w:rsid w:val="037B12D4"/>
    <w:rsid w:val="03804D63"/>
    <w:rsid w:val="03F5128D"/>
    <w:rsid w:val="03FB73B0"/>
    <w:rsid w:val="04642795"/>
    <w:rsid w:val="04806B11"/>
    <w:rsid w:val="049C1B9D"/>
    <w:rsid w:val="04BD008C"/>
    <w:rsid w:val="04C55939"/>
    <w:rsid w:val="04DA28BB"/>
    <w:rsid w:val="04F528BE"/>
    <w:rsid w:val="050E10CE"/>
    <w:rsid w:val="054F2DFB"/>
    <w:rsid w:val="05991C82"/>
    <w:rsid w:val="05CD1EC8"/>
    <w:rsid w:val="05E57574"/>
    <w:rsid w:val="061416A9"/>
    <w:rsid w:val="061D60A6"/>
    <w:rsid w:val="06236884"/>
    <w:rsid w:val="06B07006"/>
    <w:rsid w:val="06FC7C2A"/>
    <w:rsid w:val="070B57B7"/>
    <w:rsid w:val="07533AFE"/>
    <w:rsid w:val="07AC18F2"/>
    <w:rsid w:val="07B3657A"/>
    <w:rsid w:val="07C857D0"/>
    <w:rsid w:val="081163FE"/>
    <w:rsid w:val="083F3A0A"/>
    <w:rsid w:val="08AB5AAF"/>
    <w:rsid w:val="08C65EBD"/>
    <w:rsid w:val="08D24C32"/>
    <w:rsid w:val="09012C64"/>
    <w:rsid w:val="093B2E99"/>
    <w:rsid w:val="095D7943"/>
    <w:rsid w:val="09C006C6"/>
    <w:rsid w:val="0A10621F"/>
    <w:rsid w:val="0A464C4F"/>
    <w:rsid w:val="0A6729A3"/>
    <w:rsid w:val="0A694877"/>
    <w:rsid w:val="0AA954BE"/>
    <w:rsid w:val="0AE70639"/>
    <w:rsid w:val="0AEC32FF"/>
    <w:rsid w:val="0B4F5E6D"/>
    <w:rsid w:val="0B52270F"/>
    <w:rsid w:val="0B753AE2"/>
    <w:rsid w:val="0BB67D0A"/>
    <w:rsid w:val="0BC56230"/>
    <w:rsid w:val="0BCF21BD"/>
    <w:rsid w:val="0C481041"/>
    <w:rsid w:val="0C4E53E8"/>
    <w:rsid w:val="0C6712D6"/>
    <w:rsid w:val="0C7F7845"/>
    <w:rsid w:val="0C9F7900"/>
    <w:rsid w:val="0CB20B1A"/>
    <w:rsid w:val="0CB23317"/>
    <w:rsid w:val="0D101068"/>
    <w:rsid w:val="0D4E13BE"/>
    <w:rsid w:val="0D7557DF"/>
    <w:rsid w:val="0D853E34"/>
    <w:rsid w:val="0D9C2A57"/>
    <w:rsid w:val="0DC3019B"/>
    <w:rsid w:val="0DE47D04"/>
    <w:rsid w:val="0DFA5D82"/>
    <w:rsid w:val="0E1E52CE"/>
    <w:rsid w:val="0E866524"/>
    <w:rsid w:val="0E9268D3"/>
    <w:rsid w:val="0E957F1F"/>
    <w:rsid w:val="0F0E7284"/>
    <w:rsid w:val="0F28110F"/>
    <w:rsid w:val="0F37083F"/>
    <w:rsid w:val="0F4351D1"/>
    <w:rsid w:val="0F4C0947"/>
    <w:rsid w:val="0F7470AF"/>
    <w:rsid w:val="0F8751F8"/>
    <w:rsid w:val="0F891DB8"/>
    <w:rsid w:val="0F8D3287"/>
    <w:rsid w:val="0FAA3B86"/>
    <w:rsid w:val="10191346"/>
    <w:rsid w:val="102A01A6"/>
    <w:rsid w:val="105A290D"/>
    <w:rsid w:val="10754A6C"/>
    <w:rsid w:val="108B537D"/>
    <w:rsid w:val="10B11DB1"/>
    <w:rsid w:val="11177F57"/>
    <w:rsid w:val="11217C97"/>
    <w:rsid w:val="113076C2"/>
    <w:rsid w:val="11365128"/>
    <w:rsid w:val="11464C20"/>
    <w:rsid w:val="115E4926"/>
    <w:rsid w:val="118A1FFA"/>
    <w:rsid w:val="11E35B5A"/>
    <w:rsid w:val="11E42DD6"/>
    <w:rsid w:val="125F5A1B"/>
    <w:rsid w:val="126979D6"/>
    <w:rsid w:val="129E45A7"/>
    <w:rsid w:val="13074404"/>
    <w:rsid w:val="136A5C00"/>
    <w:rsid w:val="13B97B08"/>
    <w:rsid w:val="13C527AC"/>
    <w:rsid w:val="14711797"/>
    <w:rsid w:val="147B6F17"/>
    <w:rsid w:val="14D42061"/>
    <w:rsid w:val="15081C8B"/>
    <w:rsid w:val="15090D5C"/>
    <w:rsid w:val="15CC19E2"/>
    <w:rsid w:val="15CF053D"/>
    <w:rsid w:val="15E0131A"/>
    <w:rsid w:val="15E11DC0"/>
    <w:rsid w:val="16457D9F"/>
    <w:rsid w:val="1650616A"/>
    <w:rsid w:val="17223EFF"/>
    <w:rsid w:val="17AA5F28"/>
    <w:rsid w:val="17B713F6"/>
    <w:rsid w:val="184350A0"/>
    <w:rsid w:val="18935485"/>
    <w:rsid w:val="18A34206"/>
    <w:rsid w:val="18DE3B2C"/>
    <w:rsid w:val="18EF453A"/>
    <w:rsid w:val="1906685D"/>
    <w:rsid w:val="19111683"/>
    <w:rsid w:val="19353916"/>
    <w:rsid w:val="193E101D"/>
    <w:rsid w:val="19C10AF1"/>
    <w:rsid w:val="1A017CDA"/>
    <w:rsid w:val="1A2672DE"/>
    <w:rsid w:val="1AA81D42"/>
    <w:rsid w:val="1AB433D9"/>
    <w:rsid w:val="1AEE2FA0"/>
    <w:rsid w:val="1AFB6D70"/>
    <w:rsid w:val="1B1B11EE"/>
    <w:rsid w:val="1B3719E0"/>
    <w:rsid w:val="1B6261C3"/>
    <w:rsid w:val="1B731730"/>
    <w:rsid w:val="1B882BB5"/>
    <w:rsid w:val="1B9B33C7"/>
    <w:rsid w:val="1B9D7FEC"/>
    <w:rsid w:val="1BA55461"/>
    <w:rsid w:val="1BE74496"/>
    <w:rsid w:val="1BFB1448"/>
    <w:rsid w:val="1C3D67D1"/>
    <w:rsid w:val="1C40731A"/>
    <w:rsid w:val="1C506572"/>
    <w:rsid w:val="1C560392"/>
    <w:rsid w:val="1C581532"/>
    <w:rsid w:val="1C9F2E05"/>
    <w:rsid w:val="1CA15E03"/>
    <w:rsid w:val="1CA24F0C"/>
    <w:rsid w:val="1CF8716C"/>
    <w:rsid w:val="1D1638FE"/>
    <w:rsid w:val="1D1E545A"/>
    <w:rsid w:val="1D4B1F5B"/>
    <w:rsid w:val="1D6C5CA0"/>
    <w:rsid w:val="1D725586"/>
    <w:rsid w:val="1D745B4F"/>
    <w:rsid w:val="1D867987"/>
    <w:rsid w:val="1D944010"/>
    <w:rsid w:val="1DD70E85"/>
    <w:rsid w:val="1DE74AD7"/>
    <w:rsid w:val="1DF60A19"/>
    <w:rsid w:val="1DFA6713"/>
    <w:rsid w:val="1E050843"/>
    <w:rsid w:val="1E2D3FB0"/>
    <w:rsid w:val="1E2E50F1"/>
    <w:rsid w:val="1E3B4E26"/>
    <w:rsid w:val="1ED22D79"/>
    <w:rsid w:val="1EDF707D"/>
    <w:rsid w:val="1F394761"/>
    <w:rsid w:val="1F65664C"/>
    <w:rsid w:val="1F7C149A"/>
    <w:rsid w:val="1F84140D"/>
    <w:rsid w:val="1F9B7FFD"/>
    <w:rsid w:val="1F9C7614"/>
    <w:rsid w:val="1FBE1971"/>
    <w:rsid w:val="2008768D"/>
    <w:rsid w:val="204B327F"/>
    <w:rsid w:val="204C2B10"/>
    <w:rsid w:val="207D30AD"/>
    <w:rsid w:val="209064B9"/>
    <w:rsid w:val="20970D81"/>
    <w:rsid w:val="20D165D5"/>
    <w:rsid w:val="210878E6"/>
    <w:rsid w:val="210E1408"/>
    <w:rsid w:val="211069AD"/>
    <w:rsid w:val="21573FAB"/>
    <w:rsid w:val="2172069C"/>
    <w:rsid w:val="21834E87"/>
    <w:rsid w:val="21987BC4"/>
    <w:rsid w:val="21BE314A"/>
    <w:rsid w:val="220451AB"/>
    <w:rsid w:val="2237486E"/>
    <w:rsid w:val="223D1378"/>
    <w:rsid w:val="22451BC7"/>
    <w:rsid w:val="22940650"/>
    <w:rsid w:val="22AD4B1E"/>
    <w:rsid w:val="22C43743"/>
    <w:rsid w:val="22D31DF3"/>
    <w:rsid w:val="22FD3CF7"/>
    <w:rsid w:val="232C221B"/>
    <w:rsid w:val="2356249E"/>
    <w:rsid w:val="236E713A"/>
    <w:rsid w:val="23700968"/>
    <w:rsid w:val="238761A6"/>
    <w:rsid w:val="23920578"/>
    <w:rsid w:val="23BB6F9A"/>
    <w:rsid w:val="23FC3864"/>
    <w:rsid w:val="24857B00"/>
    <w:rsid w:val="24F25212"/>
    <w:rsid w:val="25087C0C"/>
    <w:rsid w:val="251B0465"/>
    <w:rsid w:val="254B0AC6"/>
    <w:rsid w:val="25571AB6"/>
    <w:rsid w:val="2561056D"/>
    <w:rsid w:val="2577160A"/>
    <w:rsid w:val="259C5A45"/>
    <w:rsid w:val="25B40AD6"/>
    <w:rsid w:val="25BE7872"/>
    <w:rsid w:val="25BF702A"/>
    <w:rsid w:val="26390459"/>
    <w:rsid w:val="264D2D17"/>
    <w:rsid w:val="26661BB3"/>
    <w:rsid w:val="26773DC1"/>
    <w:rsid w:val="26D50E55"/>
    <w:rsid w:val="271A539C"/>
    <w:rsid w:val="273823FA"/>
    <w:rsid w:val="274972D4"/>
    <w:rsid w:val="27AA3D97"/>
    <w:rsid w:val="280A3758"/>
    <w:rsid w:val="28292E99"/>
    <w:rsid w:val="284E28FF"/>
    <w:rsid w:val="289057C5"/>
    <w:rsid w:val="28A67C7A"/>
    <w:rsid w:val="28EA3248"/>
    <w:rsid w:val="28F72F97"/>
    <w:rsid w:val="28F879DA"/>
    <w:rsid w:val="294B7731"/>
    <w:rsid w:val="29514455"/>
    <w:rsid w:val="29D21FF2"/>
    <w:rsid w:val="2A611B0F"/>
    <w:rsid w:val="2AC1762B"/>
    <w:rsid w:val="2AE845D0"/>
    <w:rsid w:val="2B4975FB"/>
    <w:rsid w:val="2B695031"/>
    <w:rsid w:val="2B735A8F"/>
    <w:rsid w:val="2BA7478D"/>
    <w:rsid w:val="2BB038DB"/>
    <w:rsid w:val="2BB761E0"/>
    <w:rsid w:val="2BB812F9"/>
    <w:rsid w:val="2BE35C27"/>
    <w:rsid w:val="2BFA504B"/>
    <w:rsid w:val="2C681F1F"/>
    <w:rsid w:val="2C8608DC"/>
    <w:rsid w:val="2CA4764A"/>
    <w:rsid w:val="2CC42ECA"/>
    <w:rsid w:val="2CCC7A22"/>
    <w:rsid w:val="2CDA4349"/>
    <w:rsid w:val="2D225539"/>
    <w:rsid w:val="2D4618D2"/>
    <w:rsid w:val="2D5F021B"/>
    <w:rsid w:val="2D6E1286"/>
    <w:rsid w:val="2D70583E"/>
    <w:rsid w:val="2DA07759"/>
    <w:rsid w:val="2E0725DC"/>
    <w:rsid w:val="2E1B4BB8"/>
    <w:rsid w:val="2E256CB6"/>
    <w:rsid w:val="2E5F27E4"/>
    <w:rsid w:val="2EBD223E"/>
    <w:rsid w:val="2EC10AD1"/>
    <w:rsid w:val="2ECB6A5A"/>
    <w:rsid w:val="2EE65418"/>
    <w:rsid w:val="2EFC0112"/>
    <w:rsid w:val="2F0F45A5"/>
    <w:rsid w:val="2F0F6197"/>
    <w:rsid w:val="2F2B730D"/>
    <w:rsid w:val="2F6A001E"/>
    <w:rsid w:val="2F9F3DC1"/>
    <w:rsid w:val="2FFC7AC2"/>
    <w:rsid w:val="301430AF"/>
    <w:rsid w:val="30630612"/>
    <w:rsid w:val="308E59B0"/>
    <w:rsid w:val="30B10568"/>
    <w:rsid w:val="30E070F0"/>
    <w:rsid w:val="30E55DD3"/>
    <w:rsid w:val="30E60399"/>
    <w:rsid w:val="31356AA5"/>
    <w:rsid w:val="313E22F0"/>
    <w:rsid w:val="31B0194C"/>
    <w:rsid w:val="31CE17D1"/>
    <w:rsid w:val="31FD161E"/>
    <w:rsid w:val="32270449"/>
    <w:rsid w:val="323E4515"/>
    <w:rsid w:val="326A4E14"/>
    <w:rsid w:val="3286389B"/>
    <w:rsid w:val="32994FDB"/>
    <w:rsid w:val="32CF5C94"/>
    <w:rsid w:val="32D337C7"/>
    <w:rsid w:val="32E200EC"/>
    <w:rsid w:val="32E5408B"/>
    <w:rsid w:val="32EB0D70"/>
    <w:rsid w:val="330E785B"/>
    <w:rsid w:val="332824BC"/>
    <w:rsid w:val="332868BB"/>
    <w:rsid w:val="333211F3"/>
    <w:rsid w:val="33504B41"/>
    <w:rsid w:val="338B4A07"/>
    <w:rsid w:val="33944811"/>
    <w:rsid w:val="33BE79A7"/>
    <w:rsid w:val="33CE0488"/>
    <w:rsid w:val="341D31EE"/>
    <w:rsid w:val="34262463"/>
    <w:rsid w:val="34296F31"/>
    <w:rsid w:val="34340A27"/>
    <w:rsid w:val="346A2989"/>
    <w:rsid w:val="348865E9"/>
    <w:rsid w:val="348F70D5"/>
    <w:rsid w:val="349D2BAD"/>
    <w:rsid w:val="34B25886"/>
    <w:rsid w:val="34E538E1"/>
    <w:rsid w:val="35277FF8"/>
    <w:rsid w:val="35763460"/>
    <w:rsid w:val="35776F72"/>
    <w:rsid w:val="35997371"/>
    <w:rsid w:val="35BC359E"/>
    <w:rsid w:val="35DA3A24"/>
    <w:rsid w:val="35DD4D47"/>
    <w:rsid w:val="360134DF"/>
    <w:rsid w:val="360B1E2F"/>
    <w:rsid w:val="360D500F"/>
    <w:rsid w:val="36330424"/>
    <w:rsid w:val="36FE3ABA"/>
    <w:rsid w:val="37072BDE"/>
    <w:rsid w:val="37455334"/>
    <w:rsid w:val="37527C32"/>
    <w:rsid w:val="37731921"/>
    <w:rsid w:val="37E509C0"/>
    <w:rsid w:val="37E96FB8"/>
    <w:rsid w:val="38222D85"/>
    <w:rsid w:val="38767A34"/>
    <w:rsid w:val="38803721"/>
    <w:rsid w:val="38925A62"/>
    <w:rsid w:val="389F5F4F"/>
    <w:rsid w:val="38C36BA2"/>
    <w:rsid w:val="38D34E55"/>
    <w:rsid w:val="38E11CEF"/>
    <w:rsid w:val="38F6595C"/>
    <w:rsid w:val="391702A7"/>
    <w:rsid w:val="39286EB6"/>
    <w:rsid w:val="39601DF4"/>
    <w:rsid w:val="396960F3"/>
    <w:rsid w:val="39840D35"/>
    <w:rsid w:val="39A97DAF"/>
    <w:rsid w:val="39BF365D"/>
    <w:rsid w:val="39CD1330"/>
    <w:rsid w:val="39DD1AFF"/>
    <w:rsid w:val="3A2510B9"/>
    <w:rsid w:val="3A2B0CF2"/>
    <w:rsid w:val="3A2B1DFC"/>
    <w:rsid w:val="3AA6422C"/>
    <w:rsid w:val="3AAF46D5"/>
    <w:rsid w:val="3AF562AE"/>
    <w:rsid w:val="3B135A0E"/>
    <w:rsid w:val="3B183213"/>
    <w:rsid w:val="3B272BBC"/>
    <w:rsid w:val="3B374FEE"/>
    <w:rsid w:val="3B4410EE"/>
    <w:rsid w:val="3B46744C"/>
    <w:rsid w:val="3B56159C"/>
    <w:rsid w:val="3B596DF7"/>
    <w:rsid w:val="3B7D732B"/>
    <w:rsid w:val="3BD30423"/>
    <w:rsid w:val="3C14299D"/>
    <w:rsid w:val="3C6C0B58"/>
    <w:rsid w:val="3C945583"/>
    <w:rsid w:val="3CBE41D5"/>
    <w:rsid w:val="3D446B0E"/>
    <w:rsid w:val="3D745844"/>
    <w:rsid w:val="3D8626D0"/>
    <w:rsid w:val="3D8C1AA8"/>
    <w:rsid w:val="3D953A6B"/>
    <w:rsid w:val="3DBB5979"/>
    <w:rsid w:val="3DD56F21"/>
    <w:rsid w:val="3DEF6699"/>
    <w:rsid w:val="3E1057AF"/>
    <w:rsid w:val="3E6C0DFA"/>
    <w:rsid w:val="3E740322"/>
    <w:rsid w:val="3E7F4380"/>
    <w:rsid w:val="3E8D171B"/>
    <w:rsid w:val="3EA5630D"/>
    <w:rsid w:val="3EBA731B"/>
    <w:rsid w:val="3EE33949"/>
    <w:rsid w:val="3EFB5800"/>
    <w:rsid w:val="3F3B4E59"/>
    <w:rsid w:val="3F6E677C"/>
    <w:rsid w:val="3F712F46"/>
    <w:rsid w:val="3FBC0EF7"/>
    <w:rsid w:val="3FCD2AB9"/>
    <w:rsid w:val="3FCD4B44"/>
    <w:rsid w:val="3FD17600"/>
    <w:rsid w:val="3FFF0C57"/>
    <w:rsid w:val="402E7C36"/>
    <w:rsid w:val="4050218A"/>
    <w:rsid w:val="405C7868"/>
    <w:rsid w:val="406B3BF6"/>
    <w:rsid w:val="408B24EB"/>
    <w:rsid w:val="408D1DBF"/>
    <w:rsid w:val="40C652D1"/>
    <w:rsid w:val="40F40090"/>
    <w:rsid w:val="417044B8"/>
    <w:rsid w:val="41A203A0"/>
    <w:rsid w:val="41A25D3E"/>
    <w:rsid w:val="41C77987"/>
    <w:rsid w:val="41E83F8C"/>
    <w:rsid w:val="421C17EA"/>
    <w:rsid w:val="422D1842"/>
    <w:rsid w:val="425B7C31"/>
    <w:rsid w:val="427D66D0"/>
    <w:rsid w:val="42BC7E02"/>
    <w:rsid w:val="42C82575"/>
    <w:rsid w:val="43022EE1"/>
    <w:rsid w:val="431A5F8F"/>
    <w:rsid w:val="431F247A"/>
    <w:rsid w:val="43335E8F"/>
    <w:rsid w:val="433F2968"/>
    <w:rsid w:val="43655F7F"/>
    <w:rsid w:val="43676E20"/>
    <w:rsid w:val="43A31040"/>
    <w:rsid w:val="43BF774E"/>
    <w:rsid w:val="43CD062F"/>
    <w:rsid w:val="43E214F9"/>
    <w:rsid w:val="43F06264"/>
    <w:rsid w:val="44223AB6"/>
    <w:rsid w:val="44404C8E"/>
    <w:rsid w:val="447537F1"/>
    <w:rsid w:val="44870D07"/>
    <w:rsid w:val="44D33826"/>
    <w:rsid w:val="45344EFF"/>
    <w:rsid w:val="453950E7"/>
    <w:rsid w:val="45513D03"/>
    <w:rsid w:val="45541E1C"/>
    <w:rsid w:val="45FE7734"/>
    <w:rsid w:val="461F0A8B"/>
    <w:rsid w:val="4648721E"/>
    <w:rsid w:val="46663E71"/>
    <w:rsid w:val="466A37AC"/>
    <w:rsid w:val="468A1A00"/>
    <w:rsid w:val="46CB071B"/>
    <w:rsid w:val="46DE140B"/>
    <w:rsid w:val="46E77334"/>
    <w:rsid w:val="46F22E29"/>
    <w:rsid w:val="46F7142F"/>
    <w:rsid w:val="47107AE3"/>
    <w:rsid w:val="473C62ED"/>
    <w:rsid w:val="47617242"/>
    <w:rsid w:val="478C16C9"/>
    <w:rsid w:val="47BD246B"/>
    <w:rsid w:val="47CB2B0C"/>
    <w:rsid w:val="47E773CE"/>
    <w:rsid w:val="47EE2C9A"/>
    <w:rsid w:val="47F00499"/>
    <w:rsid w:val="47F1602E"/>
    <w:rsid w:val="48015FF5"/>
    <w:rsid w:val="482A4397"/>
    <w:rsid w:val="483820D2"/>
    <w:rsid w:val="48692CD0"/>
    <w:rsid w:val="48AE3D01"/>
    <w:rsid w:val="48B96318"/>
    <w:rsid w:val="49067B2F"/>
    <w:rsid w:val="49100B80"/>
    <w:rsid w:val="49677E31"/>
    <w:rsid w:val="496C2225"/>
    <w:rsid w:val="49A35E02"/>
    <w:rsid w:val="49AE2880"/>
    <w:rsid w:val="49F42EAF"/>
    <w:rsid w:val="4A337323"/>
    <w:rsid w:val="4A5B28DC"/>
    <w:rsid w:val="4AA06B93"/>
    <w:rsid w:val="4ADB18EB"/>
    <w:rsid w:val="4B3A6FE7"/>
    <w:rsid w:val="4B96118E"/>
    <w:rsid w:val="4BAE1B66"/>
    <w:rsid w:val="4BBF6159"/>
    <w:rsid w:val="4BC806E6"/>
    <w:rsid w:val="4BED4708"/>
    <w:rsid w:val="4BF133DC"/>
    <w:rsid w:val="4C1A4AD9"/>
    <w:rsid w:val="4C2E4987"/>
    <w:rsid w:val="4C4117A4"/>
    <w:rsid w:val="4C507D4A"/>
    <w:rsid w:val="4CD60F91"/>
    <w:rsid w:val="4CDF5563"/>
    <w:rsid w:val="4CFB2214"/>
    <w:rsid w:val="4D2C4D26"/>
    <w:rsid w:val="4D335E0E"/>
    <w:rsid w:val="4D4759EB"/>
    <w:rsid w:val="4D4E4EA3"/>
    <w:rsid w:val="4D9A5B1B"/>
    <w:rsid w:val="4DA55D85"/>
    <w:rsid w:val="4DBB20DB"/>
    <w:rsid w:val="4DDC3F22"/>
    <w:rsid w:val="4DE66FB2"/>
    <w:rsid w:val="4DEC6CB8"/>
    <w:rsid w:val="4E1040C7"/>
    <w:rsid w:val="4E1760BF"/>
    <w:rsid w:val="4E30647F"/>
    <w:rsid w:val="4E353A96"/>
    <w:rsid w:val="4E5D2C75"/>
    <w:rsid w:val="4EBA03C3"/>
    <w:rsid w:val="4EBC5459"/>
    <w:rsid w:val="4ED94CB0"/>
    <w:rsid w:val="4EEC2ED3"/>
    <w:rsid w:val="4F0E56EA"/>
    <w:rsid w:val="4F2E11BC"/>
    <w:rsid w:val="4F3C4343"/>
    <w:rsid w:val="4F416688"/>
    <w:rsid w:val="4F5620B0"/>
    <w:rsid w:val="4F616EB4"/>
    <w:rsid w:val="4F6654EE"/>
    <w:rsid w:val="4F7379C6"/>
    <w:rsid w:val="4F872BDB"/>
    <w:rsid w:val="4FA033E9"/>
    <w:rsid w:val="4FA743DA"/>
    <w:rsid w:val="4FB3565A"/>
    <w:rsid w:val="4FC4714D"/>
    <w:rsid w:val="4FD571A2"/>
    <w:rsid w:val="503D1C79"/>
    <w:rsid w:val="507A6406"/>
    <w:rsid w:val="50853863"/>
    <w:rsid w:val="508A4590"/>
    <w:rsid w:val="50F1461D"/>
    <w:rsid w:val="50FE5411"/>
    <w:rsid w:val="510B072E"/>
    <w:rsid w:val="511B0BF4"/>
    <w:rsid w:val="51264306"/>
    <w:rsid w:val="514E62C9"/>
    <w:rsid w:val="516123CE"/>
    <w:rsid w:val="51932FAD"/>
    <w:rsid w:val="51B177A9"/>
    <w:rsid w:val="51E066EB"/>
    <w:rsid w:val="52640E8B"/>
    <w:rsid w:val="5267570A"/>
    <w:rsid w:val="52707792"/>
    <w:rsid w:val="52734B8D"/>
    <w:rsid w:val="528D02F2"/>
    <w:rsid w:val="52A12CDC"/>
    <w:rsid w:val="52DF0C92"/>
    <w:rsid w:val="52E1159C"/>
    <w:rsid w:val="52E34D6A"/>
    <w:rsid w:val="530C1269"/>
    <w:rsid w:val="531E524E"/>
    <w:rsid w:val="534072EB"/>
    <w:rsid w:val="537648BE"/>
    <w:rsid w:val="538E2D0B"/>
    <w:rsid w:val="53922782"/>
    <w:rsid w:val="539C1424"/>
    <w:rsid w:val="53A639C0"/>
    <w:rsid w:val="53F00A24"/>
    <w:rsid w:val="53F63DBA"/>
    <w:rsid w:val="53FF492A"/>
    <w:rsid w:val="54261D4F"/>
    <w:rsid w:val="5448624E"/>
    <w:rsid w:val="54492049"/>
    <w:rsid w:val="546E2B1A"/>
    <w:rsid w:val="5482555F"/>
    <w:rsid w:val="54A31DD8"/>
    <w:rsid w:val="54AA6F8B"/>
    <w:rsid w:val="54D26583"/>
    <w:rsid w:val="55363E67"/>
    <w:rsid w:val="556E6DF7"/>
    <w:rsid w:val="55965CE3"/>
    <w:rsid w:val="559D47CE"/>
    <w:rsid w:val="55BE1959"/>
    <w:rsid w:val="56232437"/>
    <w:rsid w:val="56541A75"/>
    <w:rsid w:val="56755377"/>
    <w:rsid w:val="568832FC"/>
    <w:rsid w:val="568C4181"/>
    <w:rsid w:val="570725A9"/>
    <w:rsid w:val="5714693E"/>
    <w:rsid w:val="571D0C9C"/>
    <w:rsid w:val="573A16CE"/>
    <w:rsid w:val="57482A8C"/>
    <w:rsid w:val="578D049F"/>
    <w:rsid w:val="579C7F80"/>
    <w:rsid w:val="57B30D7C"/>
    <w:rsid w:val="58166B03"/>
    <w:rsid w:val="583E3C94"/>
    <w:rsid w:val="58721734"/>
    <w:rsid w:val="58900246"/>
    <w:rsid w:val="58977358"/>
    <w:rsid w:val="58CB5DC0"/>
    <w:rsid w:val="58D53944"/>
    <w:rsid w:val="58D65478"/>
    <w:rsid w:val="58F52487"/>
    <w:rsid w:val="58F9403E"/>
    <w:rsid w:val="590422E6"/>
    <w:rsid w:val="592257E5"/>
    <w:rsid w:val="59635CB4"/>
    <w:rsid w:val="59655E33"/>
    <w:rsid w:val="5970233D"/>
    <w:rsid w:val="59CF5BD9"/>
    <w:rsid w:val="59E20C3C"/>
    <w:rsid w:val="59E3512D"/>
    <w:rsid w:val="5A001BC6"/>
    <w:rsid w:val="5A1D5B0A"/>
    <w:rsid w:val="5A2447F3"/>
    <w:rsid w:val="5A3B4B4E"/>
    <w:rsid w:val="5A4804CA"/>
    <w:rsid w:val="5A594C85"/>
    <w:rsid w:val="5A8842AA"/>
    <w:rsid w:val="5AEB1E3C"/>
    <w:rsid w:val="5B2507CA"/>
    <w:rsid w:val="5B2A474A"/>
    <w:rsid w:val="5B2D237E"/>
    <w:rsid w:val="5B612747"/>
    <w:rsid w:val="5B830730"/>
    <w:rsid w:val="5BBB2DD6"/>
    <w:rsid w:val="5BD6009C"/>
    <w:rsid w:val="5BE263B6"/>
    <w:rsid w:val="5C8E5C5A"/>
    <w:rsid w:val="5C965E61"/>
    <w:rsid w:val="5CD839BA"/>
    <w:rsid w:val="5CF0089C"/>
    <w:rsid w:val="5CF5796F"/>
    <w:rsid w:val="5D242A11"/>
    <w:rsid w:val="5D9217C2"/>
    <w:rsid w:val="5DAD06BF"/>
    <w:rsid w:val="5DC92CE9"/>
    <w:rsid w:val="5DE23CB3"/>
    <w:rsid w:val="5DE97EEC"/>
    <w:rsid w:val="5DFA5EB0"/>
    <w:rsid w:val="5E000E4D"/>
    <w:rsid w:val="5E0B583E"/>
    <w:rsid w:val="5E201A7B"/>
    <w:rsid w:val="5EA45884"/>
    <w:rsid w:val="5EBD0484"/>
    <w:rsid w:val="5F2C5C7C"/>
    <w:rsid w:val="5F36141C"/>
    <w:rsid w:val="5FC5273F"/>
    <w:rsid w:val="5FD64459"/>
    <w:rsid w:val="5FE33352"/>
    <w:rsid w:val="604F6C39"/>
    <w:rsid w:val="60806DF2"/>
    <w:rsid w:val="61072DA5"/>
    <w:rsid w:val="611C0817"/>
    <w:rsid w:val="61224A52"/>
    <w:rsid w:val="61300818"/>
    <w:rsid w:val="61520CCB"/>
    <w:rsid w:val="61851A29"/>
    <w:rsid w:val="61DF7484"/>
    <w:rsid w:val="622D1522"/>
    <w:rsid w:val="622E0574"/>
    <w:rsid w:val="62683B6B"/>
    <w:rsid w:val="6275761C"/>
    <w:rsid w:val="62816E52"/>
    <w:rsid w:val="62AB7BE6"/>
    <w:rsid w:val="62AC5944"/>
    <w:rsid w:val="632F3F8A"/>
    <w:rsid w:val="63332842"/>
    <w:rsid w:val="63716241"/>
    <w:rsid w:val="637279B4"/>
    <w:rsid w:val="63817D2B"/>
    <w:rsid w:val="63BD1FA9"/>
    <w:rsid w:val="63D175D1"/>
    <w:rsid w:val="63D27965"/>
    <w:rsid w:val="63F4667E"/>
    <w:rsid w:val="64095516"/>
    <w:rsid w:val="641A2468"/>
    <w:rsid w:val="64372F20"/>
    <w:rsid w:val="648944D0"/>
    <w:rsid w:val="64DC72D7"/>
    <w:rsid w:val="64FA42B4"/>
    <w:rsid w:val="653619A6"/>
    <w:rsid w:val="65610A02"/>
    <w:rsid w:val="658C0E37"/>
    <w:rsid w:val="65A11EA3"/>
    <w:rsid w:val="65AC3D66"/>
    <w:rsid w:val="65BB5334"/>
    <w:rsid w:val="663E1DBA"/>
    <w:rsid w:val="665D0213"/>
    <w:rsid w:val="668506C7"/>
    <w:rsid w:val="669E59F1"/>
    <w:rsid w:val="66A2024B"/>
    <w:rsid w:val="66CB5E2D"/>
    <w:rsid w:val="6704732B"/>
    <w:rsid w:val="670F6731"/>
    <w:rsid w:val="67585CB0"/>
    <w:rsid w:val="67770F0C"/>
    <w:rsid w:val="679E649A"/>
    <w:rsid w:val="67B03535"/>
    <w:rsid w:val="68174F69"/>
    <w:rsid w:val="682C436A"/>
    <w:rsid w:val="68382778"/>
    <w:rsid w:val="68391F41"/>
    <w:rsid w:val="68436B8C"/>
    <w:rsid w:val="68797358"/>
    <w:rsid w:val="6884624F"/>
    <w:rsid w:val="68A519DF"/>
    <w:rsid w:val="68BF2482"/>
    <w:rsid w:val="68C4160B"/>
    <w:rsid w:val="68C41C30"/>
    <w:rsid w:val="68CF3BA4"/>
    <w:rsid w:val="69257FA7"/>
    <w:rsid w:val="693F26C7"/>
    <w:rsid w:val="697E12B2"/>
    <w:rsid w:val="69C8706D"/>
    <w:rsid w:val="6A0E3FB4"/>
    <w:rsid w:val="6A292754"/>
    <w:rsid w:val="6A5E3B28"/>
    <w:rsid w:val="6A6B1EBE"/>
    <w:rsid w:val="6A8F43F7"/>
    <w:rsid w:val="6AD625F3"/>
    <w:rsid w:val="6B5B46E4"/>
    <w:rsid w:val="6B7218BE"/>
    <w:rsid w:val="6B750BA9"/>
    <w:rsid w:val="6BB93285"/>
    <w:rsid w:val="6C0C698C"/>
    <w:rsid w:val="6C222401"/>
    <w:rsid w:val="6C56267F"/>
    <w:rsid w:val="6C826EF9"/>
    <w:rsid w:val="6CAE4C93"/>
    <w:rsid w:val="6CB14F16"/>
    <w:rsid w:val="6CEC2069"/>
    <w:rsid w:val="6D0B1869"/>
    <w:rsid w:val="6D65402D"/>
    <w:rsid w:val="6D683822"/>
    <w:rsid w:val="6D8D136C"/>
    <w:rsid w:val="6DBF2759"/>
    <w:rsid w:val="6DC96F36"/>
    <w:rsid w:val="6DED00D0"/>
    <w:rsid w:val="6DFA3EBF"/>
    <w:rsid w:val="6E3E63D2"/>
    <w:rsid w:val="6E5F7BE6"/>
    <w:rsid w:val="6E6918C6"/>
    <w:rsid w:val="6EEB4AC4"/>
    <w:rsid w:val="6F212DD6"/>
    <w:rsid w:val="6F3B5912"/>
    <w:rsid w:val="6FA14A81"/>
    <w:rsid w:val="6FA3261F"/>
    <w:rsid w:val="6FB44BAA"/>
    <w:rsid w:val="700D6539"/>
    <w:rsid w:val="704203E3"/>
    <w:rsid w:val="7058046B"/>
    <w:rsid w:val="707F2079"/>
    <w:rsid w:val="70922734"/>
    <w:rsid w:val="70CD16CB"/>
    <w:rsid w:val="70CE6DC7"/>
    <w:rsid w:val="710B3646"/>
    <w:rsid w:val="711759F2"/>
    <w:rsid w:val="713C4ED8"/>
    <w:rsid w:val="71407642"/>
    <w:rsid w:val="71641210"/>
    <w:rsid w:val="71D95B7C"/>
    <w:rsid w:val="71EA6A50"/>
    <w:rsid w:val="71FE31A8"/>
    <w:rsid w:val="720C30AE"/>
    <w:rsid w:val="721A7983"/>
    <w:rsid w:val="721F6113"/>
    <w:rsid w:val="7233782C"/>
    <w:rsid w:val="725400DF"/>
    <w:rsid w:val="726A729D"/>
    <w:rsid w:val="73177841"/>
    <w:rsid w:val="733774FE"/>
    <w:rsid w:val="735231C7"/>
    <w:rsid w:val="73617E1B"/>
    <w:rsid w:val="736D7653"/>
    <w:rsid w:val="738035CB"/>
    <w:rsid w:val="73852C46"/>
    <w:rsid w:val="7396335C"/>
    <w:rsid w:val="73F46595"/>
    <w:rsid w:val="73F47FAE"/>
    <w:rsid w:val="74283FA2"/>
    <w:rsid w:val="742C135B"/>
    <w:rsid w:val="74463733"/>
    <w:rsid w:val="748A2F40"/>
    <w:rsid w:val="74D84FF7"/>
    <w:rsid w:val="74F85778"/>
    <w:rsid w:val="75272439"/>
    <w:rsid w:val="758F1E9B"/>
    <w:rsid w:val="75CE266B"/>
    <w:rsid w:val="75E538F2"/>
    <w:rsid w:val="76120141"/>
    <w:rsid w:val="76510960"/>
    <w:rsid w:val="768216BE"/>
    <w:rsid w:val="76C23B43"/>
    <w:rsid w:val="76FD6F97"/>
    <w:rsid w:val="770218E8"/>
    <w:rsid w:val="779469CE"/>
    <w:rsid w:val="77C875A5"/>
    <w:rsid w:val="77D777E8"/>
    <w:rsid w:val="78A27DF6"/>
    <w:rsid w:val="79285B3A"/>
    <w:rsid w:val="79490B03"/>
    <w:rsid w:val="79625CA9"/>
    <w:rsid w:val="79A91196"/>
    <w:rsid w:val="7A0B32D3"/>
    <w:rsid w:val="7AC13CD3"/>
    <w:rsid w:val="7AE10264"/>
    <w:rsid w:val="7AE4248E"/>
    <w:rsid w:val="7B4A207F"/>
    <w:rsid w:val="7B7122A7"/>
    <w:rsid w:val="7B936F45"/>
    <w:rsid w:val="7BA47419"/>
    <w:rsid w:val="7BB10D45"/>
    <w:rsid w:val="7BB44151"/>
    <w:rsid w:val="7C067CC4"/>
    <w:rsid w:val="7C656A39"/>
    <w:rsid w:val="7CAE7D7C"/>
    <w:rsid w:val="7CB93996"/>
    <w:rsid w:val="7CBE0F99"/>
    <w:rsid w:val="7D4E45F1"/>
    <w:rsid w:val="7DFB6D82"/>
    <w:rsid w:val="7E1D71D1"/>
    <w:rsid w:val="7E246254"/>
    <w:rsid w:val="7E553215"/>
    <w:rsid w:val="7E6D090F"/>
    <w:rsid w:val="7E7E2263"/>
    <w:rsid w:val="7ECC66B2"/>
    <w:rsid w:val="7F2914C3"/>
    <w:rsid w:val="7F5F2ED6"/>
    <w:rsid w:val="7FA837EF"/>
    <w:rsid w:val="7FC36955"/>
    <w:rsid w:val="7FE903A0"/>
    <w:rsid w:val="7FF07065"/>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5"/>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24"/>
    <w:unhideWhenUsed/>
    <w:qFormat/>
    <w:uiPriority w:val="99"/>
    <w:rPr>
      <w:rFonts w:cstheme="minorBidi"/>
      <w:kern w:val="2"/>
      <w:sz w:val="18"/>
      <w:szCs w:val="18"/>
    </w:rPr>
  </w:style>
  <w:style w:type="paragraph" w:styleId="8">
    <w:name w:val="footer"/>
    <w:basedOn w:val="1"/>
    <w:link w:val="16"/>
    <w:qFormat/>
    <w:uiPriority w:val="99"/>
    <w:pPr>
      <w:tabs>
        <w:tab w:val="center" w:pos="4153"/>
        <w:tab w:val="right" w:pos="8306"/>
      </w:tabs>
      <w:snapToGrid w:val="0"/>
      <w:jc w:val="left"/>
    </w:pPr>
    <w:rPr>
      <w:rFonts w:cstheme="minorBidi"/>
      <w:kern w:val="2"/>
      <w:sz w:val="18"/>
      <w:szCs w:val="18"/>
    </w:rPr>
  </w:style>
  <w:style w:type="paragraph" w:styleId="9">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customStyle="1" w:styleId="15">
    <w:name w:val="标题 2 Char"/>
    <w:link w:val="3"/>
    <w:qFormat/>
    <w:uiPriority w:val="0"/>
    <w:rPr>
      <w:rFonts w:ascii="Calibri Light" w:hAnsi="Calibri Light" w:eastAsia="宋体" w:cs="Times New Roman"/>
      <w:b/>
      <w:bCs/>
      <w:sz w:val="28"/>
      <w:szCs w:val="32"/>
    </w:rPr>
  </w:style>
  <w:style w:type="character" w:customStyle="1" w:styleId="16">
    <w:name w:val="页脚 Char"/>
    <w:basedOn w:val="13"/>
    <w:link w:val="8"/>
    <w:qFormat/>
    <w:uiPriority w:val="99"/>
    <w:rPr>
      <w:rFonts w:asciiTheme="minorHAnsi" w:hAnsiTheme="minorHAnsi" w:eastAsiaTheme="minorEastAsia" w:cstheme="minorBidi"/>
      <w:sz w:val="18"/>
      <w:szCs w:val="18"/>
      <w:lang w:val="en-US" w:eastAsia="zh-CN" w:bidi="ar-SA"/>
    </w:rPr>
  </w:style>
  <w:style w:type="character" w:customStyle="1" w:styleId="17">
    <w:name w:val="页眉 Char"/>
    <w:basedOn w:val="13"/>
    <w:link w:val="9"/>
    <w:qFormat/>
    <w:uiPriority w:val="0"/>
    <w:rPr>
      <w:rFonts w:asciiTheme="minorHAnsi" w:hAnsiTheme="minorHAnsi" w:eastAsiaTheme="minorEastAsia" w:cstheme="minorBidi"/>
      <w:sz w:val="18"/>
      <w:szCs w:val="18"/>
      <w:lang w:val="en-US" w:eastAsia="zh-CN" w:bidi="ar-SA"/>
    </w:rPr>
  </w:style>
  <w:style w:type="character" w:customStyle="1" w:styleId="18">
    <w:name w:val="font11"/>
    <w:basedOn w:val="13"/>
    <w:qFormat/>
    <w:uiPriority w:val="0"/>
    <w:rPr>
      <w:rFonts w:hint="eastAsia" w:ascii="宋体" w:hAnsi="宋体" w:eastAsia="宋体" w:cs="宋体"/>
      <w:color w:val="000000"/>
      <w:sz w:val="20"/>
      <w:szCs w:val="20"/>
      <w:u w:val="none"/>
      <w:lang w:val="en-US" w:eastAsia="zh-CN" w:bidi="ar-SA"/>
    </w:rPr>
  </w:style>
  <w:style w:type="character" w:customStyle="1" w:styleId="19">
    <w:name w:val="font01"/>
    <w:basedOn w:val="13"/>
    <w:qFormat/>
    <w:uiPriority w:val="0"/>
    <w:rPr>
      <w:rFonts w:hint="eastAsia" w:ascii="宋体" w:hAnsi="宋体" w:eastAsia="宋体" w:cs="宋体"/>
      <w:color w:val="000000"/>
      <w:sz w:val="22"/>
      <w:szCs w:val="22"/>
      <w:u w:val="none"/>
      <w:lang w:val="en-US" w:eastAsia="zh-CN" w:bidi="ar-SA"/>
    </w:rPr>
  </w:style>
  <w:style w:type="character" w:customStyle="1" w:styleId="20">
    <w:name w:val="font41"/>
    <w:basedOn w:val="13"/>
    <w:qFormat/>
    <w:uiPriority w:val="0"/>
    <w:rPr>
      <w:rFonts w:hint="eastAsia" w:ascii="宋体" w:hAnsi="宋体" w:eastAsia="宋体" w:cs="宋体"/>
      <w:color w:val="000000"/>
      <w:sz w:val="24"/>
      <w:szCs w:val="24"/>
      <w:u w:val="none"/>
      <w:lang w:val="en-US" w:eastAsia="zh-CN" w:bidi="ar-SA"/>
    </w:rPr>
  </w:style>
  <w:style w:type="character" w:customStyle="1" w:styleId="21">
    <w:name w:val="font3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2">
    <w:name w:val="font9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3">
    <w:name w:val="font51"/>
    <w:basedOn w:val="13"/>
    <w:qFormat/>
    <w:uiPriority w:val="0"/>
    <w:rPr>
      <w:rFonts w:hint="eastAsia" w:ascii="宋体" w:hAnsi="宋体" w:eastAsia="宋体" w:cs="宋体"/>
      <w:color w:val="000000"/>
      <w:sz w:val="24"/>
      <w:szCs w:val="24"/>
      <w:u w:val="none"/>
      <w:lang w:val="en-US" w:eastAsia="zh-CN" w:bidi="ar-SA"/>
    </w:rPr>
  </w:style>
  <w:style w:type="character" w:customStyle="1" w:styleId="24">
    <w:name w:val="批注框文本 Char"/>
    <w:basedOn w:val="13"/>
    <w:link w:val="7"/>
    <w:semiHidden/>
    <w:qFormat/>
    <w:uiPriority w:val="99"/>
    <w:rPr>
      <w:rFonts w:asciiTheme="minorHAnsi" w:hAnsiTheme="minorHAnsi" w:eastAsiaTheme="minorEastAsia" w:cstheme="minorBidi"/>
      <w:sz w:val="18"/>
      <w:szCs w:val="18"/>
      <w:lang w:val="en-US" w:eastAsia="zh-CN" w:bidi="ar-SA"/>
    </w:rPr>
  </w:style>
  <w:style w:type="character" w:customStyle="1" w:styleId="25">
    <w:name w:val="font21"/>
    <w:basedOn w:val="13"/>
    <w:qFormat/>
    <w:uiPriority w:val="0"/>
    <w:rPr>
      <w:rFonts w:hint="eastAsia" w:ascii="方正仿宋_GB2312" w:hAnsi="方正仿宋_GB2312" w:eastAsia="方正仿宋_GB2312" w:cs="方正仿宋_GB2312"/>
      <w:color w:val="000000"/>
      <w:sz w:val="18"/>
      <w:szCs w:val="18"/>
      <w:u w:val="none"/>
    </w:rPr>
  </w:style>
  <w:style w:type="character" w:customStyle="1" w:styleId="26">
    <w:name w:val="font61"/>
    <w:basedOn w:val="13"/>
    <w:qFormat/>
    <w:uiPriority w:val="0"/>
    <w:rPr>
      <w:rFonts w:hint="eastAsia" w:ascii="方正仿宋_GB2312" w:hAnsi="方正仿宋_GB2312" w:eastAsia="方正仿宋_GB2312" w:cs="方正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130.08</c:v>
                </c:pt>
                <c:pt idx="1">
                  <c:v>128.67</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0.00_);[Red]\(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1300801.89</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1140129.29</c:v>
                </c:pt>
                <c:pt idx="1">
                  <c:v>160672.6</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128.67</c:v>
                </c:pt>
                <c:pt idx="1">
                  <c:v>128.67</c:v>
                </c:pt>
                <c:pt idx="2">
                  <c:v>128.67</c:v>
                </c:pt>
                <c:pt idx="3">
                  <c:v>128.67</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130.08</c:v>
                </c:pt>
                <c:pt idx="1">
                  <c:v>130.08</c:v>
                </c:pt>
                <c:pt idx="2">
                  <c:v>130.08</c:v>
                </c:pt>
                <c:pt idx="3">
                  <c:v>130.08</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159.56</c:v>
                </c:pt>
                <c:pt idx="1">
                  <c:v>159.56</c:v>
                </c:pt>
                <c:pt idx="2">
                  <c:v>159.56</c:v>
                </c:pt>
                <c:pt idx="3">
                  <c:v>159.56</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130.08</c:v>
                </c:pt>
                <c:pt idx="1">
                  <c:v>130.08</c:v>
                </c:pt>
                <c:pt idx="2">
                  <c:v>130.08</c:v>
                </c:pt>
                <c:pt idx="3">
                  <c:v>130.08</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tags>
    <s:tag s:spid="_x0000_s1026">
      <s:item s:name="KSO_DOCER_RESOURCE_TRACE_INFO" s:val="{&quot;id&quot;:&quot;&quot;,&quot;origin&quot;:0,&quot;type&quot;:&quot;wordart&quot;,&quot;user&quot;:&quot;292216292&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29</Pages>
  <Words>1660</Words>
  <Characters>6225</Characters>
  <Lines>86</Lines>
  <Paragraphs>24</Paragraphs>
  <TotalTime>34</TotalTime>
  <ScaleCrop>false</ScaleCrop>
  <LinksUpToDate>false</LinksUpToDate>
  <CharactersWithSpaces>6550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L-DD</cp:lastModifiedBy>
  <cp:lastPrinted>2023-08-04T01:00:00Z</cp:lastPrinted>
  <dcterms:modified xsi:type="dcterms:W3CDTF">2026-08-27T08:22:30Z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5C1B136609854E18BDF3455763276D05_13</vt:lpwstr>
  </property>
  <property fmtid="{D5CDD505-2E9C-101B-9397-08002B2CF9AE}" pid="4" name="KSOTemplateUUID">
    <vt:lpwstr>v1.0_mb_S7ajbG3IpAnL1wSthNCxfw==</vt:lpwstr>
  </property>
  <property fmtid="{D5CDD505-2E9C-101B-9397-08002B2CF9AE}" pid="5" name="KSOTemplateDocerSaveRecord">
    <vt:lpwstr>eyJoZGlkIjoiMGUwMDdiZjE4MTAzNDUzMDk3OTAyNWU5OGVmNGE2MmMiLCJ1c2VySWQiOiIxNTIwMzY1OTkzIn0=</vt:lpwstr>
  </property>
</Properties>
</file>