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998F42">
      <w:pPr>
        <w:jc w:val="center"/>
        <w:rPr>
          <w:rFonts w:hint="eastAsia"/>
          <w:sz w:val="28"/>
          <w:szCs w:val="36"/>
          <w:lang w:val="en-US" w:eastAsia="zh-CN"/>
        </w:rPr>
      </w:pPr>
      <w:bookmarkStart w:id="0" w:name="_GoBack"/>
      <w:r>
        <w:rPr>
          <w:rFonts w:hint="eastAsia"/>
          <w:sz w:val="28"/>
          <w:szCs w:val="36"/>
        </w:rPr>
        <w:t>中国石油化工股份有限公司石家庄炼化分公司运行一部汽油分割项目</w:t>
      </w:r>
      <w:r>
        <w:rPr>
          <w:rFonts w:hint="eastAsia"/>
          <w:sz w:val="28"/>
          <w:szCs w:val="36"/>
          <w:lang w:val="en-US" w:eastAsia="zh-CN"/>
        </w:rPr>
        <w:t>基本情况</w:t>
      </w:r>
    </w:p>
    <w:bookmarkEnd w:id="0"/>
    <w:p w14:paraId="1A3B7849">
      <w:pPr>
        <w:rPr>
          <w:rFonts w:hint="eastAsia"/>
          <w:lang w:val="en-US" w:eastAsia="zh-CN"/>
        </w:rPr>
      </w:pPr>
    </w:p>
    <w:p w14:paraId="7EAEA549">
      <w:pPr>
        <w:adjustRightInd w:val="0"/>
        <w:snapToGrid w:val="0"/>
        <w:spacing w:line="480" w:lineRule="exact"/>
        <w:ind w:firstLine="422" w:firstLineChars="200"/>
        <w:rPr>
          <w:b/>
          <w:bCs/>
          <w:color w:val="000000" w:themeColor="text1"/>
          <w:kern w:val="0"/>
          <w:szCs w:val="21"/>
          <w14:textFill>
            <w14:solidFill>
              <w14:schemeClr w14:val="tx1"/>
            </w14:solidFill>
          </w14:textFill>
        </w:rPr>
      </w:pPr>
      <w:r>
        <w:rPr>
          <w:rFonts w:hint="eastAsia"/>
          <w:b/>
          <w:bCs/>
          <w:color w:val="000000" w:themeColor="text1"/>
          <w:kern w:val="0"/>
          <w:szCs w:val="21"/>
          <w14:textFill>
            <w14:solidFill>
              <w14:schemeClr w14:val="tx1"/>
            </w14:solidFill>
          </w14:textFill>
        </w:rPr>
        <w:t>1</w:t>
      </w:r>
      <w:r>
        <w:rPr>
          <w:b/>
          <w:bCs/>
          <w:color w:val="000000" w:themeColor="text1"/>
          <w:kern w:val="0"/>
          <w:szCs w:val="21"/>
          <w14:textFill>
            <w14:solidFill>
              <w14:schemeClr w14:val="tx1"/>
            </w14:solidFill>
          </w14:textFill>
        </w:rPr>
        <w:t>、项目</w:t>
      </w:r>
      <w:r>
        <w:rPr>
          <w:rFonts w:hint="eastAsia"/>
          <w:b/>
          <w:bCs/>
          <w:color w:val="000000" w:themeColor="text1"/>
          <w:kern w:val="0"/>
          <w:szCs w:val="21"/>
          <w14:textFill>
            <w14:solidFill>
              <w14:schemeClr w14:val="tx1"/>
            </w14:solidFill>
          </w14:textFill>
        </w:rPr>
        <w:t>由来</w:t>
      </w:r>
    </w:p>
    <w:p w14:paraId="5646707A">
      <w:pPr>
        <w:widowControl/>
        <w:adjustRightInd w:val="0"/>
        <w:snapToGrid w:val="0"/>
        <w:spacing w:line="480" w:lineRule="exact"/>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石家庄炼化分公司始建于1978年（原石家庄炼油厂），经过</w:t>
      </w:r>
      <w:r>
        <w:rPr>
          <w:rFonts w:hint="eastAsia"/>
          <w:color w:val="000000" w:themeColor="text1"/>
          <w14:textFill>
            <w14:solidFill>
              <w14:schemeClr w14:val="tx1"/>
            </w14:solidFill>
          </w14:textFill>
        </w:rPr>
        <w:t>四十多</w:t>
      </w:r>
      <w:r>
        <w:rPr>
          <w:color w:val="000000" w:themeColor="text1"/>
          <w14:textFill>
            <w14:solidFill>
              <w14:schemeClr w14:val="tx1"/>
            </w14:solidFill>
          </w14:textFill>
        </w:rPr>
        <w:t>年发展，目前，石家庄炼化分公司原油综合加工能力现已达到800万吨/年，拥有常减压蒸馏总能力850万吨/年，包括350万吨/年和500万吨/年常减压蒸馏装置；催化裂化总加工能力310万吨/年，包括90万吨/年和220万吨/年重油催化裂化两套装置；蜡渣油加氢能力330万吨/年，包括180万吨/年蜡油加氢、150万吨/年渣油加氢；以及120万吨/年连续重整，80万吨/年延迟焦化等28套炼油生产装置；同时拥有20万吨/年聚丙烯、氨肟化、双氧水、锦纶等化工生产装置。公司主要产品涵盖汽油、柴油、航空煤油、聚丙烯、液气化、己内酰胺、聚酰胺切片等30多个品种和牌号。</w:t>
      </w:r>
    </w:p>
    <w:p w14:paraId="443F6FF0">
      <w:pPr>
        <w:adjustRightInd w:val="0"/>
        <w:snapToGrid w:val="0"/>
        <w:spacing w:line="480" w:lineRule="exact"/>
        <w:ind w:firstLine="420" w:firstLineChars="200"/>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S-Zorb 汽油为全厂成品汽油调和的基础油。鉴于京标汽油与车用乙醇汽油的芳烃控制指标存在差异，为降低汽油调和成本，本次拟利旧闲置的 C304 塔、C301 塔（原隶属于 2# 催化裂化装置，现位于 2# 气分装置区；2# 催化裂化装置拆除后，两塔长期处于闲置状态），用于分离 S-Zorb 汽油中的低碳芳烃组分。本项目建成后，除汽油组分油减少</w:t>
      </w:r>
      <w:r>
        <w:rPr>
          <w:rFonts w:hint="eastAsia"/>
          <w:color w:val="000000" w:themeColor="text1"/>
          <w:kern w:val="0"/>
          <w:szCs w:val="21"/>
          <w14:textFill>
            <w14:solidFill>
              <w14:schemeClr w14:val="tx1"/>
            </w14:solidFill>
          </w14:textFill>
        </w:rPr>
        <w:t>6.33192万吨/年</w:t>
      </w:r>
      <w:r>
        <w:rPr>
          <w:rFonts w:hint="eastAsia"/>
          <w:color w:val="000000" w:themeColor="text1"/>
          <w:kern w:val="0"/>
          <w:szCs w:val="2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其余产品产能保持不变。</w:t>
      </w:r>
    </w:p>
    <w:p w14:paraId="353474C4">
      <w:pPr>
        <w:adjustRightInd w:val="0"/>
        <w:snapToGrid w:val="0"/>
        <w:spacing w:line="480" w:lineRule="exact"/>
        <w:ind w:firstLine="420" w:firstLineChars="200"/>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14:textFill>
            <w14:solidFill>
              <w14:schemeClr w14:val="tx1"/>
            </w14:solidFill>
          </w14:textFill>
        </w:rPr>
        <w:t>项目已在</w:t>
      </w:r>
      <w:r>
        <w:rPr>
          <w:rFonts w:hint="eastAsia" w:cs="宋体"/>
          <w:color w:val="000000" w:themeColor="text1"/>
          <w:szCs w:val="21"/>
          <w14:textFill>
            <w14:solidFill>
              <w14:schemeClr w14:val="tx1"/>
            </w14:solidFill>
          </w14:textFill>
        </w:rPr>
        <w:t>河北省发展和改革委员会</w:t>
      </w:r>
      <w:r>
        <w:rPr>
          <w:rFonts w:hint="eastAsia"/>
          <w:color w:val="000000" w:themeColor="text1"/>
          <w:kern w:val="0"/>
          <w:szCs w:val="21"/>
          <w14:textFill>
            <w14:solidFill>
              <w14:schemeClr w14:val="tx1"/>
            </w14:solidFill>
          </w14:textFill>
        </w:rPr>
        <w:t>备案，备案编号为：</w:t>
      </w:r>
      <w:r>
        <w:rPr>
          <w:rFonts w:hint="eastAsia" w:cs="宋体"/>
          <w:color w:val="000000" w:themeColor="text1"/>
          <w:szCs w:val="21"/>
          <w14:textFill>
            <w14:solidFill>
              <w14:schemeClr w14:val="tx1"/>
            </w14:solidFill>
          </w14:textFill>
        </w:rPr>
        <w:t>冀发改政务备字[2025]282号</w:t>
      </w:r>
      <w:r>
        <w:rPr>
          <w:rFonts w:hint="eastAsia"/>
          <w:color w:val="000000" w:themeColor="text1"/>
          <w:kern w:val="0"/>
          <w:szCs w:val="21"/>
          <w14:textFill>
            <w14:solidFill>
              <w14:schemeClr w14:val="tx1"/>
            </w14:solidFill>
          </w14:textFill>
        </w:rPr>
        <w:t>。本项目处理能力36000kg/h，设计操作弹性为设计负荷的60%-120%，按年开工8400h计，汽油组分油23.90808万吨/年至汽油罐区调和，重整原料油6.33192万吨/年至403罐区。</w:t>
      </w:r>
      <w:r>
        <w:rPr>
          <w:rFonts w:hint="eastAsia"/>
          <w:color w:val="000000" w:themeColor="text1"/>
          <w:kern w:val="0"/>
          <w:szCs w:val="21"/>
          <w:lang w:val="en-US" w:eastAsia="zh-CN"/>
          <w14:textFill>
            <w14:solidFill>
              <w14:schemeClr w14:val="tx1"/>
            </w14:solidFill>
          </w14:textFill>
        </w:rPr>
        <w:t>重整装置原料部分为外购，拟建项目建成后，重整装置原料减少外购。</w:t>
      </w:r>
    </w:p>
    <w:p w14:paraId="0015D3D2">
      <w:pPr>
        <w:pStyle w:val="7"/>
        <w:ind w:firstLine="480"/>
        <w:rPr>
          <w:color w:val="000000" w:themeColor="text1"/>
          <w14:textFill>
            <w14:solidFill>
              <w14:schemeClr w14:val="tx1"/>
            </w14:solidFill>
          </w14:textFill>
        </w:rPr>
      </w:pPr>
      <w:r>
        <w:rPr>
          <w:rFonts w:hint="eastAsia"/>
          <w:color w:val="000000" w:themeColor="text1"/>
          <w14:textFill>
            <w14:solidFill>
              <w14:schemeClr w14:val="tx1"/>
            </w14:solidFill>
          </w14:textFill>
        </w:rPr>
        <w:t>根据《中华人民共和国环境影响评价法》、《国务院关于修改〈建设项目环境保护管理条例〉的决定》（国务院第</w:t>
      </w:r>
      <w:r>
        <w:rPr>
          <w:color w:val="000000" w:themeColor="text1"/>
          <w14:textFill>
            <w14:solidFill>
              <w14:schemeClr w14:val="tx1"/>
            </w14:solidFill>
          </w14:textFill>
        </w:rPr>
        <w:t>682</w:t>
      </w:r>
      <w:r>
        <w:rPr>
          <w:rFonts w:hint="eastAsia"/>
          <w:color w:val="000000" w:themeColor="text1"/>
          <w14:textFill>
            <w14:solidFill>
              <w14:schemeClr w14:val="tx1"/>
            </w14:solidFill>
          </w14:textFill>
        </w:rPr>
        <w:t>号令）、《建设项目环境影响评价分类管理名录》（</w:t>
      </w:r>
      <w:r>
        <w:rPr>
          <w:color w:val="000000" w:themeColor="text1"/>
          <w14:textFill>
            <w14:solidFill>
              <w14:schemeClr w14:val="tx1"/>
            </w14:solidFill>
          </w14:textFill>
        </w:rPr>
        <w:t>2021</w:t>
      </w:r>
      <w:r>
        <w:rPr>
          <w:rFonts w:hint="eastAsia"/>
          <w:color w:val="000000" w:themeColor="text1"/>
          <w14:textFill>
            <w14:solidFill>
              <w14:schemeClr w14:val="tx1"/>
            </w14:solidFill>
          </w14:textFill>
        </w:rPr>
        <w:t>版）中的有关规定，</w:t>
      </w:r>
      <w:r>
        <w:rPr>
          <w:rFonts w:hint="eastAsia"/>
          <w:color w:val="000000" w:themeColor="text1"/>
          <w:kern w:val="0"/>
          <w:szCs w:val="21"/>
          <w14:textFill>
            <w14:solidFill>
              <w14:schemeClr w14:val="tx1"/>
            </w14:solidFill>
          </w14:textFill>
        </w:rPr>
        <w:t>本次利旧闲置的</w:t>
      </w:r>
      <w:r>
        <w:rPr>
          <w:rFonts w:hint="eastAsia"/>
          <w:color w:val="000000" w:themeColor="text1"/>
          <w14:textFill>
            <w14:solidFill>
              <w14:schemeClr w14:val="tx1"/>
            </w14:solidFill>
          </w14:textFill>
        </w:rPr>
        <w:t xml:space="preserve"> C304 塔</w:t>
      </w:r>
      <w:r>
        <w:rPr>
          <w:rFonts w:hint="eastAsia"/>
          <w:color w:val="000000" w:themeColor="text1"/>
          <w:lang w:eastAsia="zh-CN"/>
          <w14:textFill>
            <w14:solidFill>
              <w14:schemeClr w14:val="tx1"/>
            </w14:solidFill>
          </w14:textFill>
        </w:rPr>
        <w:t>、</w:t>
      </w:r>
      <w:r>
        <w:rPr>
          <w:rFonts w:hint="eastAsia"/>
          <w:color w:val="000000" w:themeColor="text1"/>
          <w14:textFill>
            <w14:solidFill>
              <w14:schemeClr w14:val="tx1"/>
            </w14:solidFill>
          </w14:textFill>
        </w:rPr>
        <w:t xml:space="preserve"> C301 塔</w:t>
      </w:r>
      <w:r>
        <w:rPr>
          <w:rFonts w:hint="eastAsia"/>
          <w:color w:val="000000" w:themeColor="text1"/>
          <w:kern w:val="0"/>
          <w:szCs w:val="21"/>
          <w14:textFill>
            <w14:solidFill>
              <w14:schemeClr w14:val="tx1"/>
            </w14:solidFill>
          </w14:textFill>
        </w:rPr>
        <w:t>分离 S-Zorb 汽油低碳芳烃组分</w:t>
      </w:r>
      <w:r>
        <w:rPr>
          <w:rFonts w:hint="eastAsia"/>
          <w:color w:val="000000" w:themeColor="text1"/>
          <w14:textFill>
            <w14:solidFill>
              <w14:schemeClr w14:val="tx1"/>
            </w14:solidFill>
          </w14:textFill>
        </w:rPr>
        <w:t>，属于“</w:t>
      </w:r>
      <w:r>
        <w:rPr>
          <w:rFonts w:hint="eastAsia" w:cs="宋体"/>
          <w:color w:val="000000" w:themeColor="text1"/>
          <w:szCs w:val="21"/>
          <w14:textFill>
            <w14:solidFill>
              <w14:schemeClr w14:val="tx1"/>
            </w14:solidFill>
          </w14:textFill>
        </w:rPr>
        <w:t>二十二、石油、煤炭及其他燃料加工业 25—精炼石油产品制造251—单纯物理分离、物理提纯、混合、分装的（不产生废水或挥发性有机物的除外）</w:t>
      </w:r>
      <w:r>
        <w:rPr>
          <w:rFonts w:hint="eastAsia"/>
          <w:color w:val="000000" w:themeColor="text1"/>
          <w14:textFill>
            <w14:solidFill>
              <w14:schemeClr w14:val="tx1"/>
            </w14:solidFill>
          </w14:textFill>
        </w:rPr>
        <w:t>”，应编制环境影响报告表。接受委托后，我单位组织有关人员对项目选址及周围环境状况进行了详细踏勘，并收集了有关本项目的技术资料。在此基础上，按照《建设项目环境影响报告表编制技术指南（污染影响类）》的要求，编制完成了该项目环境影响评价报告表。</w:t>
      </w:r>
    </w:p>
    <w:p w14:paraId="557CCBAE">
      <w:pPr>
        <w:adjustRightInd w:val="0"/>
        <w:snapToGrid w:val="0"/>
        <w:spacing w:line="480" w:lineRule="exact"/>
        <w:ind w:firstLine="422" w:firstLineChars="200"/>
        <w:rPr>
          <w:rFonts w:cs="宋体"/>
          <w:b/>
          <w:bCs/>
          <w:color w:val="000000" w:themeColor="text1"/>
          <w:kern w:val="0"/>
          <w:szCs w:val="21"/>
          <w14:textFill>
            <w14:solidFill>
              <w14:schemeClr w14:val="tx1"/>
            </w14:solidFill>
          </w14:textFill>
        </w:rPr>
      </w:pPr>
      <w:r>
        <w:rPr>
          <w:rFonts w:hint="eastAsia" w:cs="宋体"/>
          <w:b/>
          <w:bCs/>
          <w:color w:val="000000" w:themeColor="text1"/>
          <w:kern w:val="0"/>
          <w:szCs w:val="21"/>
          <w14:textFill>
            <w14:solidFill>
              <w14:schemeClr w14:val="tx1"/>
            </w14:solidFill>
          </w14:textFill>
        </w:rPr>
        <w:t>2、项目组成</w:t>
      </w:r>
    </w:p>
    <w:p w14:paraId="28F24261">
      <w:pPr>
        <w:ind w:firstLine="420" w:firstLineChars="200"/>
        <w:rPr>
          <w:rFonts w:hint="eastAsia" w:cs="宋体"/>
          <w:color w:val="000000" w:themeColor="text1"/>
          <w:kern w:val="0"/>
          <w:szCs w:val="21"/>
          <w14:textFill>
            <w14:solidFill>
              <w14:schemeClr w14:val="tx1"/>
            </w14:solidFill>
          </w14:textFill>
        </w:rPr>
      </w:pPr>
      <w:r>
        <w:rPr>
          <w:rFonts w:hint="eastAsia"/>
          <w:color w:val="000000" w:themeColor="text1"/>
          <w14:textFill>
            <w14:solidFill>
              <w14:schemeClr w14:val="tx1"/>
            </w14:solidFill>
          </w14:textFill>
        </w:rPr>
        <w:t>拟建项目利用</w:t>
      </w:r>
      <w:r>
        <w:rPr>
          <w:rFonts w:hint="eastAsia"/>
          <w:color w:val="000000" w:themeColor="text1"/>
          <w:kern w:val="0"/>
          <w:szCs w:val="21"/>
          <w14:textFill>
            <w14:solidFill>
              <w14:schemeClr w14:val="tx1"/>
            </w14:solidFill>
          </w14:textFill>
        </w:rPr>
        <w:t>闲置的</w:t>
      </w:r>
      <w:r>
        <w:rPr>
          <w:rFonts w:hint="eastAsia"/>
          <w:color w:val="000000" w:themeColor="text1"/>
          <w14:textFill>
            <w14:solidFill>
              <w14:schemeClr w14:val="tx1"/>
            </w14:solidFill>
          </w14:textFill>
        </w:rPr>
        <w:t xml:space="preserve"> C304 塔</w:t>
      </w:r>
      <w:r>
        <w:rPr>
          <w:rFonts w:hint="eastAsia"/>
          <w:color w:val="000000" w:themeColor="text1"/>
          <w:lang w:eastAsia="zh-CN"/>
          <w14:textFill>
            <w14:solidFill>
              <w14:schemeClr w14:val="tx1"/>
            </w14:solidFill>
          </w14:textFill>
        </w:rPr>
        <w:t>、</w:t>
      </w:r>
      <w:r>
        <w:rPr>
          <w:rFonts w:hint="eastAsia"/>
          <w:color w:val="000000" w:themeColor="text1"/>
          <w14:textFill>
            <w14:solidFill>
              <w14:schemeClr w14:val="tx1"/>
            </w14:solidFill>
          </w14:textFill>
        </w:rPr>
        <w:t xml:space="preserve"> C301 塔</w:t>
      </w:r>
      <w:r>
        <w:rPr>
          <w:rFonts w:hint="eastAsia"/>
          <w:color w:val="000000" w:themeColor="text1"/>
          <w:kern w:val="0"/>
          <w:szCs w:val="21"/>
          <w14:textFill>
            <w14:solidFill>
              <w14:schemeClr w14:val="tx1"/>
            </w14:solidFill>
          </w14:textFill>
        </w:rPr>
        <w:t>分离 S-Zorb 汽油低碳芳烃组分</w:t>
      </w:r>
      <w:r>
        <w:rPr>
          <w:rFonts w:hint="eastAsia"/>
          <w:color w:val="000000" w:themeColor="text1"/>
          <w14:textFill>
            <w14:solidFill>
              <w14:schemeClr w14:val="tx1"/>
            </w14:solidFill>
          </w14:textFill>
        </w:rPr>
        <w:t>，同时对</w:t>
      </w:r>
      <w:r>
        <w:rPr>
          <w:rFonts w:hint="eastAsia"/>
          <w:color w:val="000000" w:themeColor="text1"/>
          <w:lang w:val="en-US" w:eastAsia="zh-CN"/>
          <w14:textFill>
            <w14:solidFill>
              <w14:schemeClr w14:val="tx1"/>
            </w14:solidFill>
          </w14:textFill>
        </w:rPr>
        <w:t>其</w:t>
      </w:r>
      <w:r>
        <w:rPr>
          <w:rFonts w:hint="eastAsia"/>
          <w:color w:val="000000" w:themeColor="text1"/>
          <w14:textFill>
            <w14:solidFill>
              <w14:schemeClr w14:val="tx1"/>
            </w14:solidFill>
          </w14:textFill>
        </w:rPr>
        <w:t>进行优化改造</w:t>
      </w:r>
      <w:r>
        <w:rPr>
          <w:rFonts w:hint="eastAsia" w:cs="宋体"/>
          <w:color w:val="000000" w:themeColor="text1"/>
          <w:kern w:val="0"/>
          <w:szCs w:val="21"/>
          <w14:textFill>
            <w14:solidFill>
              <w14:schemeClr w14:val="tx1"/>
            </w14:solidFill>
          </w14:textFill>
        </w:rPr>
        <w:t>。</w:t>
      </w:r>
    </w:p>
    <w:p w14:paraId="474314CF">
      <w:pPr>
        <w:adjustRightInd w:val="0"/>
        <w:snapToGrid w:val="0"/>
        <w:spacing w:line="480" w:lineRule="exact"/>
        <w:ind w:firstLine="422" w:firstLineChars="200"/>
        <w:rPr>
          <w:rFonts w:cs="宋体"/>
          <w:b/>
          <w:bCs/>
          <w:color w:val="000000" w:themeColor="text1"/>
          <w:kern w:val="0"/>
          <w:szCs w:val="21"/>
          <w14:textFill>
            <w14:solidFill>
              <w14:schemeClr w14:val="tx1"/>
            </w14:solidFill>
          </w14:textFill>
        </w:rPr>
      </w:pPr>
      <w:r>
        <w:rPr>
          <w:rFonts w:hint="eastAsia" w:cs="宋体"/>
          <w:b/>
          <w:bCs/>
          <w:color w:val="000000" w:themeColor="text1"/>
          <w:kern w:val="0"/>
          <w:szCs w:val="21"/>
          <w14:textFill>
            <w14:solidFill>
              <w14:schemeClr w14:val="tx1"/>
            </w14:solidFill>
          </w14:textFill>
        </w:rPr>
        <w:t>3、产品方案</w:t>
      </w:r>
    </w:p>
    <w:p w14:paraId="23C2C593">
      <w:pPr>
        <w:adjustRightInd w:val="0"/>
        <w:snapToGrid w:val="0"/>
        <w:spacing w:line="480" w:lineRule="exact"/>
        <w:ind w:firstLine="420" w:firstLineChars="200"/>
        <w:rPr>
          <w:rFonts w:hint="eastAsia" w:cs="宋体"/>
          <w:bCs/>
          <w:color w:val="000000" w:themeColor="text1"/>
          <w:szCs w:val="21"/>
          <w:lang w:val="en-US" w:eastAsia="zh-CN"/>
          <w14:textFill>
            <w14:solidFill>
              <w14:schemeClr w14:val="tx1"/>
            </w14:solidFill>
          </w14:textFill>
        </w:rPr>
      </w:pPr>
      <w:r>
        <w:rPr>
          <w:rFonts w:hint="eastAsia" w:cs="宋体"/>
          <w:bCs/>
          <w:color w:val="000000" w:themeColor="text1"/>
          <w:szCs w:val="21"/>
          <w14:textFill>
            <w14:solidFill>
              <w14:schemeClr w14:val="tx1"/>
            </w14:solidFill>
          </w14:textFill>
        </w:rPr>
        <w:t>本项目</w:t>
      </w:r>
      <w:r>
        <w:rPr>
          <w:rFonts w:hint="eastAsia" w:cs="宋体"/>
          <w:bCs/>
          <w:color w:val="000000" w:themeColor="text1"/>
          <w:szCs w:val="21"/>
          <w:lang w:val="en-US" w:eastAsia="zh-CN"/>
          <w14:textFill>
            <w14:solidFill>
              <w14:schemeClr w14:val="tx1"/>
            </w14:solidFill>
          </w14:textFill>
        </w:rPr>
        <w:t>原料为</w:t>
      </w:r>
      <w:r>
        <w:rPr>
          <w:rFonts w:hint="eastAsia"/>
          <w:bCs/>
          <w:color w:val="000000" w:themeColor="text1"/>
          <w:szCs w:val="21"/>
          <w14:textFill>
            <w14:solidFill>
              <w14:schemeClr w14:val="tx1"/>
            </w14:solidFill>
          </w14:textFill>
        </w:rPr>
        <w:t>S-Zorb汽油</w:t>
      </w:r>
      <w:r>
        <w:rPr>
          <w:rFonts w:hint="eastAsia"/>
          <w:bCs/>
          <w:color w:val="000000" w:themeColor="text1"/>
          <w:szCs w:val="21"/>
          <w:lang w:eastAsia="zh-CN"/>
          <w14:textFill>
            <w14:solidFill>
              <w14:schemeClr w14:val="tx1"/>
            </w14:solidFill>
          </w14:textFill>
        </w:rPr>
        <w:t>，</w:t>
      </w:r>
      <w:r>
        <w:rPr>
          <w:rFonts w:hint="eastAsia"/>
          <w:bCs/>
          <w:color w:val="000000" w:themeColor="text1"/>
          <w:szCs w:val="21"/>
          <w14:textFill>
            <w14:solidFill>
              <w14:schemeClr w14:val="tx1"/>
            </w14:solidFill>
          </w14:textFill>
        </w:rPr>
        <w:t>S-Zorb汽油</w:t>
      </w:r>
      <w:r>
        <w:rPr>
          <w:rFonts w:hint="eastAsia"/>
          <w:bCs/>
          <w:color w:val="000000" w:themeColor="text1"/>
          <w:szCs w:val="21"/>
          <w:lang w:val="en-US" w:eastAsia="zh-CN"/>
          <w14:textFill>
            <w14:solidFill>
              <w14:schemeClr w14:val="tx1"/>
            </w14:solidFill>
          </w14:textFill>
        </w:rPr>
        <w:t>由现有150万t/a催化汽油吸附脱硫（S-zorb）装置提供，该装置主要生产规模为加工汽油150万吨/年，设计操作弹性为60%-110%，年操作时间按8400小时计。技改前</w:t>
      </w:r>
      <w:r>
        <w:rPr>
          <w:rFonts w:hint="eastAsia"/>
          <w:bCs/>
          <w:color w:val="000000" w:themeColor="text1"/>
          <w:szCs w:val="21"/>
          <w14:textFill>
            <w14:solidFill>
              <w14:schemeClr w14:val="tx1"/>
            </w14:solidFill>
          </w14:textFill>
        </w:rPr>
        <w:t>S-Zorb汽油</w:t>
      </w:r>
      <w:r>
        <w:rPr>
          <w:rFonts w:hint="eastAsia"/>
          <w:bCs/>
          <w:color w:val="000000" w:themeColor="text1"/>
          <w:szCs w:val="21"/>
          <w:lang w:val="en-US" w:eastAsia="zh-CN"/>
          <w14:textFill>
            <w14:solidFill>
              <w14:schemeClr w14:val="tx1"/>
            </w14:solidFill>
          </w14:textFill>
        </w:rPr>
        <w:t>经冷却后进入汽油调和罐区，技改后少量的</w:t>
      </w:r>
      <w:r>
        <w:rPr>
          <w:rFonts w:hint="eastAsia"/>
          <w:bCs/>
          <w:color w:val="000000" w:themeColor="text1"/>
          <w:szCs w:val="21"/>
          <w14:textFill>
            <w14:solidFill>
              <w14:schemeClr w14:val="tx1"/>
            </w14:solidFill>
          </w14:textFill>
        </w:rPr>
        <w:t>S-Zorb汽油</w:t>
      </w:r>
      <w:r>
        <w:rPr>
          <w:rFonts w:hint="eastAsia"/>
          <w:bCs/>
          <w:color w:val="000000" w:themeColor="text1"/>
          <w:szCs w:val="21"/>
          <w:lang w:eastAsia="zh-CN"/>
          <w14:textFill>
            <w14:solidFill>
              <w14:schemeClr w14:val="tx1"/>
            </w14:solidFill>
          </w14:textFill>
        </w:rPr>
        <w:t>，</w:t>
      </w:r>
      <w:r>
        <w:rPr>
          <w:rFonts w:hint="eastAsia"/>
          <w:bCs/>
          <w:color w:val="000000" w:themeColor="text1"/>
          <w:szCs w:val="21"/>
          <w:lang w:val="en-US" w:eastAsia="zh-CN"/>
          <w14:textFill>
            <w14:solidFill>
              <w14:schemeClr w14:val="tx1"/>
            </w14:solidFill>
          </w14:textFill>
        </w:rPr>
        <w:t>作为原料，经闲置的</w:t>
      </w:r>
      <w:r>
        <w:rPr>
          <w:rFonts w:hint="eastAsia"/>
          <w:color w:val="000000" w:themeColor="text1"/>
          <w14:textFill>
            <w14:solidFill>
              <w14:schemeClr w14:val="tx1"/>
            </w14:solidFill>
          </w14:textFill>
        </w:rPr>
        <w:t xml:space="preserve"> C304 塔</w:t>
      </w:r>
      <w:r>
        <w:rPr>
          <w:rFonts w:hint="eastAsia"/>
          <w:color w:val="000000" w:themeColor="text1"/>
          <w:lang w:eastAsia="zh-CN"/>
          <w14:textFill>
            <w14:solidFill>
              <w14:schemeClr w14:val="tx1"/>
            </w14:solidFill>
          </w14:textFill>
        </w:rPr>
        <w:t>、</w:t>
      </w:r>
      <w:r>
        <w:rPr>
          <w:rFonts w:hint="eastAsia"/>
          <w:color w:val="000000" w:themeColor="text1"/>
          <w14:textFill>
            <w14:solidFill>
              <w14:schemeClr w14:val="tx1"/>
            </w14:solidFill>
          </w14:textFill>
        </w:rPr>
        <w:t xml:space="preserve"> C301 塔</w:t>
      </w:r>
      <w:r>
        <w:rPr>
          <w:rFonts w:hint="eastAsia"/>
          <w:color w:val="000000" w:themeColor="text1"/>
          <w:kern w:val="0"/>
          <w:szCs w:val="21"/>
          <w14:textFill>
            <w14:solidFill>
              <w14:schemeClr w14:val="tx1"/>
            </w14:solidFill>
          </w14:textFill>
        </w:rPr>
        <w:t>分离 S-Zorb 汽油低碳芳烃组分</w:t>
      </w:r>
      <w:r>
        <w:rPr>
          <w:rFonts w:hint="eastAsia"/>
          <w:color w:val="000000" w:themeColor="text1"/>
          <w:kern w:val="0"/>
          <w:szCs w:val="21"/>
          <w:lang w:eastAsia="zh-CN"/>
          <w14:textFill>
            <w14:solidFill>
              <w14:schemeClr w14:val="tx1"/>
            </w14:solidFill>
          </w14:textFill>
        </w:rPr>
        <w:t>，</w:t>
      </w:r>
      <w:r>
        <w:rPr>
          <w:rFonts w:hint="eastAsia"/>
          <w:color w:val="000000" w:themeColor="text1"/>
          <w:kern w:val="0"/>
          <w:szCs w:val="21"/>
          <w:lang w:val="en-US" w:eastAsia="zh-CN"/>
          <w14:textFill>
            <w14:solidFill>
              <w14:schemeClr w14:val="tx1"/>
            </w14:solidFill>
          </w14:textFill>
        </w:rPr>
        <w:t>设计</w:t>
      </w:r>
      <w:r>
        <w:rPr>
          <w:rFonts w:hint="eastAsia"/>
          <w:color w:val="000000" w:themeColor="text1"/>
          <w:kern w:val="0"/>
          <w:szCs w:val="21"/>
          <w14:textFill>
            <w14:solidFill>
              <w14:schemeClr w14:val="tx1"/>
            </w14:solidFill>
          </w14:textFill>
        </w:rPr>
        <w:t>处理能力36000kg/h，设计操作弹性为设计负荷的60%-120%，按年开工8400h计，汽油组分油23.90808万吨/年至汽油罐区调和</w:t>
      </w:r>
      <w:r>
        <w:rPr>
          <w:rFonts w:hint="eastAsia"/>
          <w:color w:val="000000" w:themeColor="text1"/>
          <w:kern w:val="0"/>
          <w:szCs w:val="21"/>
          <w:lang w:eastAsia="zh-CN"/>
          <w14:textFill>
            <w14:solidFill>
              <w14:schemeClr w14:val="tx1"/>
            </w14:solidFill>
          </w14:textFill>
        </w:rPr>
        <w:t>（</w:t>
      </w:r>
      <w:r>
        <w:rPr>
          <w:rFonts w:hint="eastAsia"/>
          <w:color w:val="000000" w:themeColor="text1"/>
          <w:kern w:val="0"/>
          <w:szCs w:val="21"/>
          <w:lang w:val="en-US" w:eastAsia="zh-CN"/>
          <w14:textFill>
            <w14:solidFill>
              <w14:schemeClr w14:val="tx1"/>
            </w14:solidFill>
          </w14:textFill>
        </w:rPr>
        <w:t>2#罐区</w:t>
      </w:r>
      <w:r>
        <w:rPr>
          <w:rFonts w:hint="eastAsia"/>
          <w:color w:val="000000" w:themeColor="text1"/>
          <w:kern w:val="0"/>
          <w:szCs w:val="21"/>
          <w:lang w:eastAsia="zh-CN"/>
          <w14:textFill>
            <w14:solidFill>
              <w14:schemeClr w14:val="tx1"/>
            </w14:solidFill>
          </w14:textFill>
        </w:rPr>
        <w:t>）</w:t>
      </w:r>
      <w:r>
        <w:rPr>
          <w:rFonts w:hint="eastAsia"/>
          <w:color w:val="000000" w:themeColor="text1"/>
          <w:kern w:val="0"/>
          <w:szCs w:val="21"/>
          <w14:textFill>
            <w14:solidFill>
              <w14:schemeClr w14:val="tx1"/>
            </w14:solidFill>
          </w14:textFill>
        </w:rPr>
        <w:t>，石脑油6.33192万吨/年至403罐区</w:t>
      </w:r>
      <w:r>
        <w:rPr>
          <w:rFonts w:hint="eastAsia"/>
          <w:color w:val="000000" w:themeColor="text1"/>
          <w:kern w:val="0"/>
          <w:szCs w:val="21"/>
          <w:lang w:eastAsia="zh-CN"/>
          <w14:textFill>
            <w14:solidFill>
              <w14:schemeClr w14:val="tx1"/>
            </w14:solidFill>
          </w14:textFill>
        </w:rPr>
        <w:t>，</w:t>
      </w:r>
      <w:r>
        <w:rPr>
          <w:rFonts w:hint="eastAsia"/>
          <w:color w:val="000000" w:themeColor="text1"/>
          <w:kern w:val="0"/>
          <w:szCs w:val="21"/>
          <w:lang w:val="en-US" w:eastAsia="zh-CN"/>
          <w14:textFill>
            <w14:solidFill>
              <w14:schemeClr w14:val="tx1"/>
            </w14:solidFill>
          </w14:textFill>
        </w:rPr>
        <w:t>作为重整装置的原料，拟建项目建成后，汽油组分油将减少</w:t>
      </w:r>
      <w:r>
        <w:rPr>
          <w:rFonts w:hint="eastAsia"/>
          <w:color w:val="000000" w:themeColor="text1"/>
          <w:kern w:val="0"/>
          <w:szCs w:val="21"/>
          <w14:textFill>
            <w14:solidFill>
              <w14:schemeClr w14:val="tx1"/>
            </w14:solidFill>
          </w14:textFill>
        </w:rPr>
        <w:t>6.33192万吨/年。</w:t>
      </w:r>
    </w:p>
    <w:p w14:paraId="1498C9C8">
      <w:pPr>
        <w:adjustRightInd w:val="0"/>
        <w:snapToGrid w:val="0"/>
        <w:spacing w:line="480" w:lineRule="exact"/>
        <w:ind w:firstLine="422" w:firstLineChars="200"/>
        <w:rPr>
          <w:rFonts w:cs="宋体"/>
          <w:b/>
          <w:color w:val="000000" w:themeColor="text1"/>
          <w:szCs w:val="21"/>
          <w14:textFill>
            <w14:solidFill>
              <w14:schemeClr w14:val="tx1"/>
            </w14:solidFill>
          </w14:textFill>
        </w:rPr>
      </w:pPr>
      <w:r>
        <w:rPr>
          <w:rFonts w:hint="eastAsia" w:cs="宋体"/>
          <w:b/>
          <w:color w:val="000000" w:themeColor="text1"/>
          <w:szCs w:val="21"/>
          <w14:textFill>
            <w14:solidFill>
              <w14:schemeClr w14:val="tx1"/>
            </w14:solidFill>
          </w14:textFill>
        </w:rPr>
        <w:t>给排水情况</w:t>
      </w:r>
    </w:p>
    <w:p w14:paraId="7F88671D">
      <w:pPr>
        <w:adjustRightInd w:val="0"/>
        <w:snapToGrid w:val="0"/>
        <w:spacing w:line="480" w:lineRule="exact"/>
        <w:ind w:firstLine="420" w:firstLineChars="200"/>
        <w:rPr>
          <w:rFonts w:cs="宋体"/>
          <w:bCs/>
          <w:color w:val="000000" w:themeColor="text1"/>
          <w:szCs w:val="21"/>
          <w14:textFill>
            <w14:solidFill>
              <w14:schemeClr w14:val="tx1"/>
            </w14:solidFill>
          </w14:textFill>
        </w:rPr>
      </w:pPr>
      <w:r>
        <w:rPr>
          <w:rFonts w:hint="eastAsia" w:cs="宋体"/>
          <w:bCs/>
          <w:color w:val="000000" w:themeColor="text1"/>
          <w:szCs w:val="21"/>
          <w14:textFill>
            <w14:solidFill>
              <w14:schemeClr w14:val="tx1"/>
            </w14:solidFill>
          </w14:textFill>
        </w:rPr>
        <w:t>（1）给水：</w:t>
      </w:r>
    </w:p>
    <w:p w14:paraId="15948B3C">
      <w:pPr>
        <w:adjustRightInd w:val="0"/>
        <w:snapToGrid w:val="0"/>
        <w:spacing w:line="480" w:lineRule="exact"/>
        <w:ind w:firstLine="420" w:firstLineChars="200"/>
        <w:rPr>
          <w:rFonts w:cs="宋体"/>
          <w:bCs/>
          <w:color w:val="000000" w:themeColor="text1"/>
          <w:szCs w:val="21"/>
          <w14:textFill>
            <w14:solidFill>
              <w14:schemeClr w14:val="tx1"/>
            </w14:solidFill>
          </w14:textFill>
        </w:rPr>
      </w:pPr>
      <w:r>
        <w:rPr>
          <w:rFonts w:hint="eastAsia" w:cs="宋体"/>
          <w:bCs/>
          <w:color w:val="000000" w:themeColor="text1"/>
          <w:szCs w:val="21"/>
          <w14:textFill>
            <w14:solidFill>
              <w14:schemeClr w14:val="tx1"/>
            </w14:solidFill>
          </w14:textFill>
        </w:rPr>
        <w:t>①新鲜水</w:t>
      </w:r>
    </w:p>
    <w:p w14:paraId="42445718">
      <w:pPr>
        <w:adjustRightInd w:val="0"/>
        <w:snapToGrid w:val="0"/>
        <w:spacing w:line="480" w:lineRule="exact"/>
        <w:ind w:firstLine="420" w:firstLineChars="200"/>
        <w:rPr>
          <w:rFonts w:cs="宋体"/>
          <w:bCs/>
          <w:color w:val="000000" w:themeColor="text1"/>
          <w:szCs w:val="21"/>
          <w14:textFill>
            <w14:solidFill>
              <w14:schemeClr w14:val="tx1"/>
            </w14:solidFill>
          </w14:textFill>
        </w:rPr>
      </w:pPr>
      <w:r>
        <w:rPr>
          <w:rFonts w:hint="eastAsia" w:cs="宋体"/>
          <w:bCs/>
          <w:color w:val="000000" w:themeColor="text1"/>
          <w:szCs w:val="21"/>
          <w14:textFill>
            <w14:solidFill>
              <w14:schemeClr w14:val="tx1"/>
            </w14:solidFill>
          </w14:textFill>
        </w:rPr>
        <w:t>拟建项目新鲜水依托现有供水管网，由园区供水管网提供，拟建项目新鲜水用量为</w:t>
      </w:r>
      <w:r>
        <w:rPr>
          <w:rFonts w:hint="eastAsia" w:cs="宋体"/>
          <w:bCs/>
          <w:color w:val="000000" w:themeColor="text1"/>
          <w:szCs w:val="21"/>
          <w:lang w:val="en-US" w:eastAsia="zh-CN"/>
          <w14:textFill>
            <w14:solidFill>
              <w14:schemeClr w14:val="tx1"/>
            </w14:solidFill>
          </w14:textFill>
        </w:rPr>
        <w:t>28.8</w:t>
      </w:r>
      <w:r>
        <w:rPr>
          <w:rFonts w:hint="eastAsia" w:cs="宋体"/>
          <w:bCs/>
          <w:color w:val="000000" w:themeColor="text1"/>
          <w:szCs w:val="21"/>
          <w14:textFill>
            <w14:solidFill>
              <w14:schemeClr w14:val="tx1"/>
            </w14:solidFill>
          </w14:textFill>
        </w:rPr>
        <w:t>m</w:t>
      </w:r>
      <w:r>
        <w:rPr>
          <w:rFonts w:hint="eastAsia" w:cs="宋体"/>
          <w:bCs/>
          <w:color w:val="000000" w:themeColor="text1"/>
          <w:szCs w:val="21"/>
          <w:vertAlign w:val="superscript"/>
          <w14:textFill>
            <w14:solidFill>
              <w14:schemeClr w14:val="tx1"/>
            </w14:solidFill>
          </w14:textFill>
        </w:rPr>
        <w:t>3</w:t>
      </w:r>
      <w:r>
        <w:rPr>
          <w:rFonts w:hint="eastAsia" w:cs="宋体"/>
          <w:bCs/>
          <w:color w:val="000000" w:themeColor="text1"/>
          <w:szCs w:val="21"/>
          <w14:textFill>
            <w14:solidFill>
              <w14:schemeClr w14:val="tx1"/>
            </w14:solidFill>
          </w14:textFill>
        </w:rPr>
        <w:t>/d，主要用于循环水系统补水。</w:t>
      </w:r>
    </w:p>
    <w:p w14:paraId="44EB88C3">
      <w:pPr>
        <w:adjustRightInd w:val="0"/>
        <w:snapToGrid w:val="0"/>
        <w:spacing w:line="480" w:lineRule="exact"/>
        <w:ind w:firstLine="420" w:firstLineChars="200"/>
        <w:rPr>
          <w:rFonts w:cs="宋体"/>
          <w:bCs/>
          <w:color w:val="000000" w:themeColor="text1"/>
          <w:szCs w:val="21"/>
          <w14:textFill>
            <w14:solidFill>
              <w14:schemeClr w14:val="tx1"/>
            </w14:solidFill>
          </w14:textFill>
        </w:rPr>
      </w:pPr>
      <w:r>
        <w:rPr>
          <w:rFonts w:hint="eastAsia" w:cs="宋体"/>
          <w:bCs/>
          <w:color w:val="000000" w:themeColor="text1"/>
          <w:szCs w:val="21"/>
          <w14:textFill>
            <w14:solidFill>
              <w14:schemeClr w14:val="tx1"/>
            </w14:solidFill>
          </w14:textFill>
        </w:rPr>
        <w:t>②循环水</w:t>
      </w:r>
    </w:p>
    <w:p w14:paraId="5CDDB252">
      <w:pPr>
        <w:adjustRightInd w:val="0"/>
        <w:snapToGrid w:val="0"/>
        <w:spacing w:line="480" w:lineRule="exact"/>
        <w:ind w:firstLine="420" w:firstLineChars="200"/>
        <w:rPr>
          <w:rFonts w:cs="宋体"/>
          <w:bCs/>
          <w:color w:val="000000" w:themeColor="text1"/>
          <w:szCs w:val="21"/>
          <w14:textFill>
            <w14:solidFill>
              <w14:schemeClr w14:val="tx1"/>
            </w14:solidFill>
          </w14:textFill>
        </w:rPr>
      </w:pPr>
      <w:r>
        <w:rPr>
          <w:rFonts w:hint="eastAsia" w:cs="宋体"/>
          <w:bCs/>
          <w:color w:val="000000" w:themeColor="text1"/>
          <w:szCs w:val="21"/>
          <w14:textFill>
            <w14:solidFill>
              <w14:schemeClr w14:val="tx1"/>
            </w14:solidFill>
          </w14:textFill>
        </w:rPr>
        <w:t>拟建项目循环水量为</w:t>
      </w:r>
      <w:r>
        <w:rPr>
          <w:rFonts w:hint="eastAsia" w:cs="宋体"/>
          <w:bCs/>
          <w:color w:val="000000" w:themeColor="text1"/>
          <w:szCs w:val="21"/>
          <w:lang w:val="en-US" w:eastAsia="zh-CN"/>
          <w14:textFill>
            <w14:solidFill>
              <w14:schemeClr w14:val="tx1"/>
            </w14:solidFill>
          </w14:textFill>
        </w:rPr>
        <w:t>4320</w:t>
      </w:r>
      <w:r>
        <w:rPr>
          <w:rFonts w:hint="eastAsia" w:cs="宋体"/>
          <w:bCs/>
          <w:color w:val="000000" w:themeColor="text1"/>
          <w:szCs w:val="21"/>
          <w14:textFill>
            <w14:solidFill>
              <w14:schemeClr w14:val="tx1"/>
            </w14:solidFill>
          </w14:textFill>
        </w:rPr>
        <w:t>m</w:t>
      </w:r>
      <w:r>
        <w:rPr>
          <w:rFonts w:hint="eastAsia" w:cs="宋体"/>
          <w:bCs/>
          <w:color w:val="000000" w:themeColor="text1"/>
          <w:szCs w:val="21"/>
          <w:vertAlign w:val="superscript"/>
          <w14:textFill>
            <w14:solidFill>
              <w14:schemeClr w14:val="tx1"/>
            </w14:solidFill>
          </w14:textFill>
        </w:rPr>
        <w:t>3</w:t>
      </w:r>
      <w:r>
        <w:rPr>
          <w:rFonts w:hint="eastAsia" w:cs="宋体"/>
          <w:bCs/>
          <w:color w:val="000000" w:themeColor="text1"/>
          <w:szCs w:val="21"/>
          <w14:textFill>
            <w14:solidFill>
              <w14:schemeClr w14:val="tx1"/>
            </w14:solidFill>
          </w14:textFill>
        </w:rPr>
        <w:t>/d（</w:t>
      </w:r>
      <w:r>
        <w:rPr>
          <w:rFonts w:hint="eastAsia" w:cs="宋体"/>
          <w:bCs/>
          <w:color w:val="000000" w:themeColor="text1"/>
          <w:szCs w:val="21"/>
          <w:lang w:val="en-US" w:eastAsia="zh-CN"/>
          <w14:textFill>
            <w14:solidFill>
              <w14:schemeClr w14:val="tx1"/>
            </w14:solidFill>
          </w14:textFill>
        </w:rPr>
        <w:t>180</w:t>
      </w:r>
      <w:r>
        <w:rPr>
          <w:rFonts w:hint="eastAsia" w:cs="宋体"/>
          <w:bCs/>
          <w:color w:val="000000" w:themeColor="text1"/>
          <w:szCs w:val="21"/>
          <w14:textFill>
            <w14:solidFill>
              <w14:schemeClr w14:val="tx1"/>
            </w14:solidFill>
          </w14:textFill>
        </w:rPr>
        <w:t>m</w:t>
      </w:r>
      <w:r>
        <w:rPr>
          <w:rFonts w:hint="eastAsia" w:cs="宋体"/>
          <w:bCs/>
          <w:color w:val="000000" w:themeColor="text1"/>
          <w:szCs w:val="21"/>
          <w:vertAlign w:val="superscript"/>
          <w14:textFill>
            <w14:solidFill>
              <w14:schemeClr w14:val="tx1"/>
            </w14:solidFill>
          </w14:textFill>
        </w:rPr>
        <w:t>3</w:t>
      </w:r>
      <w:r>
        <w:rPr>
          <w:rFonts w:hint="eastAsia" w:cs="宋体"/>
          <w:bCs/>
          <w:color w:val="000000" w:themeColor="text1"/>
          <w:szCs w:val="21"/>
          <w14:textFill>
            <w14:solidFill>
              <w14:schemeClr w14:val="tx1"/>
            </w14:solidFill>
          </w14:textFill>
        </w:rPr>
        <w:t>/h），依托现有2#循环水场，设计能力为14000m</w:t>
      </w:r>
      <w:r>
        <w:rPr>
          <w:rFonts w:hint="eastAsia" w:cs="宋体"/>
          <w:bCs/>
          <w:color w:val="000000" w:themeColor="text1"/>
          <w:szCs w:val="21"/>
          <w:vertAlign w:val="superscript"/>
          <w14:textFill>
            <w14:solidFill>
              <w14:schemeClr w14:val="tx1"/>
            </w14:solidFill>
          </w14:textFill>
        </w:rPr>
        <w:t>3</w:t>
      </w:r>
      <w:r>
        <w:rPr>
          <w:rFonts w:hint="eastAsia" w:cs="宋体"/>
          <w:bCs/>
          <w:color w:val="000000" w:themeColor="text1"/>
          <w:szCs w:val="21"/>
          <w14:textFill>
            <w14:solidFill>
              <w14:schemeClr w14:val="tx1"/>
            </w14:solidFill>
          </w14:textFill>
        </w:rPr>
        <w:t>/h，现供水负荷</w:t>
      </w:r>
      <w:r>
        <w:rPr>
          <w:color w:val="000000" w:themeColor="text1"/>
          <w14:textFill>
            <w14:solidFill>
              <w14:schemeClr w14:val="tx1"/>
            </w14:solidFill>
          </w14:textFill>
        </w:rPr>
        <w:t>约</w:t>
      </w:r>
      <w:r>
        <w:rPr>
          <w:rFonts w:hint="eastAsia" w:cs="宋体"/>
          <w:bCs/>
          <w:color w:val="000000" w:themeColor="text1"/>
          <w:szCs w:val="21"/>
          <w14:textFill>
            <w14:solidFill>
              <w14:schemeClr w14:val="tx1"/>
            </w14:solidFill>
          </w14:textFill>
        </w:rPr>
        <w:t>为</w:t>
      </w:r>
      <w:r>
        <w:rPr>
          <w:color w:val="000000" w:themeColor="text1"/>
          <w14:textFill>
            <w14:solidFill>
              <w14:schemeClr w14:val="tx1"/>
            </w14:solidFill>
          </w14:textFill>
        </w:rPr>
        <w:t>8000m</w:t>
      </w:r>
      <w:r>
        <w:rPr>
          <w:color w:val="000000" w:themeColor="text1"/>
          <w:vertAlign w:val="superscript"/>
          <w14:textFill>
            <w14:solidFill>
              <w14:schemeClr w14:val="tx1"/>
            </w14:solidFill>
          </w14:textFill>
        </w:rPr>
        <w:t>3</w:t>
      </w:r>
      <w:r>
        <w:rPr>
          <w:color w:val="000000" w:themeColor="text1"/>
          <w14:textFill>
            <w14:solidFill>
              <w14:schemeClr w14:val="tx1"/>
            </w14:solidFill>
          </w14:textFill>
        </w:rPr>
        <w:t>/h</w:t>
      </w:r>
      <w:r>
        <w:rPr>
          <w:rFonts w:hint="eastAsia"/>
          <w:color w:val="000000" w:themeColor="text1"/>
          <w14:textFill>
            <w14:solidFill>
              <w14:schemeClr w14:val="tx1"/>
            </w14:solidFill>
          </w14:textFill>
        </w:rPr>
        <w:t>，可满足本项目。</w:t>
      </w:r>
    </w:p>
    <w:p w14:paraId="393A577A">
      <w:pPr>
        <w:numPr>
          <w:ilvl w:val="0"/>
          <w:numId w:val="1"/>
        </w:numPr>
        <w:adjustRightInd w:val="0"/>
        <w:snapToGrid w:val="0"/>
        <w:spacing w:line="480" w:lineRule="exact"/>
        <w:ind w:firstLine="420" w:firstLineChars="200"/>
        <w:rPr>
          <w:rFonts w:hint="eastAsia" w:cs="宋体"/>
          <w:bCs/>
          <w:color w:val="000000" w:themeColor="text1"/>
          <w:szCs w:val="21"/>
          <w14:textFill>
            <w14:solidFill>
              <w14:schemeClr w14:val="tx1"/>
            </w14:solidFill>
          </w14:textFill>
        </w:rPr>
      </w:pPr>
      <w:r>
        <w:rPr>
          <w:rFonts w:hint="eastAsia" w:cs="宋体"/>
          <w:bCs/>
          <w:color w:val="000000" w:themeColor="text1"/>
          <w:szCs w:val="21"/>
          <w14:textFill>
            <w14:solidFill>
              <w14:schemeClr w14:val="tx1"/>
            </w14:solidFill>
          </w14:textFill>
        </w:rPr>
        <w:t>排水：本项目产生的废水为循环水排污水，送炼油污水处理站含</w:t>
      </w:r>
      <w:r>
        <w:rPr>
          <w:rFonts w:hint="eastAsia" w:cs="宋体"/>
          <w:bCs/>
          <w:color w:val="000000" w:themeColor="text1"/>
          <w:szCs w:val="21"/>
          <w:lang w:val="en-US" w:eastAsia="zh-CN"/>
          <w14:textFill>
            <w14:solidFill>
              <w14:schemeClr w14:val="tx1"/>
            </w14:solidFill>
          </w14:textFill>
        </w:rPr>
        <w:t>盐</w:t>
      </w:r>
      <w:r>
        <w:rPr>
          <w:rFonts w:hint="eastAsia" w:cs="宋体"/>
          <w:bCs/>
          <w:color w:val="000000" w:themeColor="text1"/>
          <w:szCs w:val="21"/>
          <w14:textFill>
            <w14:solidFill>
              <w14:schemeClr w14:val="tx1"/>
            </w14:solidFill>
          </w14:textFill>
        </w:rPr>
        <w:t>污水处理装置处理后</w:t>
      </w:r>
      <w:r>
        <w:rPr>
          <w:rFonts w:hint="eastAsia" w:cs="宋体"/>
          <w:bCs/>
          <w:color w:val="000000" w:themeColor="text1"/>
          <w:szCs w:val="21"/>
          <w:lang w:val="en-US" w:eastAsia="zh-CN"/>
          <w14:textFill>
            <w14:solidFill>
              <w14:schemeClr w14:val="tx1"/>
            </w14:solidFill>
          </w14:textFill>
        </w:rPr>
        <w:t>回用，不外排。</w:t>
      </w:r>
    </w:p>
    <w:p w14:paraId="5B4ECFED">
      <w:pPr>
        <w:pStyle w:val="2"/>
        <w:rPr>
          <w:rFonts w:hint="eastAsia"/>
          <w:color w:val="000000" w:themeColor="text1"/>
          <w:lang w:val="en-US" w:eastAsia="zh-CN"/>
          <w14:textFill>
            <w14:solidFill>
              <w14:schemeClr w14:val="tx1"/>
            </w14:solidFill>
          </w14:textFill>
        </w:rPr>
      </w:pPr>
      <w:r>
        <w:rPr>
          <w:rFonts w:hint="eastAsia" w:cs="宋体"/>
          <w:bCs/>
          <w:color w:val="000000" w:themeColor="text1"/>
          <w:szCs w:val="21"/>
          <w14:textFill>
            <w14:solidFill>
              <w14:schemeClr w14:val="tx1"/>
            </w14:solidFill>
          </w14:textFill>
        </w:rPr>
        <w:t>炼油污水处理站</w:t>
      </w:r>
      <w:r>
        <w:rPr>
          <w:rFonts w:hint="eastAsia"/>
          <w:color w:val="000000" w:themeColor="text1"/>
          <w14:textFill>
            <w14:solidFill>
              <w14:schemeClr w14:val="tx1"/>
            </w14:solidFill>
          </w14:textFill>
        </w:rPr>
        <w:t>含盐污水处理单元采用“调节罐（隔油）+电化学反应器+油水分离器+涡凹气浮+溶气气浮+一体化生化池”处理工艺，设计处理规模为300m</w:t>
      </w:r>
      <w:r>
        <w:rPr>
          <w:rFonts w:hint="eastAsia"/>
          <w:color w:val="000000" w:themeColor="text1"/>
          <w:vertAlign w:val="superscript"/>
          <w:lang w:val="en-US" w:eastAsia="zh-CN"/>
          <w14:textFill>
            <w14:solidFill>
              <w14:schemeClr w14:val="tx1"/>
            </w14:solidFill>
          </w14:textFill>
        </w:rPr>
        <w:t>3</w:t>
      </w:r>
      <w:r>
        <w:rPr>
          <w:rFonts w:hint="eastAsia"/>
          <w:color w:val="000000" w:themeColor="text1"/>
          <w14:textFill>
            <w14:solidFill>
              <w14:schemeClr w14:val="tx1"/>
            </w14:solidFill>
          </w14:textFill>
        </w:rPr>
        <w:t>/h，主要处理炼油区各生产装置产生的含盐污水、循环水系统排污水等，目前实际总处理量约为176.3m</w:t>
      </w:r>
      <w:r>
        <w:rPr>
          <w:rFonts w:hint="eastAsia"/>
          <w:color w:val="000000" w:themeColor="text1"/>
          <w:vertAlign w:val="superscript"/>
          <w:lang w:val="en-US" w:eastAsia="zh-CN"/>
          <w14:textFill>
            <w14:solidFill>
              <w14:schemeClr w14:val="tx1"/>
            </w14:solidFill>
          </w14:textFill>
        </w:rPr>
        <w:t>3</w:t>
      </w:r>
      <w:r>
        <w:rPr>
          <w:rFonts w:hint="eastAsia"/>
          <w:color w:val="000000" w:themeColor="text1"/>
          <w14:textFill>
            <w14:solidFill>
              <w14:schemeClr w14:val="tx1"/>
            </w14:solidFill>
          </w14:textFill>
        </w:rPr>
        <w:t>/h</w:t>
      </w:r>
      <w:r>
        <w:rPr>
          <w:rFonts w:hint="eastAsia"/>
          <w:color w:val="000000" w:themeColor="text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剩余</w:t>
      </w:r>
      <w:r>
        <w:rPr>
          <w:rFonts w:hint="eastAsia"/>
          <w:color w:val="000000" w:themeColor="text1"/>
          <w14:textFill>
            <w14:solidFill>
              <w14:schemeClr w14:val="tx1"/>
            </w14:solidFill>
          </w14:textFill>
        </w:rPr>
        <w:t>处理量</w:t>
      </w:r>
      <w:r>
        <w:rPr>
          <w:rFonts w:hint="eastAsia"/>
          <w:color w:val="000000" w:themeColor="text1"/>
          <w:lang w:val="en-US" w:eastAsia="zh-CN"/>
          <w14:textFill>
            <w14:solidFill>
              <w14:schemeClr w14:val="tx1"/>
            </w14:solidFill>
          </w14:textFill>
        </w:rPr>
        <w:t>123.7</w:t>
      </w:r>
      <w:r>
        <w:rPr>
          <w:rFonts w:hint="eastAsia"/>
          <w:color w:val="000000" w:themeColor="text1"/>
          <w14:textFill>
            <w14:solidFill>
              <w14:schemeClr w14:val="tx1"/>
            </w14:solidFill>
          </w14:textFill>
        </w:rPr>
        <w:t>m</w:t>
      </w:r>
      <w:r>
        <w:rPr>
          <w:rFonts w:hint="eastAsia"/>
          <w:color w:val="000000" w:themeColor="text1"/>
          <w:vertAlign w:val="superscript"/>
          <w:lang w:val="en-US" w:eastAsia="zh-CN"/>
          <w14:textFill>
            <w14:solidFill>
              <w14:schemeClr w14:val="tx1"/>
            </w14:solidFill>
          </w14:textFill>
        </w:rPr>
        <w:t>3</w:t>
      </w:r>
      <w:r>
        <w:rPr>
          <w:rFonts w:hint="eastAsia"/>
          <w:color w:val="000000" w:themeColor="text1"/>
          <w14:textFill>
            <w14:solidFill>
              <w14:schemeClr w14:val="tx1"/>
            </w14:solidFill>
          </w14:textFill>
        </w:rPr>
        <w:t>/h</w:t>
      </w:r>
      <w:r>
        <w:rPr>
          <w:rFonts w:hint="eastAsia"/>
          <w:color w:val="000000" w:themeColor="text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可满足本项目使用。</w:t>
      </w:r>
    </w:p>
    <w:p w14:paraId="5593ED2A">
      <w:pPr>
        <w:numPr>
          <w:ilvl w:val="0"/>
          <w:numId w:val="2"/>
        </w:numPr>
        <w:adjustRightInd w:val="0"/>
        <w:snapToGrid w:val="0"/>
        <w:spacing w:line="480" w:lineRule="exact"/>
        <w:ind w:firstLine="422" w:firstLineChars="200"/>
        <w:rPr>
          <w:rFonts w:hint="eastAsia" w:cs="宋体"/>
          <w:b/>
          <w:color w:val="000000" w:themeColor="text1"/>
          <w:szCs w:val="21"/>
          <w:lang w:val="en-US" w:eastAsia="zh-CN"/>
          <w14:textFill>
            <w14:solidFill>
              <w14:schemeClr w14:val="tx1"/>
            </w14:solidFill>
          </w14:textFill>
        </w:rPr>
      </w:pPr>
      <w:r>
        <w:rPr>
          <w:rFonts w:hint="eastAsia" w:cs="宋体"/>
          <w:b/>
          <w:color w:val="000000" w:themeColor="text1"/>
          <w:szCs w:val="21"/>
          <w:lang w:val="en-US" w:eastAsia="zh-CN"/>
          <w14:textFill>
            <w14:solidFill>
              <w14:schemeClr w14:val="tx1"/>
            </w14:solidFill>
          </w14:textFill>
        </w:rPr>
        <w:t>储运工程</w:t>
      </w:r>
    </w:p>
    <w:p w14:paraId="0BEDB156">
      <w:pPr>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firstLine="420" w:firstLineChars="200"/>
        <w:textAlignment w:val="auto"/>
        <w:rPr>
          <w:rFonts w:hint="eastAsia" w:cs="宋体"/>
          <w:bCs/>
          <w:color w:val="000000" w:themeColor="text1"/>
          <w:szCs w:val="21"/>
          <w:lang w:val="en-US" w:eastAsia="zh-CN"/>
          <w14:textFill>
            <w14:solidFill>
              <w14:schemeClr w14:val="tx1"/>
            </w14:solidFill>
          </w14:textFill>
        </w:rPr>
      </w:pPr>
      <w:r>
        <w:rPr>
          <w:rFonts w:hint="eastAsia" w:cs="宋体"/>
          <w:bCs/>
          <w:color w:val="000000" w:themeColor="text1"/>
          <w:szCs w:val="21"/>
          <w:lang w:val="en-US" w:eastAsia="zh-CN"/>
          <w14:textFill>
            <w14:solidFill>
              <w14:schemeClr w14:val="tx1"/>
            </w14:solidFill>
          </w14:textFill>
        </w:rPr>
        <w:t>拟建项目分离的石脑油输送至 403 罐区，作为重整装置原料使用。项目建成后，重整装置原料减少外购，403 罐区周转量保持不变，因此本项目石脑油输送至 403 罐区可行。</w:t>
      </w:r>
    </w:p>
    <w:p w14:paraId="37AAF0DD">
      <w:pPr>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firstLine="420" w:firstLineChars="200"/>
        <w:textAlignment w:val="auto"/>
        <w:rPr>
          <w:rFonts w:hint="default" w:cs="宋体"/>
          <w:bCs/>
          <w:color w:val="000000" w:themeColor="text1"/>
          <w:szCs w:val="21"/>
          <w:lang w:val="en-US" w:eastAsia="zh-CN"/>
          <w14:textFill>
            <w14:solidFill>
              <w14:schemeClr w14:val="tx1"/>
            </w14:solidFill>
          </w14:textFill>
        </w:rPr>
      </w:pPr>
      <w:r>
        <w:rPr>
          <w:rFonts w:hint="default" w:cs="宋体"/>
          <w:bCs/>
          <w:color w:val="000000" w:themeColor="text1"/>
          <w:szCs w:val="21"/>
          <w:lang w:val="en-US" w:eastAsia="zh-CN"/>
          <w14:textFill>
            <w14:solidFill>
              <w14:schemeClr w14:val="tx1"/>
            </w14:solidFill>
          </w14:textFill>
        </w:rPr>
        <w:t xml:space="preserve"> 拟建项目分离的汽油组分油输送至 2# 汽油调和罐区。技改前，S-zorb 汽油经冷却后进入该罐区；技改完成后，</w:t>
      </w:r>
      <w:r>
        <w:rPr>
          <w:rFonts w:hint="eastAsia" w:cs="宋体"/>
          <w:bCs/>
          <w:color w:val="000000" w:themeColor="text1"/>
          <w:szCs w:val="21"/>
          <w:lang w:val="en-US" w:eastAsia="zh-CN"/>
          <w14:textFill>
            <w14:solidFill>
              <w14:schemeClr w14:val="tx1"/>
            </w14:solidFill>
          </w14:textFill>
        </w:rPr>
        <w:t>分离出的石脑油</w:t>
      </w:r>
      <w:r>
        <w:rPr>
          <w:rFonts w:hint="default" w:cs="宋体"/>
          <w:bCs/>
          <w:color w:val="000000" w:themeColor="text1"/>
          <w:szCs w:val="21"/>
          <w:lang w:val="en-US" w:eastAsia="zh-CN"/>
          <w14:textFill>
            <w14:solidFill>
              <w14:schemeClr w14:val="tx1"/>
            </w14:solidFill>
          </w14:textFill>
        </w:rPr>
        <w:t>6.33192万吨/年进入403罐区，则 2# 罐区的物料量将减少6.33192万吨 /年。综上，本项目汽油组分油输送 2# 罐区可行。</w:t>
      </w:r>
    </w:p>
    <w:p w14:paraId="4C0943F5">
      <w:pPr>
        <w:adjustRightInd w:val="0"/>
        <w:snapToGrid w:val="0"/>
        <w:spacing w:line="480" w:lineRule="exact"/>
        <w:ind w:firstLine="422" w:firstLineChars="200"/>
        <w:rPr>
          <w:rFonts w:cs="宋体"/>
          <w:b/>
          <w:color w:val="000000" w:themeColor="text1"/>
          <w:szCs w:val="21"/>
          <w14:textFill>
            <w14:solidFill>
              <w14:schemeClr w14:val="tx1"/>
            </w14:solidFill>
          </w14:textFill>
        </w:rPr>
      </w:pPr>
      <w:r>
        <w:rPr>
          <w:rFonts w:hint="eastAsia" w:cs="宋体"/>
          <w:b/>
          <w:color w:val="000000" w:themeColor="text1"/>
          <w:szCs w:val="21"/>
          <w:lang w:val="en-US" w:eastAsia="zh-CN"/>
          <w14:textFill>
            <w14:solidFill>
              <w14:schemeClr w14:val="tx1"/>
            </w14:solidFill>
          </w14:textFill>
        </w:rPr>
        <w:t>9</w:t>
      </w:r>
      <w:r>
        <w:rPr>
          <w:rFonts w:hint="eastAsia" w:cs="宋体"/>
          <w:b/>
          <w:color w:val="000000" w:themeColor="text1"/>
          <w:szCs w:val="21"/>
          <w14:textFill>
            <w14:solidFill>
              <w14:schemeClr w14:val="tx1"/>
            </w14:solidFill>
          </w14:textFill>
        </w:rPr>
        <w:t>、供电</w:t>
      </w:r>
    </w:p>
    <w:p w14:paraId="7E4099FF">
      <w:pPr>
        <w:adjustRightInd w:val="0"/>
        <w:snapToGrid w:val="0"/>
        <w:spacing w:line="480" w:lineRule="exact"/>
        <w:ind w:firstLine="420" w:firstLineChars="200"/>
        <w:rPr>
          <w:rFonts w:cs="宋体"/>
          <w:bCs/>
          <w:color w:val="000000" w:themeColor="text1"/>
          <w:szCs w:val="21"/>
          <w14:textFill>
            <w14:solidFill>
              <w14:schemeClr w14:val="tx1"/>
            </w14:solidFill>
          </w14:textFill>
        </w:rPr>
      </w:pPr>
      <w:r>
        <w:rPr>
          <w:rFonts w:hint="eastAsia" w:cs="宋体"/>
          <w:bCs/>
          <w:color w:val="000000" w:themeColor="text1"/>
          <w:szCs w:val="21"/>
          <w14:textFill>
            <w14:solidFill>
              <w14:schemeClr w14:val="tx1"/>
            </w14:solidFill>
          </w14:textFill>
        </w:rPr>
        <w:t>拟建项目用电依托现有供电系统，新增用电量为1090320KWh·a。</w:t>
      </w:r>
    </w:p>
    <w:p w14:paraId="392DC525">
      <w:pPr>
        <w:adjustRightInd w:val="0"/>
        <w:snapToGrid w:val="0"/>
        <w:spacing w:line="480" w:lineRule="exact"/>
        <w:ind w:firstLine="422" w:firstLineChars="200"/>
        <w:rPr>
          <w:rFonts w:cs="宋体"/>
          <w:b/>
          <w:color w:val="000000" w:themeColor="text1"/>
          <w:szCs w:val="21"/>
          <w14:textFill>
            <w14:solidFill>
              <w14:schemeClr w14:val="tx1"/>
            </w14:solidFill>
          </w14:textFill>
        </w:rPr>
      </w:pPr>
      <w:r>
        <w:rPr>
          <w:rFonts w:hint="eastAsia" w:cs="宋体"/>
          <w:b/>
          <w:color w:val="000000" w:themeColor="text1"/>
          <w:szCs w:val="21"/>
          <w:lang w:val="en-US" w:eastAsia="zh-CN"/>
          <w14:textFill>
            <w14:solidFill>
              <w14:schemeClr w14:val="tx1"/>
            </w14:solidFill>
          </w14:textFill>
        </w:rPr>
        <w:t>10</w:t>
      </w:r>
      <w:r>
        <w:rPr>
          <w:rFonts w:hint="eastAsia" w:cs="宋体"/>
          <w:b/>
          <w:color w:val="000000" w:themeColor="text1"/>
          <w:szCs w:val="21"/>
          <w14:textFill>
            <w14:solidFill>
              <w14:schemeClr w14:val="tx1"/>
            </w14:solidFill>
          </w14:textFill>
        </w:rPr>
        <w:t>、供热</w:t>
      </w:r>
    </w:p>
    <w:p w14:paraId="428E3C48">
      <w:pPr>
        <w:adjustRightInd w:val="0"/>
        <w:snapToGrid w:val="0"/>
        <w:spacing w:line="480" w:lineRule="exact"/>
        <w:ind w:firstLine="420" w:firstLineChars="200"/>
        <w:rPr>
          <w:rFonts w:cs="宋体"/>
          <w:bCs/>
          <w:color w:val="000000" w:themeColor="text1"/>
          <w:szCs w:val="21"/>
          <w14:textFill>
            <w14:solidFill>
              <w14:schemeClr w14:val="tx1"/>
            </w14:solidFill>
          </w14:textFill>
        </w:rPr>
      </w:pPr>
      <w:r>
        <w:rPr>
          <w:rFonts w:hint="eastAsia" w:cs="宋体"/>
          <w:bCs/>
          <w:color w:val="000000" w:themeColor="text1"/>
          <w:szCs w:val="21"/>
          <w14:textFill>
            <w14:solidFill>
              <w14:schemeClr w14:val="tx1"/>
            </w14:solidFill>
          </w14:textFill>
        </w:rPr>
        <w:t>拟建项目塔C</w:t>
      </w:r>
      <w:r>
        <w:rPr>
          <w:rFonts w:hint="eastAsia" w:cs="宋体"/>
          <w:bCs/>
          <w:color w:val="000000" w:themeColor="text1"/>
          <w:szCs w:val="21"/>
          <w:lang w:val="en-US" w:eastAsia="zh-CN"/>
          <w14:textFill>
            <w14:solidFill>
              <w14:schemeClr w14:val="tx1"/>
            </w14:solidFill>
          </w14:textFill>
        </w:rPr>
        <w:t>301、</w:t>
      </w:r>
      <w:r>
        <w:rPr>
          <w:rFonts w:hint="eastAsia" w:cs="宋体"/>
          <w:bCs/>
          <w:color w:val="000000" w:themeColor="text1"/>
          <w:szCs w:val="21"/>
          <w14:textFill>
            <w14:solidFill>
              <w14:schemeClr w14:val="tx1"/>
            </w14:solidFill>
          </w14:textFill>
        </w:rPr>
        <w:t>塔C</w:t>
      </w:r>
      <w:r>
        <w:rPr>
          <w:rFonts w:hint="eastAsia" w:cs="宋体"/>
          <w:bCs/>
          <w:color w:val="000000" w:themeColor="text1"/>
          <w:szCs w:val="21"/>
          <w:lang w:val="en-US" w:eastAsia="zh-CN"/>
          <w14:textFill>
            <w14:solidFill>
              <w14:schemeClr w14:val="tx1"/>
            </w14:solidFill>
          </w14:textFill>
        </w:rPr>
        <w:t>30</w:t>
      </w:r>
      <w:r>
        <w:rPr>
          <w:rFonts w:hint="eastAsia" w:cs="宋体"/>
          <w:bCs/>
          <w:color w:val="000000" w:themeColor="text1"/>
          <w:szCs w:val="21"/>
          <w14:textFill>
            <w14:solidFill>
              <w14:schemeClr w14:val="tx1"/>
            </w14:solidFill>
          </w14:textFill>
        </w:rPr>
        <w:t>4塔底热源采用1.0MPa 蒸汽，蒸汽使用量为5.575t/h，由晋控金石化工投资集团有限公司循环化工园区分公司供给，蒸汽冷凝水回用供给单位。</w:t>
      </w:r>
    </w:p>
    <w:p w14:paraId="0CB37A92">
      <w:pPr>
        <w:adjustRightInd w:val="0"/>
        <w:snapToGrid w:val="0"/>
        <w:spacing w:line="480" w:lineRule="exact"/>
        <w:ind w:firstLine="422" w:firstLineChars="200"/>
        <w:rPr>
          <w:rFonts w:cs="宋体"/>
          <w:b/>
          <w:color w:val="000000" w:themeColor="text1"/>
          <w:szCs w:val="21"/>
          <w14:textFill>
            <w14:solidFill>
              <w14:schemeClr w14:val="tx1"/>
            </w14:solidFill>
          </w14:textFill>
        </w:rPr>
      </w:pPr>
      <w:r>
        <w:rPr>
          <w:rFonts w:hint="eastAsia" w:cs="宋体"/>
          <w:b/>
          <w:color w:val="000000" w:themeColor="text1"/>
          <w:szCs w:val="21"/>
          <w14:textFill>
            <w14:solidFill>
              <w14:schemeClr w14:val="tx1"/>
            </w14:solidFill>
          </w14:textFill>
        </w:rPr>
        <w:t>1</w:t>
      </w:r>
      <w:r>
        <w:rPr>
          <w:rFonts w:hint="eastAsia" w:cs="宋体"/>
          <w:b/>
          <w:color w:val="000000" w:themeColor="text1"/>
          <w:szCs w:val="21"/>
          <w:lang w:val="en-US" w:eastAsia="zh-CN"/>
          <w14:textFill>
            <w14:solidFill>
              <w14:schemeClr w14:val="tx1"/>
            </w14:solidFill>
          </w14:textFill>
        </w:rPr>
        <w:t>1</w:t>
      </w:r>
      <w:r>
        <w:rPr>
          <w:rFonts w:hint="eastAsia" w:cs="宋体"/>
          <w:b/>
          <w:color w:val="000000" w:themeColor="text1"/>
          <w:szCs w:val="21"/>
          <w14:textFill>
            <w14:solidFill>
              <w14:schemeClr w14:val="tx1"/>
            </w14:solidFill>
          </w14:textFill>
        </w:rPr>
        <w:t>、供空气</w:t>
      </w:r>
    </w:p>
    <w:p w14:paraId="088C0EE1">
      <w:pPr>
        <w:spacing w:line="440" w:lineRule="exact"/>
        <w:ind w:firstLine="42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项目依托石家庄炼化分公司现有1座炼油空压站，站内设1台250Nm</w:t>
      </w:r>
      <w:r>
        <w:rPr>
          <w:rFonts w:hint="eastAsia"/>
          <w:color w:val="000000" w:themeColor="text1"/>
          <w:vertAlign w:val="superscript"/>
          <w14:textFill>
            <w14:solidFill>
              <w14:schemeClr w14:val="tx1"/>
            </w14:solidFill>
          </w14:textFill>
        </w:rPr>
        <w:t>3</w:t>
      </w:r>
      <w:r>
        <w:rPr>
          <w:rFonts w:hint="eastAsia"/>
          <w:color w:val="000000" w:themeColor="text1"/>
          <w14:textFill>
            <w14:solidFill>
              <w14:schemeClr w14:val="tx1"/>
            </w14:solidFill>
          </w14:textFill>
        </w:rPr>
        <w:t>/min、1台200Nm</w:t>
      </w:r>
      <w:r>
        <w:rPr>
          <w:rFonts w:hint="eastAsia"/>
          <w:color w:val="000000" w:themeColor="text1"/>
          <w:vertAlign w:val="superscript"/>
          <w14:textFill>
            <w14:solidFill>
              <w14:schemeClr w14:val="tx1"/>
            </w14:solidFill>
          </w14:textFill>
        </w:rPr>
        <w:t>3</w:t>
      </w:r>
      <w:r>
        <w:rPr>
          <w:rFonts w:hint="eastAsia"/>
          <w:color w:val="000000" w:themeColor="text1"/>
          <w14:textFill>
            <w14:solidFill>
              <w14:schemeClr w14:val="tx1"/>
            </w14:solidFill>
          </w14:textFill>
        </w:rPr>
        <w:t>/min、3台150Nm</w:t>
      </w:r>
      <w:r>
        <w:rPr>
          <w:rFonts w:hint="eastAsia"/>
          <w:color w:val="000000" w:themeColor="text1"/>
          <w:vertAlign w:val="superscript"/>
          <w14:textFill>
            <w14:solidFill>
              <w14:schemeClr w14:val="tx1"/>
            </w14:solidFill>
          </w14:textFill>
        </w:rPr>
        <w:t>3</w:t>
      </w:r>
      <w:r>
        <w:rPr>
          <w:rFonts w:hint="eastAsia"/>
          <w:color w:val="000000" w:themeColor="text1"/>
          <w14:textFill>
            <w14:solidFill>
              <w14:schemeClr w14:val="tx1"/>
            </w14:solidFill>
          </w14:textFill>
        </w:rPr>
        <w:t>/min，目前炼油空压站运行1台250Nm</w:t>
      </w:r>
      <w:r>
        <w:rPr>
          <w:rFonts w:hint="eastAsia"/>
          <w:color w:val="000000" w:themeColor="text1"/>
          <w:vertAlign w:val="superscript"/>
          <w14:textFill>
            <w14:solidFill>
              <w14:schemeClr w14:val="tx1"/>
            </w14:solidFill>
          </w14:textFill>
        </w:rPr>
        <w:t>3</w:t>
      </w:r>
      <w:r>
        <w:rPr>
          <w:rFonts w:hint="eastAsia"/>
          <w:color w:val="000000" w:themeColor="text1"/>
          <w14:textFill>
            <w14:solidFill>
              <w14:schemeClr w14:val="tx1"/>
            </w14:solidFill>
          </w14:textFill>
        </w:rPr>
        <w:t>/min和2台150Nm</w:t>
      </w:r>
      <w:r>
        <w:rPr>
          <w:rFonts w:hint="eastAsia"/>
          <w:color w:val="000000" w:themeColor="text1"/>
          <w:vertAlign w:val="superscript"/>
          <w14:textFill>
            <w14:solidFill>
              <w14:schemeClr w14:val="tx1"/>
            </w14:solidFill>
          </w14:textFill>
        </w:rPr>
        <w:t>3</w:t>
      </w:r>
      <w:r>
        <w:rPr>
          <w:rFonts w:hint="eastAsia"/>
          <w:color w:val="000000" w:themeColor="text1"/>
          <w14:textFill>
            <w14:solidFill>
              <w14:schemeClr w14:val="tx1"/>
            </w14:solidFill>
          </w14:textFill>
        </w:rPr>
        <w:t>/min空压机，1台200Nm</w:t>
      </w:r>
      <w:r>
        <w:rPr>
          <w:rFonts w:hint="eastAsia"/>
          <w:color w:val="000000" w:themeColor="text1"/>
          <w:vertAlign w:val="superscript"/>
          <w14:textFill>
            <w14:solidFill>
              <w14:schemeClr w14:val="tx1"/>
            </w14:solidFill>
          </w14:textFill>
        </w:rPr>
        <w:t>3</w:t>
      </w:r>
      <w:r>
        <w:rPr>
          <w:rFonts w:hint="eastAsia"/>
          <w:color w:val="000000" w:themeColor="text1"/>
          <w14:textFill>
            <w14:solidFill>
              <w14:schemeClr w14:val="tx1"/>
            </w14:solidFill>
          </w14:textFill>
        </w:rPr>
        <w:t>/min空压机停运，仍有8000m</w:t>
      </w:r>
      <w:r>
        <w:rPr>
          <w:rFonts w:hint="eastAsia"/>
          <w:color w:val="000000" w:themeColor="text1"/>
          <w:vertAlign w:val="superscript"/>
          <w14:textFill>
            <w14:solidFill>
              <w14:schemeClr w14:val="tx1"/>
            </w14:solidFill>
          </w14:textFill>
        </w:rPr>
        <w:t>3</w:t>
      </w:r>
      <w:r>
        <w:rPr>
          <w:rFonts w:hint="eastAsia"/>
          <w:color w:val="000000" w:themeColor="text1"/>
          <w14:textFill>
            <w14:solidFill>
              <w14:schemeClr w14:val="tx1"/>
            </w14:solidFill>
          </w14:textFill>
        </w:rPr>
        <w:t>/h的余量。本项目供风量15Nm</w:t>
      </w:r>
      <w:r>
        <w:rPr>
          <w:rFonts w:hint="eastAsia"/>
          <w:color w:val="000000" w:themeColor="text1"/>
          <w:vertAlign w:val="superscript"/>
          <w14:textFill>
            <w14:solidFill>
              <w14:schemeClr w14:val="tx1"/>
            </w14:solidFill>
          </w14:textFill>
        </w:rPr>
        <w:t>3</w:t>
      </w:r>
      <w:r>
        <w:rPr>
          <w:rFonts w:hint="eastAsia"/>
          <w:color w:val="000000" w:themeColor="text1"/>
          <w14:textFill>
            <w14:solidFill>
              <w14:schemeClr w14:val="tx1"/>
            </w14:solidFill>
          </w14:textFill>
        </w:rPr>
        <w:t>/h，全部为新增供风量，炼油空压站余量可满足本项目新增供风量要求。</w:t>
      </w:r>
    </w:p>
    <w:p w14:paraId="08ED0075">
      <w:pPr>
        <w:adjustRightInd w:val="0"/>
        <w:snapToGrid w:val="0"/>
        <w:spacing w:line="480" w:lineRule="exact"/>
        <w:ind w:firstLine="422" w:firstLineChars="200"/>
        <w:rPr>
          <w:rFonts w:cs="宋体"/>
          <w:b/>
          <w:bCs/>
          <w:color w:val="000000" w:themeColor="text1"/>
          <w:kern w:val="0"/>
          <w:szCs w:val="21"/>
          <w14:textFill>
            <w14:solidFill>
              <w14:schemeClr w14:val="tx1"/>
            </w14:solidFill>
          </w14:textFill>
        </w:rPr>
      </w:pPr>
      <w:r>
        <w:rPr>
          <w:rFonts w:hint="eastAsia" w:cs="宋体"/>
          <w:b/>
          <w:bCs/>
          <w:color w:val="000000" w:themeColor="text1"/>
          <w:kern w:val="0"/>
          <w:szCs w:val="21"/>
          <w14:textFill>
            <w14:solidFill>
              <w14:schemeClr w14:val="tx1"/>
            </w14:solidFill>
          </w14:textFill>
        </w:rPr>
        <w:t>1</w:t>
      </w:r>
      <w:r>
        <w:rPr>
          <w:rFonts w:hint="eastAsia" w:cs="宋体"/>
          <w:b/>
          <w:bCs/>
          <w:color w:val="000000" w:themeColor="text1"/>
          <w:kern w:val="0"/>
          <w:szCs w:val="21"/>
          <w:lang w:val="en-US" w:eastAsia="zh-CN"/>
          <w14:textFill>
            <w14:solidFill>
              <w14:schemeClr w14:val="tx1"/>
            </w14:solidFill>
          </w14:textFill>
        </w:rPr>
        <w:t>2</w:t>
      </w:r>
      <w:r>
        <w:rPr>
          <w:rFonts w:hint="eastAsia" w:cs="宋体"/>
          <w:b/>
          <w:bCs/>
          <w:color w:val="000000" w:themeColor="text1"/>
          <w:kern w:val="0"/>
          <w:szCs w:val="21"/>
          <w14:textFill>
            <w14:solidFill>
              <w14:schemeClr w14:val="tx1"/>
            </w14:solidFill>
          </w14:textFill>
        </w:rPr>
        <w:t>、劳动定员及工作制度</w:t>
      </w:r>
    </w:p>
    <w:p w14:paraId="07373BFC">
      <w:pPr>
        <w:adjustRightInd w:val="0"/>
        <w:snapToGrid w:val="0"/>
        <w:spacing w:line="480" w:lineRule="exact"/>
        <w:ind w:firstLine="420" w:firstLineChars="200"/>
        <w:rPr>
          <w:rFonts w:cs="宋体"/>
          <w:bCs/>
          <w:color w:val="000000" w:themeColor="text1"/>
          <w:szCs w:val="21"/>
          <w14:textFill>
            <w14:solidFill>
              <w14:schemeClr w14:val="tx1"/>
            </w14:solidFill>
          </w14:textFill>
        </w:rPr>
      </w:pPr>
      <w:r>
        <w:rPr>
          <w:rFonts w:hint="eastAsia" w:cs="宋体"/>
          <w:color w:val="000000" w:themeColor="text1"/>
          <w:kern w:val="0"/>
          <w:szCs w:val="21"/>
          <w14:textFill>
            <w14:solidFill>
              <w14:schemeClr w14:val="tx1"/>
            </w14:solidFill>
          </w14:textFill>
        </w:rPr>
        <w:t>本项目不新增劳动定员，年运行8</w:t>
      </w:r>
      <w:r>
        <w:rPr>
          <w:rFonts w:cs="宋体"/>
          <w:color w:val="000000" w:themeColor="text1"/>
          <w:kern w:val="0"/>
          <w:szCs w:val="21"/>
          <w14:textFill>
            <w14:solidFill>
              <w14:schemeClr w14:val="tx1"/>
            </w14:solidFill>
          </w14:textFill>
        </w:rPr>
        <w:t>400</w:t>
      </w:r>
      <w:r>
        <w:rPr>
          <w:rFonts w:hint="eastAsia" w:cs="宋体"/>
          <w:color w:val="000000" w:themeColor="text1"/>
          <w:kern w:val="0"/>
          <w:szCs w:val="21"/>
          <w14:textFill>
            <w14:solidFill>
              <w14:schemeClr w14:val="tx1"/>
            </w14:solidFill>
          </w14:textFill>
        </w:rPr>
        <w:t>h。</w:t>
      </w:r>
    </w:p>
    <w:p w14:paraId="6D04DDDA">
      <w:pPr>
        <w:adjustRightInd w:val="0"/>
        <w:snapToGrid w:val="0"/>
        <w:spacing w:line="480" w:lineRule="exact"/>
        <w:ind w:firstLine="422" w:firstLineChars="200"/>
        <w:rPr>
          <w:rFonts w:cs="宋体"/>
          <w:b/>
          <w:bCs/>
          <w:color w:val="000000" w:themeColor="text1"/>
          <w:kern w:val="0"/>
          <w:szCs w:val="21"/>
          <w14:textFill>
            <w14:solidFill>
              <w14:schemeClr w14:val="tx1"/>
            </w14:solidFill>
          </w14:textFill>
        </w:rPr>
      </w:pPr>
      <w:r>
        <w:rPr>
          <w:rFonts w:hint="eastAsia" w:cs="宋体"/>
          <w:b/>
          <w:bCs/>
          <w:color w:val="000000" w:themeColor="text1"/>
          <w:kern w:val="0"/>
          <w:szCs w:val="21"/>
          <w14:textFill>
            <w14:solidFill>
              <w14:schemeClr w14:val="tx1"/>
            </w14:solidFill>
          </w14:textFill>
        </w:rPr>
        <w:t>1</w:t>
      </w:r>
      <w:r>
        <w:rPr>
          <w:rFonts w:hint="eastAsia" w:cs="宋体"/>
          <w:b/>
          <w:bCs/>
          <w:color w:val="000000" w:themeColor="text1"/>
          <w:kern w:val="0"/>
          <w:szCs w:val="21"/>
          <w:lang w:val="en-US" w:eastAsia="zh-CN"/>
          <w14:textFill>
            <w14:solidFill>
              <w14:schemeClr w14:val="tx1"/>
            </w14:solidFill>
          </w14:textFill>
        </w:rPr>
        <w:t>3</w:t>
      </w:r>
      <w:r>
        <w:rPr>
          <w:rFonts w:hint="eastAsia" w:cs="宋体"/>
          <w:b/>
          <w:bCs/>
          <w:color w:val="000000" w:themeColor="text1"/>
          <w:kern w:val="0"/>
          <w:szCs w:val="21"/>
          <w14:textFill>
            <w14:solidFill>
              <w14:schemeClr w14:val="tx1"/>
            </w14:solidFill>
          </w14:textFill>
        </w:rPr>
        <w:t>、平面布置</w:t>
      </w:r>
    </w:p>
    <w:p w14:paraId="7965DA85">
      <w:pPr>
        <w:pStyle w:val="3"/>
        <w:rPr>
          <w:rFonts w:hint="eastAsia" w:cs="宋体"/>
          <w:color w:val="000000" w:themeColor="text1"/>
          <w:kern w:val="0"/>
          <w:szCs w:val="21"/>
          <w14:textFill>
            <w14:solidFill>
              <w14:schemeClr w14:val="tx1"/>
            </w14:solidFill>
          </w14:textFill>
        </w:rPr>
      </w:pPr>
      <w:r>
        <w:rPr>
          <w:rFonts w:hint="eastAsia" w:cs="宋体"/>
          <w:color w:val="000000" w:themeColor="text1"/>
          <w:kern w:val="0"/>
          <w:szCs w:val="21"/>
          <w14:textFill>
            <w14:solidFill>
              <w14:schemeClr w14:val="tx1"/>
            </w14:solidFill>
          </w14:textFill>
        </w:rPr>
        <w:t>拟建项目位于二气分装置范围内，未改变装置边界。二气分装置东侧为1#常减压、1#催化联合装置，西侧为260万吨/年柴油加氢精制装置，南侧为VOCs治理装置和废弃污水处理场，北侧为100万吨/年柴油加氢装置。</w:t>
      </w:r>
    </w:p>
    <w:p w14:paraId="4895102B">
      <w:pPr>
        <w:adjustRightInd w:val="0"/>
        <w:snapToGrid w:val="0"/>
        <w:spacing w:line="480" w:lineRule="exact"/>
        <w:ind w:firstLine="420" w:firstLineChars="200"/>
        <w:rPr>
          <w:rFonts w:hint="eastAsia"/>
          <w:bCs/>
          <w:color w:val="000000" w:themeColor="text1"/>
          <w:szCs w:val="21"/>
          <w14:textFill>
            <w14:solidFill>
              <w14:schemeClr w14:val="tx1"/>
            </w14:solidFill>
          </w14:textFill>
        </w:rPr>
      </w:pPr>
      <w:r>
        <w:rPr>
          <w:rFonts w:hint="eastAsia"/>
          <w:bCs/>
          <w:color w:val="000000" w:themeColor="text1"/>
          <w:szCs w:val="21"/>
          <w14:textFill>
            <w14:solidFill>
              <w14:schemeClr w14:val="tx1"/>
            </w14:solidFill>
          </w14:textFill>
        </w:rPr>
        <w:t>拟建项目废气不涉及二氧化硫、氮氧化物排放，废水</w:t>
      </w:r>
      <w:r>
        <w:rPr>
          <w:rFonts w:hint="eastAsia"/>
          <w:bCs/>
          <w:color w:val="000000" w:themeColor="text1"/>
          <w:szCs w:val="21"/>
          <w:lang w:val="en-US" w:eastAsia="zh-CN"/>
          <w14:textFill>
            <w14:solidFill>
              <w14:schemeClr w14:val="tx1"/>
            </w14:solidFill>
          </w14:textFill>
        </w:rPr>
        <w:t>不外排</w:t>
      </w:r>
      <w:r>
        <w:rPr>
          <w:rFonts w:hint="eastAsia"/>
          <w:bCs/>
          <w:color w:val="000000" w:themeColor="text1"/>
          <w:szCs w:val="21"/>
          <w14:textFill>
            <w14:solidFill>
              <w14:schemeClr w14:val="tx1"/>
            </w14:solidFill>
          </w14:textFill>
        </w:rPr>
        <w:t>。项目建成后全厂主要污染物总量控制指标不变为：二氧化硫 920.294t/a、氮氧化物 1815.060t/a、VOCs 1059.680t/a、颗粒物 413.375t/a、COD 614.592t/a、氨氮 245.837t/a。</w:t>
      </w:r>
    </w:p>
    <w:p w14:paraId="4964F09D">
      <w:pPr>
        <w:adjustRightInd w:val="0"/>
        <w:snapToGrid w:val="0"/>
        <w:spacing w:line="480" w:lineRule="exact"/>
        <w:ind w:firstLine="420" w:firstLineChars="200"/>
        <w:rPr>
          <w:bCs/>
          <w:color w:val="000000" w:themeColor="text1"/>
          <w:szCs w:val="21"/>
          <w14:textFill>
            <w14:solidFill>
              <w14:schemeClr w14:val="tx1"/>
            </w14:solidFill>
          </w14:textFill>
        </w:rPr>
      </w:pPr>
      <w:r>
        <w:rPr>
          <w:rFonts w:hint="eastAsia"/>
          <w:color w:val="000000" w:themeColor="text1"/>
          <w:kern w:val="0"/>
          <w:szCs w:val="21"/>
          <w14:textFill>
            <w14:solidFill>
              <w14:schemeClr w14:val="tx1"/>
            </w14:solidFill>
          </w14:textFill>
        </w:rPr>
        <w:t>本项目利用塔</w:t>
      </w:r>
      <w:r>
        <w:rPr>
          <w:rFonts w:hint="eastAsia"/>
          <w:color w:val="000000" w:themeColor="text1"/>
          <w:kern w:val="0"/>
          <w:szCs w:val="21"/>
          <w:lang w:val="en-US" w:eastAsia="zh-CN"/>
          <w14:textFill>
            <w14:solidFill>
              <w14:schemeClr w14:val="tx1"/>
            </w14:solidFill>
          </w14:textFill>
        </w:rPr>
        <w:t>C</w:t>
      </w:r>
      <w:r>
        <w:rPr>
          <w:rFonts w:hint="eastAsia"/>
          <w:color w:val="000000" w:themeColor="text1"/>
          <w:kern w:val="0"/>
          <w:szCs w:val="21"/>
          <w14:textFill>
            <w14:solidFill>
              <w14:schemeClr w14:val="tx1"/>
            </w14:solidFill>
          </w14:textFill>
        </w:rPr>
        <w:t>301、塔</w:t>
      </w:r>
      <w:r>
        <w:rPr>
          <w:rFonts w:hint="eastAsia"/>
          <w:color w:val="000000" w:themeColor="text1"/>
          <w:kern w:val="0"/>
          <w:szCs w:val="21"/>
          <w:lang w:val="en-US" w:eastAsia="zh-CN"/>
          <w14:textFill>
            <w14:solidFill>
              <w14:schemeClr w14:val="tx1"/>
            </w14:solidFill>
          </w14:textFill>
        </w:rPr>
        <w:t>C</w:t>
      </w:r>
      <w:r>
        <w:rPr>
          <w:rFonts w:hint="eastAsia"/>
          <w:color w:val="000000" w:themeColor="text1"/>
          <w:kern w:val="0"/>
          <w:szCs w:val="21"/>
          <w14:textFill>
            <w14:solidFill>
              <w14:schemeClr w14:val="tx1"/>
            </w14:solidFill>
          </w14:textFill>
        </w:rPr>
        <w:t>304 分离 S-Zorb 汽油低碳芳烃组分 。</w:t>
      </w:r>
    </w:p>
    <w:p w14:paraId="7BC5CC9B">
      <w:pPr>
        <w:adjustRightInd w:val="0"/>
        <w:snapToGrid w:val="0"/>
        <w:spacing w:line="480" w:lineRule="exact"/>
        <w:ind w:firstLine="382" w:firstLineChars="200"/>
        <w:rPr>
          <w:rFonts w:cs="宋体"/>
          <w:b/>
          <w:color w:val="000000" w:themeColor="text1"/>
          <w:spacing w:val="-10"/>
          <w:szCs w:val="21"/>
          <w14:textFill>
            <w14:solidFill>
              <w14:schemeClr w14:val="tx1"/>
            </w14:solidFill>
          </w14:textFill>
        </w:rPr>
      </w:pPr>
      <w:r>
        <w:rPr>
          <w:rFonts w:hint="eastAsia" w:cs="宋体"/>
          <w:b/>
          <w:color w:val="000000" w:themeColor="text1"/>
          <w:spacing w:val="-10"/>
          <w:szCs w:val="21"/>
          <w14:textFill>
            <w14:solidFill>
              <w14:schemeClr w14:val="tx1"/>
            </w14:solidFill>
          </w14:textFill>
        </w:rPr>
        <w:t>1、施工期废气防治措施</w:t>
      </w:r>
    </w:p>
    <w:p w14:paraId="5DDE58D7">
      <w:pPr>
        <w:adjustRightInd w:val="0"/>
        <w:snapToGrid w:val="0"/>
        <w:spacing w:line="480" w:lineRule="exact"/>
        <w:ind w:firstLine="420" w:firstLineChars="200"/>
        <w:rPr>
          <w:bCs/>
          <w:color w:val="000000" w:themeColor="text1"/>
          <w:szCs w:val="21"/>
          <w14:textFill>
            <w14:solidFill>
              <w14:schemeClr w14:val="tx1"/>
            </w14:solidFill>
          </w14:textFill>
        </w:rPr>
      </w:pPr>
      <w:r>
        <w:rPr>
          <w:rFonts w:hint="eastAsia"/>
          <w:bCs/>
          <w:color w:val="000000" w:themeColor="text1"/>
          <w:szCs w:val="21"/>
          <w14:textFill>
            <w14:solidFill>
              <w14:schemeClr w14:val="tx1"/>
            </w14:solidFill>
          </w14:textFill>
        </w:rPr>
        <w:t>项目施工期对大气环境的影响主要为设备、管线焊接过程中产生的少量焊接烟尘。为降低项目施工对周围环境的影响，本项目在设计选材过程中尽可能选择宽钢板等材料，尽可能降低现场焊接工作量。</w:t>
      </w:r>
    </w:p>
    <w:p w14:paraId="360311AA">
      <w:pPr>
        <w:adjustRightInd w:val="0"/>
        <w:snapToGrid w:val="0"/>
        <w:spacing w:line="480" w:lineRule="exact"/>
        <w:ind w:firstLine="420" w:firstLineChars="200"/>
        <w:rPr>
          <w:bCs/>
          <w:color w:val="000000" w:themeColor="text1"/>
          <w:szCs w:val="21"/>
          <w14:textFill>
            <w14:solidFill>
              <w14:schemeClr w14:val="tx1"/>
            </w14:solidFill>
          </w14:textFill>
        </w:rPr>
      </w:pPr>
      <w:r>
        <w:rPr>
          <w:rFonts w:hint="eastAsia"/>
          <w:bCs/>
          <w:color w:val="000000" w:themeColor="text1"/>
          <w:szCs w:val="21"/>
          <w14:textFill>
            <w14:solidFill>
              <w14:schemeClr w14:val="tx1"/>
            </w14:solidFill>
          </w14:textFill>
        </w:rPr>
        <w:t>在采取上述措施的前提下，可将施工期废气对周围环境的影响降至较低程度；同时，施工作业为短期过程，该环境影响随着施工作业的结束而消除。</w:t>
      </w:r>
    </w:p>
    <w:p w14:paraId="2EC96D44">
      <w:pPr>
        <w:adjustRightInd w:val="0"/>
        <w:snapToGrid w:val="0"/>
        <w:spacing w:line="480" w:lineRule="exact"/>
        <w:ind w:firstLine="382" w:firstLineChars="200"/>
        <w:rPr>
          <w:rFonts w:cs="宋体"/>
          <w:b/>
          <w:color w:val="000000" w:themeColor="text1"/>
          <w:spacing w:val="-10"/>
          <w:szCs w:val="21"/>
          <w14:textFill>
            <w14:solidFill>
              <w14:schemeClr w14:val="tx1"/>
            </w14:solidFill>
          </w14:textFill>
        </w:rPr>
      </w:pPr>
      <w:r>
        <w:rPr>
          <w:rFonts w:cs="宋体"/>
          <w:b/>
          <w:color w:val="000000" w:themeColor="text1"/>
          <w:spacing w:val="-10"/>
          <w:szCs w:val="21"/>
          <w14:textFill>
            <w14:solidFill>
              <w14:schemeClr w14:val="tx1"/>
            </w14:solidFill>
          </w14:textFill>
        </w:rPr>
        <w:t>3</w:t>
      </w:r>
      <w:r>
        <w:rPr>
          <w:rFonts w:hint="eastAsia" w:cs="宋体"/>
          <w:b/>
          <w:color w:val="000000" w:themeColor="text1"/>
          <w:spacing w:val="-10"/>
          <w:szCs w:val="21"/>
          <w14:textFill>
            <w14:solidFill>
              <w14:schemeClr w14:val="tx1"/>
            </w14:solidFill>
          </w14:textFill>
        </w:rPr>
        <w:t>、施工废水防治措施</w:t>
      </w:r>
    </w:p>
    <w:p w14:paraId="0071A0A0">
      <w:pPr>
        <w:adjustRightInd w:val="0"/>
        <w:snapToGrid w:val="0"/>
        <w:spacing w:line="480" w:lineRule="exact"/>
        <w:ind w:firstLine="420" w:firstLineChars="200"/>
        <w:rPr>
          <w:bCs/>
          <w:color w:val="000000" w:themeColor="text1"/>
          <w:szCs w:val="21"/>
          <w14:textFill>
            <w14:solidFill>
              <w14:schemeClr w14:val="tx1"/>
            </w14:solidFill>
          </w14:textFill>
        </w:rPr>
      </w:pPr>
      <w:r>
        <w:rPr>
          <w:rFonts w:hint="eastAsia"/>
          <w:bCs/>
          <w:color w:val="000000" w:themeColor="text1"/>
          <w:szCs w:val="21"/>
          <w14:textFill>
            <w14:solidFill>
              <w14:schemeClr w14:val="tx1"/>
            </w14:solidFill>
          </w14:textFill>
        </w:rPr>
        <w:t>项目施工期废水主要为施工人员生活污水、设备及地面冲洗废水，依托厂内炼油污水处理站处理后回用。</w:t>
      </w:r>
    </w:p>
    <w:p w14:paraId="222BC237">
      <w:pPr>
        <w:adjustRightInd w:val="0"/>
        <w:snapToGrid w:val="0"/>
        <w:spacing w:line="480" w:lineRule="exact"/>
        <w:ind w:firstLine="382" w:firstLineChars="200"/>
        <w:rPr>
          <w:rFonts w:cs="宋体"/>
          <w:b/>
          <w:color w:val="000000" w:themeColor="text1"/>
          <w:spacing w:val="-10"/>
          <w:szCs w:val="21"/>
          <w14:textFill>
            <w14:solidFill>
              <w14:schemeClr w14:val="tx1"/>
            </w14:solidFill>
          </w14:textFill>
        </w:rPr>
      </w:pPr>
      <w:r>
        <w:rPr>
          <w:rFonts w:cs="宋体"/>
          <w:b/>
          <w:color w:val="000000" w:themeColor="text1"/>
          <w:spacing w:val="-10"/>
          <w:szCs w:val="21"/>
          <w14:textFill>
            <w14:solidFill>
              <w14:schemeClr w14:val="tx1"/>
            </w14:solidFill>
          </w14:textFill>
        </w:rPr>
        <w:t>4</w:t>
      </w:r>
      <w:r>
        <w:rPr>
          <w:rFonts w:hint="eastAsia" w:cs="宋体"/>
          <w:b/>
          <w:color w:val="000000" w:themeColor="text1"/>
          <w:spacing w:val="-10"/>
          <w:szCs w:val="21"/>
          <w14:textFill>
            <w14:solidFill>
              <w14:schemeClr w14:val="tx1"/>
            </w14:solidFill>
          </w14:textFill>
        </w:rPr>
        <w:t>、施工噪声及振动防治措施</w:t>
      </w:r>
    </w:p>
    <w:p w14:paraId="03C67248">
      <w:pPr>
        <w:adjustRightInd w:val="0"/>
        <w:snapToGrid w:val="0"/>
        <w:spacing w:line="480" w:lineRule="exact"/>
        <w:ind w:firstLine="420" w:firstLineChars="200"/>
        <w:rPr>
          <w:bCs/>
          <w:color w:val="000000" w:themeColor="text1"/>
          <w:szCs w:val="21"/>
          <w14:textFill>
            <w14:solidFill>
              <w14:schemeClr w14:val="tx1"/>
            </w14:solidFill>
          </w14:textFill>
        </w:rPr>
      </w:pPr>
      <w:r>
        <w:rPr>
          <w:rFonts w:hint="eastAsia"/>
          <w:bCs/>
          <w:color w:val="000000" w:themeColor="text1"/>
          <w:szCs w:val="21"/>
          <w14:textFill>
            <w14:solidFill>
              <w14:schemeClr w14:val="tx1"/>
            </w14:solidFill>
          </w14:textFill>
        </w:rPr>
        <w:t>施工期噪声源及振动主要来自施工使用的切割机、电钻等设备、施工机械、运输车辆等，其特点是间歇或阵发性的，并具备流动性的特征。为减少施工噪声及振动对环境的影响，结合施工进展，采取如下防治措施：</w:t>
      </w:r>
    </w:p>
    <w:p w14:paraId="6F1AD8E8">
      <w:pPr>
        <w:adjustRightInd w:val="0"/>
        <w:snapToGrid w:val="0"/>
        <w:spacing w:line="480" w:lineRule="exact"/>
        <w:ind w:firstLine="420" w:firstLineChars="200"/>
        <w:rPr>
          <w:bCs/>
          <w:color w:val="000000" w:themeColor="text1"/>
          <w:szCs w:val="21"/>
          <w14:textFill>
            <w14:solidFill>
              <w14:schemeClr w14:val="tx1"/>
            </w14:solidFill>
          </w14:textFill>
        </w:rPr>
      </w:pPr>
      <w:r>
        <w:rPr>
          <w:rFonts w:hint="eastAsia"/>
          <w:bCs/>
          <w:color w:val="000000" w:themeColor="text1"/>
          <w:szCs w:val="21"/>
          <w14:textFill>
            <w14:solidFill>
              <w14:schemeClr w14:val="tx1"/>
            </w14:solidFill>
          </w14:textFill>
        </w:rPr>
        <w:t>（1）施工单位应合理安排施工时间，做到文明施工。</w:t>
      </w:r>
    </w:p>
    <w:p w14:paraId="74002CEF">
      <w:pPr>
        <w:adjustRightInd w:val="0"/>
        <w:snapToGrid w:val="0"/>
        <w:spacing w:line="480" w:lineRule="exact"/>
        <w:ind w:firstLine="420" w:firstLineChars="200"/>
        <w:rPr>
          <w:bCs/>
          <w:color w:val="000000" w:themeColor="text1"/>
          <w:szCs w:val="21"/>
          <w14:textFill>
            <w14:solidFill>
              <w14:schemeClr w14:val="tx1"/>
            </w14:solidFill>
          </w14:textFill>
        </w:rPr>
      </w:pPr>
      <w:r>
        <w:rPr>
          <w:rFonts w:hint="eastAsia"/>
          <w:bCs/>
          <w:color w:val="000000" w:themeColor="text1"/>
          <w:szCs w:val="21"/>
          <w14:textFill>
            <w14:solidFill>
              <w14:schemeClr w14:val="tx1"/>
            </w14:solidFill>
          </w14:textFill>
        </w:rPr>
        <w:t>（2）项目施工布置时将噪声源强较高的施工设备置于远离敏感点的一侧，以减少对周边敏感点的影响。</w:t>
      </w:r>
    </w:p>
    <w:p w14:paraId="45C8BD97">
      <w:pPr>
        <w:adjustRightInd w:val="0"/>
        <w:snapToGrid w:val="0"/>
        <w:spacing w:line="480" w:lineRule="exact"/>
        <w:ind w:firstLine="420" w:firstLineChars="200"/>
        <w:rPr>
          <w:bCs/>
          <w:color w:val="000000" w:themeColor="text1"/>
          <w:szCs w:val="21"/>
          <w14:textFill>
            <w14:solidFill>
              <w14:schemeClr w14:val="tx1"/>
            </w14:solidFill>
          </w14:textFill>
        </w:rPr>
      </w:pPr>
      <w:r>
        <w:rPr>
          <w:rFonts w:hint="eastAsia"/>
          <w:bCs/>
          <w:color w:val="000000" w:themeColor="text1"/>
          <w:szCs w:val="21"/>
          <w14:textFill>
            <w14:solidFill>
              <w14:schemeClr w14:val="tx1"/>
            </w14:solidFill>
          </w14:textFill>
        </w:rPr>
        <w:t>同时，本项目施工作业主要集中在现有厂区内，通过采取以上措施后，施工场界噪声可满足</w:t>
      </w:r>
      <w:r>
        <w:rPr>
          <w:rFonts w:hint="eastAsia" w:cs="宋体"/>
          <w:color w:val="000000" w:themeColor="text1"/>
          <w:kern w:val="0"/>
          <w:szCs w:val="21"/>
          <w14:textFill>
            <w14:solidFill>
              <w14:schemeClr w14:val="tx1"/>
            </w14:solidFill>
          </w14:textFill>
        </w:rPr>
        <w:t>《建筑施工</w:t>
      </w:r>
      <w:r>
        <w:rPr>
          <w:rFonts w:hint="eastAsia" w:cs="宋体"/>
          <w:color w:val="000000" w:themeColor="text1"/>
          <w:kern w:val="0"/>
          <w:szCs w:val="21"/>
          <w:lang w:val="en-US" w:eastAsia="zh-CN"/>
          <w14:textFill>
            <w14:solidFill>
              <w14:schemeClr w14:val="tx1"/>
            </w14:solidFill>
          </w14:textFill>
        </w:rPr>
        <w:t>噪声排放标准</w:t>
      </w:r>
      <w:r>
        <w:rPr>
          <w:rFonts w:hint="eastAsia" w:cs="宋体"/>
          <w:color w:val="000000" w:themeColor="text1"/>
          <w:kern w:val="0"/>
          <w:szCs w:val="21"/>
          <w14:textFill>
            <w14:solidFill>
              <w14:schemeClr w14:val="tx1"/>
            </w14:solidFill>
          </w14:textFill>
        </w:rPr>
        <w:t>》（GB</w:t>
      </w:r>
      <w:r>
        <w:rPr>
          <w:rFonts w:cs="宋体"/>
          <w:color w:val="000000" w:themeColor="text1"/>
          <w:kern w:val="0"/>
          <w:szCs w:val="21"/>
          <w14:textFill>
            <w14:solidFill>
              <w14:schemeClr w14:val="tx1"/>
            </w14:solidFill>
          </w14:textFill>
        </w:rPr>
        <w:t xml:space="preserve"> </w:t>
      </w:r>
      <w:r>
        <w:rPr>
          <w:rFonts w:hint="eastAsia" w:cs="宋体"/>
          <w:color w:val="000000" w:themeColor="text1"/>
          <w:kern w:val="0"/>
          <w:szCs w:val="21"/>
          <w14:textFill>
            <w14:solidFill>
              <w14:schemeClr w14:val="tx1"/>
            </w14:solidFill>
          </w14:textFill>
        </w:rPr>
        <w:t>12523-20</w:t>
      </w:r>
      <w:r>
        <w:rPr>
          <w:rFonts w:hint="eastAsia" w:cs="宋体"/>
          <w:color w:val="000000" w:themeColor="text1"/>
          <w:kern w:val="0"/>
          <w:szCs w:val="21"/>
          <w:lang w:val="en-US" w:eastAsia="zh-CN"/>
          <w14:textFill>
            <w14:solidFill>
              <w14:schemeClr w14:val="tx1"/>
            </w14:solidFill>
          </w14:textFill>
        </w:rPr>
        <w:t>25</w:t>
      </w:r>
      <w:r>
        <w:rPr>
          <w:rFonts w:hint="eastAsia" w:cs="宋体"/>
          <w:color w:val="000000" w:themeColor="text1"/>
          <w:kern w:val="0"/>
          <w:szCs w:val="21"/>
          <w14:textFill>
            <w14:solidFill>
              <w14:schemeClr w14:val="tx1"/>
            </w14:solidFill>
          </w14:textFill>
        </w:rPr>
        <w:t>）</w:t>
      </w:r>
      <w:r>
        <w:rPr>
          <w:rFonts w:hint="eastAsia"/>
          <w:bCs/>
          <w:color w:val="000000" w:themeColor="text1"/>
          <w:szCs w:val="21"/>
          <w14:textFill>
            <w14:solidFill>
              <w14:schemeClr w14:val="tx1"/>
            </w14:solidFill>
          </w14:textFill>
        </w:rPr>
        <w:t>的规定。</w:t>
      </w:r>
    </w:p>
    <w:p w14:paraId="3E6E5CC4">
      <w:pPr>
        <w:adjustRightInd w:val="0"/>
        <w:snapToGrid w:val="0"/>
        <w:spacing w:line="480" w:lineRule="exact"/>
        <w:ind w:firstLine="382" w:firstLineChars="200"/>
        <w:rPr>
          <w:rFonts w:cs="宋体"/>
          <w:b/>
          <w:color w:val="000000" w:themeColor="text1"/>
          <w:spacing w:val="-10"/>
          <w:szCs w:val="21"/>
          <w14:textFill>
            <w14:solidFill>
              <w14:schemeClr w14:val="tx1"/>
            </w14:solidFill>
          </w14:textFill>
        </w:rPr>
      </w:pPr>
      <w:r>
        <w:rPr>
          <w:rFonts w:cs="宋体"/>
          <w:b/>
          <w:color w:val="000000" w:themeColor="text1"/>
          <w:spacing w:val="-10"/>
          <w:szCs w:val="21"/>
          <w14:textFill>
            <w14:solidFill>
              <w14:schemeClr w14:val="tx1"/>
            </w14:solidFill>
          </w14:textFill>
        </w:rPr>
        <w:t>5</w:t>
      </w:r>
      <w:r>
        <w:rPr>
          <w:rFonts w:hint="eastAsia" w:cs="宋体"/>
          <w:b/>
          <w:color w:val="000000" w:themeColor="text1"/>
          <w:spacing w:val="-10"/>
          <w:szCs w:val="21"/>
          <w14:textFill>
            <w14:solidFill>
              <w14:schemeClr w14:val="tx1"/>
            </w14:solidFill>
          </w14:textFill>
        </w:rPr>
        <w:t>、固体废物防治措施</w:t>
      </w:r>
    </w:p>
    <w:p w14:paraId="62C06635">
      <w:pPr>
        <w:pStyle w:val="3"/>
        <w:rPr>
          <w:rFonts w:hint="eastAsia" w:cs="宋体"/>
          <w:bCs/>
          <w:color w:val="000000" w:themeColor="text1"/>
          <w:szCs w:val="21"/>
          <w14:textFill>
            <w14:solidFill>
              <w14:schemeClr w14:val="tx1"/>
            </w14:solidFill>
          </w14:textFill>
        </w:rPr>
      </w:pPr>
      <w:r>
        <w:rPr>
          <w:rFonts w:hint="eastAsia" w:cs="宋体"/>
          <w:bCs/>
          <w:color w:val="000000" w:themeColor="text1"/>
          <w:szCs w:val="21"/>
          <w14:textFill>
            <w14:solidFill>
              <w14:schemeClr w14:val="tx1"/>
            </w14:solidFill>
          </w14:textFill>
        </w:rPr>
        <w:t>施工期固体废弃物主要为施工过程中产生的设备及管道残留物料、施工人员的生活垃圾。施工过程中产生的建筑垃圾为一般工业固体废物，按市政部门要求送至指定地点统一处置；生活垃圾由环卫部门统一清运并处置；设备及管道残留物料装桶存放，按危废处置。</w:t>
      </w:r>
    </w:p>
    <w:p w14:paraId="38FA4437">
      <w:pPr>
        <w:adjustRightInd w:val="0"/>
        <w:snapToGrid w:val="0"/>
        <w:spacing w:line="480" w:lineRule="exact"/>
        <w:ind w:firstLine="382" w:firstLineChars="200"/>
        <w:rPr>
          <w:rFonts w:cs="宋体"/>
          <w:b/>
          <w:color w:val="000000" w:themeColor="text1"/>
          <w:spacing w:val="-10"/>
          <w:szCs w:val="21"/>
          <w14:textFill>
            <w14:solidFill>
              <w14:schemeClr w14:val="tx1"/>
            </w14:solidFill>
          </w14:textFill>
        </w:rPr>
      </w:pPr>
      <w:r>
        <w:rPr>
          <w:rFonts w:hint="eastAsia" w:cs="宋体"/>
          <w:b/>
          <w:color w:val="000000" w:themeColor="text1"/>
          <w:spacing w:val="-10"/>
          <w:szCs w:val="21"/>
          <w14:textFill>
            <w14:solidFill>
              <w14:schemeClr w14:val="tx1"/>
            </w14:solidFill>
          </w14:textFill>
        </w:rPr>
        <w:t>1、废气</w:t>
      </w:r>
    </w:p>
    <w:p w14:paraId="7C2B198B">
      <w:pPr>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firstLine="420" w:firstLineChars="200"/>
        <w:textAlignment w:val="auto"/>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拟建项目</w:t>
      </w:r>
      <w:r>
        <w:rPr>
          <w:rFonts w:hint="eastAsia"/>
          <w:color w:val="000000" w:themeColor="text1"/>
          <w:kern w:val="0"/>
          <w:szCs w:val="21"/>
          <w14:textFill>
            <w14:solidFill>
              <w14:schemeClr w14:val="tx1"/>
            </w14:solidFill>
          </w14:textFill>
        </w:rPr>
        <w:t>利旧闲置的</w:t>
      </w:r>
      <w:r>
        <w:rPr>
          <w:rFonts w:hint="eastAsia"/>
          <w:color w:val="000000" w:themeColor="text1"/>
          <w14:textFill>
            <w14:solidFill>
              <w14:schemeClr w14:val="tx1"/>
            </w14:solidFill>
          </w14:textFill>
        </w:rPr>
        <w:t xml:space="preserve"> C304 塔</w:t>
      </w:r>
      <w:r>
        <w:rPr>
          <w:rFonts w:hint="eastAsia"/>
          <w:color w:val="000000" w:themeColor="text1"/>
          <w:lang w:eastAsia="zh-CN"/>
          <w14:textFill>
            <w14:solidFill>
              <w14:schemeClr w14:val="tx1"/>
            </w14:solidFill>
          </w14:textFill>
        </w:rPr>
        <w:t>、</w:t>
      </w:r>
      <w:r>
        <w:rPr>
          <w:rFonts w:hint="eastAsia"/>
          <w:color w:val="000000" w:themeColor="text1"/>
          <w14:textFill>
            <w14:solidFill>
              <w14:schemeClr w14:val="tx1"/>
            </w14:solidFill>
          </w14:textFill>
        </w:rPr>
        <w:t xml:space="preserve"> C301 塔</w:t>
      </w:r>
      <w:r>
        <w:rPr>
          <w:rFonts w:hint="eastAsia"/>
          <w:color w:val="000000" w:themeColor="text1"/>
          <w:kern w:val="0"/>
          <w:szCs w:val="21"/>
          <w14:textFill>
            <w14:solidFill>
              <w14:schemeClr w14:val="tx1"/>
            </w14:solidFill>
          </w14:textFill>
        </w:rPr>
        <w:t>分离 S-Zorb 汽油低碳芳烃组分</w:t>
      </w:r>
      <w:r>
        <w:rPr>
          <w:rFonts w:hint="eastAsia"/>
          <w:color w:val="000000" w:themeColor="text1"/>
          <w:kern w:val="0"/>
          <w:szCs w:val="21"/>
          <w:lang w:eastAsia="zh-CN"/>
          <w14:textFill>
            <w14:solidFill>
              <w14:schemeClr w14:val="tx1"/>
            </w14:solidFill>
          </w14:textFill>
        </w:rPr>
        <w:t>，</w:t>
      </w:r>
      <w:r>
        <w:rPr>
          <w:rFonts w:hint="eastAsia"/>
          <w:color w:val="000000" w:themeColor="text1"/>
          <w:kern w:val="0"/>
          <w:szCs w:val="21"/>
          <w14:textFill>
            <w14:solidFill>
              <w14:schemeClr w14:val="tx1"/>
            </w14:solidFill>
          </w14:textFill>
        </w:rPr>
        <w:t>处理能力36000kg/h，设计操作弹性为设计负荷的60%-120%，按年开工8400h计，汽油组分油23.90808万吨/年至汽油罐区调和，石脑油6.33192万吨/年至403罐区</w:t>
      </w:r>
      <w:r>
        <w:rPr>
          <w:rFonts w:hint="eastAsia"/>
          <w:color w:val="000000" w:themeColor="text1"/>
          <w:kern w:val="0"/>
          <w:szCs w:val="21"/>
          <w:lang w:eastAsia="zh-CN"/>
          <w14:textFill>
            <w14:solidFill>
              <w14:schemeClr w14:val="tx1"/>
            </w14:solidFill>
          </w14:textFill>
        </w:rPr>
        <w:t>，</w:t>
      </w:r>
      <w:r>
        <w:rPr>
          <w:rFonts w:hint="eastAsia"/>
          <w:color w:val="000000" w:themeColor="text1"/>
          <w:kern w:val="0"/>
          <w:szCs w:val="21"/>
          <w:lang w:val="en-US" w:eastAsia="zh-CN"/>
          <w14:textFill>
            <w14:solidFill>
              <w14:schemeClr w14:val="tx1"/>
            </w14:solidFill>
          </w14:textFill>
        </w:rPr>
        <w:t>作为重整装置的原料，替代外购原料</w:t>
      </w:r>
      <w:r>
        <w:rPr>
          <w:rFonts w:hint="eastAsia"/>
          <w:color w:val="000000" w:themeColor="text1"/>
          <w:kern w:val="0"/>
          <w:szCs w:val="21"/>
          <w14:textFill>
            <w14:solidFill>
              <w14:schemeClr w14:val="tx1"/>
            </w14:solidFill>
          </w14:textFill>
        </w:rPr>
        <w:t>。</w:t>
      </w:r>
      <w:r>
        <w:rPr>
          <w:rFonts w:hint="eastAsia"/>
          <w:color w:val="000000" w:themeColor="text1"/>
          <w:kern w:val="0"/>
          <w:szCs w:val="21"/>
          <w:lang w:val="en-US" w:eastAsia="zh-CN"/>
          <w14:textFill>
            <w14:solidFill>
              <w14:schemeClr w14:val="tx1"/>
            </w14:solidFill>
          </w14:textFill>
        </w:rPr>
        <w:t>拟建项目建成后，</w:t>
      </w:r>
      <w:r>
        <w:rPr>
          <w:rFonts w:hint="eastAsia"/>
          <w:color w:val="000000" w:themeColor="text1"/>
          <w:kern w:val="0"/>
          <w:szCs w:val="21"/>
          <w14:textFill>
            <w14:solidFill>
              <w14:schemeClr w14:val="tx1"/>
            </w14:solidFill>
          </w14:textFill>
        </w:rPr>
        <w:t>403罐区</w:t>
      </w:r>
      <w:r>
        <w:rPr>
          <w:rFonts w:hint="eastAsia"/>
          <w:color w:val="000000" w:themeColor="text1"/>
          <w:kern w:val="0"/>
          <w:szCs w:val="21"/>
          <w:lang w:val="en-US" w:eastAsia="zh-CN"/>
          <w14:textFill>
            <w14:solidFill>
              <w14:schemeClr w14:val="tx1"/>
            </w14:solidFill>
          </w14:textFill>
        </w:rPr>
        <w:t>存储物质以及周转量不发生变化，</w:t>
      </w:r>
      <w:r>
        <w:rPr>
          <w:rFonts w:hint="eastAsia"/>
          <w:color w:val="000000" w:themeColor="text1"/>
          <w:kern w:val="0"/>
          <w:szCs w:val="21"/>
          <w14:textFill>
            <w14:solidFill>
              <w14:schemeClr w14:val="tx1"/>
            </w14:solidFill>
          </w14:textFill>
        </w:rPr>
        <w:t>汽油罐区</w:t>
      </w:r>
      <w:r>
        <w:rPr>
          <w:rFonts w:hint="eastAsia"/>
          <w:color w:val="000000" w:themeColor="text1"/>
          <w:kern w:val="0"/>
          <w:szCs w:val="21"/>
          <w:lang w:val="en-US" w:eastAsia="zh-CN"/>
          <w14:textFill>
            <w14:solidFill>
              <w14:schemeClr w14:val="tx1"/>
            </w14:solidFill>
          </w14:textFill>
        </w:rPr>
        <w:t>存储物质不发生变化，但周转量减少6.33192万吨/年。</w:t>
      </w:r>
    </w:p>
    <w:p w14:paraId="546F0FDC">
      <w:pPr>
        <w:pStyle w:val="3"/>
        <w:rPr>
          <w:rFonts w:hint="eastAsia"/>
          <w:color w:val="000000" w:themeColor="text1"/>
          <w:kern w:val="0"/>
          <w:szCs w:val="21"/>
          <w:lang w:val="en-US" w:eastAsia="zh-CN"/>
          <w14:textFill>
            <w14:solidFill>
              <w14:schemeClr w14:val="tx1"/>
            </w14:solidFill>
          </w14:textFill>
        </w:rPr>
      </w:pPr>
      <w:r>
        <w:rPr>
          <w:rFonts w:hint="eastAsia" w:cs="宋体"/>
          <w:bCs/>
          <w:color w:val="000000" w:themeColor="text1"/>
          <w:szCs w:val="21"/>
          <w:lang w:val="en-US" w:eastAsia="zh-CN"/>
          <w14:textFill>
            <w14:solidFill>
              <w14:schemeClr w14:val="tx1"/>
            </w14:solidFill>
          </w14:textFill>
        </w:rPr>
        <w:t>因此，</w:t>
      </w:r>
      <w:r>
        <w:rPr>
          <w:rFonts w:hint="eastAsia" w:cs="宋体"/>
          <w:bCs/>
          <w:color w:val="000000" w:themeColor="text1"/>
          <w:szCs w:val="21"/>
          <w14:textFill>
            <w14:solidFill>
              <w14:schemeClr w14:val="tx1"/>
            </w14:solidFill>
          </w14:textFill>
        </w:rPr>
        <w:t>拟建项目废气为装置区设备、管、阀门密封点泄露废气，循环冷却系统无组织废气</w:t>
      </w:r>
      <w:r>
        <w:rPr>
          <w:rFonts w:hint="eastAsia" w:cs="宋体"/>
          <w:bCs/>
          <w:color w:val="000000" w:themeColor="text1"/>
          <w:szCs w:val="21"/>
          <w:lang w:eastAsia="zh-CN"/>
          <w14:textFill>
            <w14:solidFill>
              <w14:schemeClr w14:val="tx1"/>
            </w14:solidFill>
          </w14:textFill>
        </w:rPr>
        <w:t>；</w:t>
      </w:r>
      <w:r>
        <w:rPr>
          <w:rFonts w:hint="eastAsia" w:cs="宋体"/>
          <w:bCs/>
          <w:color w:val="000000" w:themeColor="text1"/>
          <w:szCs w:val="21"/>
          <w:lang w:val="en-US" w:eastAsia="zh-CN"/>
          <w14:textFill>
            <w14:solidFill>
              <w14:schemeClr w14:val="tx1"/>
            </w14:solidFill>
          </w14:textFill>
        </w:rPr>
        <w:t>拟建项目以新带老废气为汽油罐区减少</w:t>
      </w:r>
      <w:r>
        <w:rPr>
          <w:rFonts w:hint="eastAsia"/>
          <w:color w:val="000000" w:themeColor="text1"/>
          <w:kern w:val="0"/>
          <w:szCs w:val="21"/>
          <w:lang w:val="en-US" w:eastAsia="zh-CN"/>
          <w14:textFill>
            <w14:solidFill>
              <w14:schemeClr w14:val="tx1"/>
            </w14:solidFill>
          </w14:textFill>
        </w:rPr>
        <w:t>周转量6.33192万吨/年存储废气。</w:t>
      </w:r>
    </w:p>
    <w:p w14:paraId="44096427">
      <w:pPr>
        <w:keepNext w:val="0"/>
        <w:keepLines w:val="0"/>
        <w:pageBreakBefore w:val="0"/>
        <w:widowControl/>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根据《环境影响评价技术导则 大气环境》（HJ2.2-2018），本项目采用AERSCREEN估算模式计算出无组织非甲烷总烃浓度</w:t>
      </w:r>
      <w:r>
        <w:rPr>
          <w:rFonts w:hint="eastAsia"/>
          <w:bCs/>
          <w:color w:val="000000" w:themeColor="text1"/>
          <w:szCs w:val="21"/>
          <w:highlight w:val="none"/>
          <w14:textFill>
            <w14:solidFill>
              <w14:schemeClr w14:val="tx1"/>
            </w14:solidFill>
          </w14:textFill>
        </w:rPr>
        <w:t>满足</w:t>
      </w:r>
      <w:r>
        <w:rPr>
          <w:rFonts w:hint="eastAsia"/>
          <w:bCs/>
          <w:color w:val="000000" w:themeColor="text1"/>
          <w:szCs w:val="21"/>
          <w14:textFill>
            <w14:solidFill>
              <w14:schemeClr w14:val="tx1"/>
            </w14:solidFill>
          </w14:textFill>
        </w:rPr>
        <w:t>《石油炼制工业污染物排放标准》（GB31570-2015）（含2024年修改单）</w:t>
      </w:r>
      <w:r>
        <w:rPr>
          <w:rFonts w:hint="eastAsia"/>
          <w:bCs/>
          <w:color w:val="000000" w:themeColor="text1"/>
          <w:szCs w:val="21"/>
          <w:lang w:val="en-US" w:eastAsia="zh-CN"/>
          <w14:textFill>
            <w14:solidFill>
              <w14:schemeClr w14:val="tx1"/>
            </w14:solidFill>
          </w14:textFill>
        </w:rPr>
        <w:t>表5企业边界大气污染物浓度限值以</w:t>
      </w:r>
      <w:r>
        <w:rPr>
          <w:rFonts w:hint="eastAsia"/>
          <w:bCs/>
          <w:color w:val="000000" w:themeColor="text1"/>
          <w:szCs w:val="21"/>
          <w:highlight w:val="none"/>
          <w14:textFill>
            <w14:solidFill>
              <w14:schemeClr w14:val="tx1"/>
            </w14:solidFill>
          </w14:textFill>
        </w:rPr>
        <w:t>及</w:t>
      </w:r>
      <w:r>
        <w:rPr>
          <w:rFonts w:hint="eastAsia" w:cs="宋体"/>
          <w:color w:val="000000" w:themeColor="text1"/>
          <w:kern w:val="0"/>
          <w:szCs w:val="21"/>
          <w14:textFill>
            <w14:solidFill>
              <w14:schemeClr w14:val="tx1"/>
            </w14:solidFill>
          </w14:textFill>
        </w:rPr>
        <w:t>《工业企业挥发性有机物排放控制标准》（</w:t>
      </w:r>
      <w:r>
        <w:rPr>
          <w:rFonts w:hint="eastAsia" w:cs="宋体"/>
          <w:color w:val="000000" w:themeColor="text1"/>
          <w:kern w:val="0"/>
          <w:szCs w:val="21"/>
          <w:lang w:val="en-US" w:eastAsia="zh-CN"/>
          <w14:textFill>
            <w14:solidFill>
              <w14:schemeClr w14:val="tx1"/>
            </w14:solidFill>
          </w14:textFill>
        </w:rPr>
        <w:t>D</w:t>
      </w:r>
      <w:r>
        <w:rPr>
          <w:rFonts w:hint="eastAsia" w:cs="宋体"/>
          <w:color w:val="000000" w:themeColor="text1"/>
          <w:kern w:val="0"/>
          <w:szCs w:val="21"/>
          <w14:textFill>
            <w14:solidFill>
              <w14:schemeClr w14:val="tx1"/>
            </w14:solidFill>
          </w14:textFill>
        </w:rPr>
        <w:t>B</w:t>
      </w:r>
      <w:r>
        <w:rPr>
          <w:rFonts w:hint="eastAsia" w:cs="宋体"/>
          <w:color w:val="000000" w:themeColor="text1"/>
          <w:kern w:val="0"/>
          <w:szCs w:val="21"/>
          <w:lang w:val="en-US" w:eastAsia="zh-CN"/>
          <w14:textFill>
            <w14:solidFill>
              <w14:schemeClr w14:val="tx1"/>
            </w14:solidFill>
          </w14:textFill>
        </w:rPr>
        <w:t>13/2322</w:t>
      </w:r>
      <w:r>
        <w:rPr>
          <w:rFonts w:hint="eastAsia" w:cs="宋体"/>
          <w:color w:val="000000" w:themeColor="text1"/>
          <w:kern w:val="0"/>
          <w:szCs w:val="21"/>
          <w14:textFill>
            <w14:solidFill>
              <w14:schemeClr w14:val="tx1"/>
            </w14:solidFill>
          </w14:textFill>
        </w:rPr>
        <w:t>-</w:t>
      </w:r>
      <w:r>
        <w:rPr>
          <w:rFonts w:hint="eastAsia" w:cs="宋体"/>
          <w:color w:val="000000" w:themeColor="text1"/>
          <w:kern w:val="0"/>
          <w:szCs w:val="21"/>
          <w:lang w:val="en-US" w:eastAsia="zh-CN"/>
          <w14:textFill>
            <w14:solidFill>
              <w14:schemeClr w14:val="tx1"/>
            </w14:solidFill>
          </w14:textFill>
        </w:rPr>
        <w:t>2025</w:t>
      </w:r>
      <w:r>
        <w:rPr>
          <w:rFonts w:hint="eastAsia" w:cs="宋体"/>
          <w:color w:val="000000" w:themeColor="text1"/>
          <w:kern w:val="0"/>
          <w:szCs w:val="21"/>
          <w14:textFill>
            <w14:solidFill>
              <w14:schemeClr w14:val="tx1"/>
            </w14:solidFill>
          </w14:textFill>
        </w:rPr>
        <w:t>）</w:t>
      </w:r>
      <w:r>
        <w:rPr>
          <w:rFonts w:hint="eastAsia" w:cs="宋体"/>
          <w:color w:val="000000" w:themeColor="text1"/>
          <w:kern w:val="0"/>
          <w:szCs w:val="21"/>
          <w:lang w:val="en-US" w:eastAsia="zh-CN"/>
          <w14:textFill>
            <w14:solidFill>
              <w14:schemeClr w14:val="tx1"/>
            </w14:solidFill>
          </w14:textFill>
        </w:rPr>
        <w:t>表2厂区内挥发性有机物无组织排放限值</w:t>
      </w:r>
      <w:r>
        <w:rPr>
          <w:rFonts w:hint="eastAsia" w:cs="宋体"/>
          <w:color w:val="000000" w:themeColor="text1"/>
          <w:kern w:val="0"/>
          <w:szCs w:val="21"/>
          <w14:textFill>
            <w14:solidFill>
              <w14:schemeClr w14:val="tx1"/>
            </w14:solidFill>
          </w14:textFill>
        </w:rPr>
        <w:t>要求</w:t>
      </w:r>
      <w:r>
        <w:rPr>
          <w:rFonts w:hint="eastAsia" w:cs="宋体"/>
          <w:color w:val="000000" w:themeColor="text1"/>
          <w:kern w:val="0"/>
          <w:szCs w:val="21"/>
          <w:lang w:val="en-US" w:eastAsia="zh-CN"/>
          <w14:textFill>
            <w14:solidFill>
              <w14:schemeClr w14:val="tx1"/>
            </w14:solidFill>
          </w14:textFill>
        </w:rPr>
        <w:t>以及</w:t>
      </w:r>
      <w:r>
        <w:rPr>
          <w:rFonts w:hint="eastAsia"/>
          <w:bCs/>
          <w:color w:val="000000" w:themeColor="text1"/>
          <w:szCs w:val="21"/>
          <w:highlight w:val="none"/>
          <w14:textFill>
            <w14:solidFill>
              <w14:schemeClr w14:val="tx1"/>
            </w14:solidFill>
          </w14:textFill>
        </w:rPr>
        <w:t>《挥发性有机物无组织排放控制标准》（GB37822-2019）厂区内VOCs无组织特别排放限值要求</w:t>
      </w:r>
      <w:r>
        <w:rPr>
          <w:rFonts w:hint="default" w:ascii="Times New Roman" w:hAnsi="Times New Roman" w:cs="Times New Roman"/>
          <w:color w:val="000000" w:themeColor="text1"/>
          <w:sz w:val="24"/>
          <w:highlight w:val="none"/>
          <w14:textFill>
            <w14:solidFill>
              <w14:schemeClr w14:val="tx1"/>
            </w14:solidFill>
          </w14:textFill>
        </w:rPr>
        <w:t>。</w:t>
      </w:r>
    </w:p>
    <w:p w14:paraId="7DA8579B">
      <w:pPr>
        <w:keepNext w:val="0"/>
        <w:keepLines w:val="0"/>
        <w:pageBreakBefore w:val="0"/>
        <w:widowControl/>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综上所述，采用上述措施后，项目废气排放对周围大气环境影响较小。</w:t>
      </w:r>
    </w:p>
    <w:p w14:paraId="1121B72C">
      <w:pPr>
        <w:adjustRightInd w:val="0"/>
        <w:snapToGrid w:val="0"/>
        <w:spacing w:line="480" w:lineRule="exact"/>
        <w:ind w:firstLine="382" w:firstLineChars="200"/>
        <w:rPr>
          <w:rFonts w:cs="宋体"/>
          <w:b/>
          <w:color w:val="000000" w:themeColor="text1"/>
          <w:spacing w:val="-10"/>
          <w:szCs w:val="21"/>
          <w14:textFill>
            <w14:solidFill>
              <w14:schemeClr w14:val="tx1"/>
            </w14:solidFill>
          </w14:textFill>
        </w:rPr>
      </w:pPr>
      <w:r>
        <w:rPr>
          <w:rFonts w:hint="eastAsia" w:cs="宋体"/>
          <w:b/>
          <w:color w:val="000000" w:themeColor="text1"/>
          <w:spacing w:val="-10"/>
          <w:szCs w:val="21"/>
          <w14:textFill>
            <w14:solidFill>
              <w14:schemeClr w14:val="tx1"/>
            </w14:solidFill>
          </w14:textFill>
        </w:rPr>
        <w:t>2、废水</w:t>
      </w:r>
    </w:p>
    <w:p w14:paraId="45EFAF8A">
      <w:pPr>
        <w:adjustRightInd w:val="0"/>
        <w:snapToGrid w:val="0"/>
        <w:spacing w:line="480" w:lineRule="exact"/>
        <w:ind w:firstLine="420" w:firstLineChars="200"/>
        <w:rPr>
          <w:rFonts w:hint="default" w:eastAsia="宋体" w:cs="宋体"/>
          <w:bCs/>
          <w:color w:val="000000" w:themeColor="text1"/>
          <w:spacing w:val="-10"/>
          <w:szCs w:val="21"/>
          <w:lang w:val="en-US" w:eastAsia="zh-CN"/>
          <w14:textFill>
            <w14:solidFill>
              <w14:schemeClr w14:val="tx1"/>
            </w14:solidFill>
          </w14:textFill>
        </w:rPr>
      </w:pPr>
      <w:r>
        <w:rPr>
          <w:rFonts w:hint="eastAsia" w:cs="宋体"/>
          <w:bCs/>
          <w:color w:val="000000" w:themeColor="text1"/>
          <w:szCs w:val="21"/>
          <w14:textFill>
            <w14:solidFill>
              <w14:schemeClr w14:val="tx1"/>
            </w14:solidFill>
          </w14:textFill>
        </w:rPr>
        <w:t>本项目不新增劳动定员，项目建成后不增加生活污水产生量。本项目产生的废水主要为</w:t>
      </w:r>
      <w:r>
        <w:rPr>
          <w:rFonts w:hint="eastAsia" w:cs="宋体"/>
          <w:bCs/>
          <w:color w:val="000000" w:themeColor="text1"/>
          <w:szCs w:val="21"/>
          <w:lang w:val="en-US" w:eastAsia="zh-CN"/>
          <w14:textFill>
            <w14:solidFill>
              <w14:schemeClr w14:val="tx1"/>
            </w14:solidFill>
          </w14:textFill>
        </w:rPr>
        <w:t>循环水排污水。</w:t>
      </w:r>
      <w:r>
        <w:rPr>
          <w:rFonts w:hint="eastAsia" w:cs="宋体"/>
          <w:bCs/>
          <w:color w:val="000000" w:themeColor="text1"/>
          <w:spacing w:val="-10"/>
          <w:szCs w:val="21"/>
          <w:lang w:val="en-US" w:eastAsia="zh-CN"/>
          <w14:textFill>
            <w14:solidFill>
              <w14:schemeClr w14:val="tx1"/>
            </w14:solidFill>
          </w14:textFill>
        </w:rPr>
        <w:t>拟建项目循环水排污水排放量为14.4</w:t>
      </w:r>
      <w:r>
        <w:rPr>
          <w:rFonts w:hint="eastAsia"/>
          <w:color w:val="000000" w:themeColor="text1"/>
          <w:sz w:val="24"/>
          <w14:textFill>
            <w14:solidFill>
              <w14:schemeClr w14:val="tx1"/>
            </w14:solidFill>
          </w14:textFill>
        </w:rPr>
        <w:t>m</w:t>
      </w:r>
      <w:r>
        <w:rPr>
          <w:rFonts w:hint="eastAsia"/>
          <w:color w:val="000000" w:themeColor="text1"/>
          <w:sz w:val="24"/>
          <w:vertAlign w:val="superscript"/>
          <w14:textFill>
            <w14:solidFill>
              <w14:schemeClr w14:val="tx1"/>
            </w14:solidFill>
          </w14:textFill>
        </w:rPr>
        <w:t>3</w:t>
      </w:r>
      <w:r>
        <w:rPr>
          <w:rFonts w:hint="eastAsia"/>
          <w:color w:val="000000" w:themeColor="text1"/>
          <w:sz w:val="24"/>
          <w14:textFill>
            <w14:solidFill>
              <w14:schemeClr w14:val="tx1"/>
            </w14:solidFill>
          </w14:textFill>
        </w:rPr>
        <w:t>/</w:t>
      </w:r>
      <w:r>
        <w:rPr>
          <w:rFonts w:hint="eastAsia"/>
          <w:color w:val="000000" w:themeColor="text1"/>
          <w:sz w:val="24"/>
          <w:lang w:val="en-US" w:eastAsia="zh-CN"/>
          <w14:textFill>
            <w14:solidFill>
              <w14:schemeClr w14:val="tx1"/>
            </w14:solidFill>
          </w14:textFill>
        </w:rPr>
        <w:t>d，</w:t>
      </w:r>
      <w:r>
        <w:rPr>
          <w:rFonts w:hint="eastAsia" w:cs="宋体"/>
          <w:bCs/>
          <w:color w:val="000000" w:themeColor="text1"/>
          <w:szCs w:val="21"/>
          <w:lang w:val="en-US" w:eastAsia="zh-CN"/>
          <w14:textFill>
            <w14:solidFill>
              <w14:schemeClr w14:val="tx1"/>
            </w14:solidFill>
          </w14:textFill>
        </w:rPr>
        <w:t>送炼油污水处理站含油污水处理装置处理后回用，不外排。</w:t>
      </w:r>
    </w:p>
    <w:p w14:paraId="7DB9A430">
      <w:pPr>
        <w:adjustRightInd w:val="0"/>
        <w:snapToGrid w:val="0"/>
        <w:spacing w:line="480" w:lineRule="exact"/>
        <w:ind w:firstLine="382" w:firstLineChars="200"/>
        <w:rPr>
          <w:rFonts w:cs="宋体"/>
          <w:b/>
          <w:color w:val="000000" w:themeColor="text1"/>
          <w:spacing w:val="-10"/>
          <w:szCs w:val="21"/>
          <w14:textFill>
            <w14:solidFill>
              <w14:schemeClr w14:val="tx1"/>
            </w14:solidFill>
          </w14:textFill>
        </w:rPr>
      </w:pPr>
      <w:r>
        <w:rPr>
          <w:rFonts w:hint="eastAsia" w:cs="宋体"/>
          <w:b/>
          <w:color w:val="000000" w:themeColor="text1"/>
          <w:spacing w:val="-10"/>
          <w:szCs w:val="21"/>
          <w14:textFill>
            <w14:solidFill>
              <w14:schemeClr w14:val="tx1"/>
            </w14:solidFill>
          </w14:textFill>
        </w:rPr>
        <w:t>3、噪声</w:t>
      </w:r>
    </w:p>
    <w:p w14:paraId="131E2396">
      <w:pPr>
        <w:pStyle w:val="7"/>
        <w:ind w:firstLine="480"/>
        <w:rPr>
          <w:rFonts w:hint="eastAsia"/>
          <w:color w:val="000000" w:themeColor="text1"/>
          <w14:textFill>
            <w14:solidFill>
              <w14:schemeClr w14:val="tx1"/>
            </w14:solidFill>
          </w14:textFill>
        </w:rPr>
      </w:pPr>
      <w:r>
        <w:rPr>
          <w:color w:val="000000" w:themeColor="text1"/>
          <w:sz w:val="24"/>
          <w:szCs w:val="22"/>
          <w14:textFill>
            <w14:solidFill>
              <w14:schemeClr w14:val="tx1"/>
            </w14:solidFill>
          </w14:textFill>
        </w:rPr>
        <w:t>拟建项目噪声主要设备产生的噪声，声级值在80dB（A）</w:t>
      </w:r>
      <w:r>
        <w:rPr>
          <w:rFonts w:hint="eastAsia"/>
          <w:color w:val="000000" w:themeColor="text1"/>
          <w:sz w:val="24"/>
          <w:szCs w:val="22"/>
          <w14:textFill>
            <w14:solidFill>
              <w14:schemeClr w14:val="tx1"/>
            </w14:solidFill>
          </w14:textFill>
        </w:rPr>
        <w:t>-110</w:t>
      </w:r>
      <w:r>
        <w:rPr>
          <w:color w:val="000000" w:themeColor="text1"/>
          <w:sz w:val="24"/>
          <w:szCs w:val="22"/>
          <w14:textFill>
            <w14:solidFill>
              <w14:schemeClr w14:val="tx1"/>
            </w14:solidFill>
          </w14:textFill>
        </w:rPr>
        <w:t>dB（A）之间。</w:t>
      </w:r>
      <w:r>
        <w:rPr>
          <w:color w:val="000000" w:themeColor="text1"/>
          <w14:textFill>
            <w14:solidFill>
              <w14:schemeClr w14:val="tx1"/>
            </w14:solidFill>
          </w14:textFill>
        </w:rPr>
        <w:t>拟建项目产噪设备均采取了相应的减噪措施，经过距离削减后，噪声影响很小。</w:t>
      </w:r>
      <w:r>
        <w:rPr>
          <w:rFonts w:hint="eastAsia"/>
          <w:color w:val="000000" w:themeColor="text1"/>
          <w14:textFill>
            <w14:solidFill>
              <w14:schemeClr w14:val="tx1"/>
            </w14:solidFill>
          </w14:textFill>
        </w:rPr>
        <w:t>拟建项目实施后，采取相应降噪措施，新增产噪设备对厂界噪声贡献值满足《工业企业厂界环境噪声排放标准》(GB12348-2008)3类标准。</w:t>
      </w:r>
    </w:p>
    <w:p w14:paraId="07B6F759">
      <w:pPr>
        <w:pStyle w:val="7"/>
        <w:ind w:firstLine="480"/>
        <w:rPr>
          <w:color w:val="000000" w:themeColor="text1"/>
          <w14:textFill>
            <w14:solidFill>
              <w14:schemeClr w14:val="tx1"/>
            </w14:solidFill>
          </w14:textFill>
        </w:rPr>
      </w:pPr>
      <w:r>
        <w:rPr>
          <w:rFonts w:hint="eastAsia"/>
          <w:color w:val="000000" w:themeColor="text1"/>
          <w14:textFill>
            <w14:solidFill>
              <w14:schemeClr w14:val="tx1"/>
            </w14:solidFill>
          </w14:textFill>
        </w:rPr>
        <w:t>综上所述，项目建成后设备噪声不会对周围环境产生明显影响。</w:t>
      </w:r>
    </w:p>
    <w:p w14:paraId="19231352">
      <w:pPr>
        <w:adjustRightInd w:val="0"/>
        <w:snapToGrid w:val="0"/>
        <w:spacing w:line="480" w:lineRule="exact"/>
        <w:ind w:firstLine="382" w:firstLineChars="200"/>
        <w:rPr>
          <w:rFonts w:cs="宋体"/>
          <w:b/>
          <w:color w:val="000000" w:themeColor="text1"/>
          <w:spacing w:val="-10"/>
          <w:szCs w:val="21"/>
          <w14:textFill>
            <w14:solidFill>
              <w14:schemeClr w14:val="tx1"/>
            </w14:solidFill>
          </w14:textFill>
        </w:rPr>
      </w:pPr>
      <w:r>
        <w:rPr>
          <w:rFonts w:hint="eastAsia" w:cs="宋体"/>
          <w:b/>
          <w:color w:val="000000" w:themeColor="text1"/>
          <w:spacing w:val="-10"/>
          <w:szCs w:val="21"/>
          <w14:textFill>
            <w14:solidFill>
              <w14:schemeClr w14:val="tx1"/>
            </w14:solidFill>
          </w14:textFill>
        </w:rPr>
        <w:t>4、固体废物</w:t>
      </w:r>
    </w:p>
    <w:p w14:paraId="71A8FD83">
      <w:pPr>
        <w:adjustRightInd w:val="0"/>
        <w:snapToGrid w:val="0"/>
        <w:spacing w:line="480" w:lineRule="exact"/>
        <w:ind w:firstLine="420" w:firstLineChars="200"/>
        <w:rPr>
          <w:rFonts w:cs="宋体"/>
          <w:bCs/>
          <w:color w:val="000000" w:themeColor="text1"/>
          <w:szCs w:val="21"/>
          <w14:textFill>
            <w14:solidFill>
              <w14:schemeClr w14:val="tx1"/>
            </w14:solidFill>
          </w14:textFill>
        </w:rPr>
      </w:pPr>
      <w:r>
        <w:rPr>
          <w:rFonts w:hint="eastAsia" w:cs="宋体"/>
          <w:bCs/>
          <w:color w:val="000000" w:themeColor="text1"/>
          <w:szCs w:val="21"/>
          <w14:textFill>
            <w14:solidFill>
              <w14:schemeClr w14:val="tx1"/>
            </w14:solidFill>
          </w14:textFill>
        </w:rPr>
        <w:t>项目不新增劳动定员，营运期无固体废物产生。</w:t>
      </w:r>
    </w:p>
    <w:p w14:paraId="7B128ACA">
      <w:pPr>
        <w:adjustRightInd w:val="0"/>
        <w:snapToGrid w:val="0"/>
        <w:spacing w:line="480" w:lineRule="exact"/>
        <w:ind w:firstLine="382" w:firstLineChars="200"/>
        <w:rPr>
          <w:rFonts w:cs="宋体"/>
          <w:b/>
          <w:color w:val="000000" w:themeColor="text1"/>
          <w:spacing w:val="-10"/>
          <w:szCs w:val="21"/>
          <w14:textFill>
            <w14:solidFill>
              <w14:schemeClr w14:val="tx1"/>
            </w14:solidFill>
          </w14:textFill>
        </w:rPr>
      </w:pPr>
      <w:r>
        <w:rPr>
          <w:rFonts w:hint="eastAsia" w:cs="宋体"/>
          <w:b/>
          <w:color w:val="000000" w:themeColor="text1"/>
          <w:spacing w:val="-10"/>
          <w:szCs w:val="21"/>
          <w14:textFill>
            <w14:solidFill>
              <w14:schemeClr w14:val="tx1"/>
            </w14:solidFill>
          </w14:textFill>
        </w:rPr>
        <w:t>5、地下水、土壤</w:t>
      </w:r>
    </w:p>
    <w:p w14:paraId="11635F7F">
      <w:pPr>
        <w:adjustRightInd w:val="0"/>
        <w:snapToGrid w:val="0"/>
        <w:spacing w:line="480" w:lineRule="exact"/>
        <w:ind w:firstLine="420" w:firstLineChars="200"/>
        <w:rPr>
          <w:rFonts w:cs="宋体"/>
          <w:bCs/>
          <w:color w:val="000000" w:themeColor="text1"/>
          <w:szCs w:val="21"/>
          <w14:textFill>
            <w14:solidFill>
              <w14:schemeClr w14:val="tx1"/>
            </w14:solidFill>
          </w14:textFill>
        </w:rPr>
      </w:pPr>
      <w:r>
        <w:rPr>
          <w:rFonts w:hint="eastAsia" w:cs="宋体"/>
          <w:bCs/>
          <w:color w:val="000000" w:themeColor="text1"/>
          <w:szCs w:val="21"/>
          <w14:textFill>
            <w14:solidFill>
              <w14:schemeClr w14:val="tx1"/>
            </w14:solidFill>
          </w14:textFill>
        </w:rPr>
        <w:t>2#气分装置已按照要求设置防渗措施，正常情况下不存在土壤及地下水污染途径。</w:t>
      </w:r>
    </w:p>
    <w:p w14:paraId="2C534535">
      <w:pPr>
        <w:adjustRightInd w:val="0"/>
        <w:snapToGrid w:val="0"/>
        <w:spacing w:line="480" w:lineRule="exact"/>
        <w:ind w:firstLine="420" w:firstLineChars="200"/>
        <w:rPr>
          <w:rFonts w:cs="宋体"/>
          <w:bCs/>
          <w:color w:val="000000" w:themeColor="text1"/>
          <w:szCs w:val="21"/>
          <w14:textFill>
            <w14:solidFill>
              <w14:schemeClr w14:val="tx1"/>
            </w14:solidFill>
          </w14:textFill>
        </w:rPr>
      </w:pPr>
      <w:r>
        <w:rPr>
          <w:rFonts w:hint="eastAsia" w:cs="宋体"/>
          <w:bCs/>
          <w:color w:val="000000" w:themeColor="text1"/>
          <w:szCs w:val="21"/>
          <w14:textFill>
            <w14:solidFill>
              <w14:schemeClr w14:val="tx1"/>
            </w14:solidFill>
          </w14:textFill>
        </w:rPr>
        <w:t>具体防渗措施如下：</w:t>
      </w:r>
    </w:p>
    <w:p w14:paraId="1192D354">
      <w:pPr>
        <w:adjustRightInd w:val="0"/>
        <w:snapToGrid w:val="0"/>
        <w:spacing w:line="480" w:lineRule="exact"/>
        <w:ind w:firstLine="420" w:firstLineChars="200"/>
        <w:rPr>
          <w:rFonts w:cs="宋体"/>
          <w:bCs/>
          <w:color w:val="000000" w:themeColor="text1"/>
          <w:szCs w:val="21"/>
          <w14:textFill>
            <w14:solidFill>
              <w14:schemeClr w14:val="tx1"/>
            </w14:solidFill>
          </w14:textFill>
        </w:rPr>
      </w:pPr>
      <w:r>
        <w:rPr>
          <w:rFonts w:hint="eastAsia" w:cs="宋体"/>
          <w:color w:val="000000" w:themeColor="text1"/>
          <w14:textFill>
            <w14:solidFill>
              <w14:schemeClr w14:val="tx1"/>
            </w14:solidFill>
          </w14:textFill>
        </w:rPr>
        <w:t>项目装置区及依托罐区地面已进行重点防渗，防渗层渗透系数小于1×10</w:t>
      </w:r>
      <w:r>
        <w:rPr>
          <w:rFonts w:hint="eastAsia" w:cs="宋体"/>
          <w:color w:val="000000" w:themeColor="text1"/>
          <w:vertAlign w:val="superscript"/>
          <w14:textFill>
            <w14:solidFill>
              <w14:schemeClr w14:val="tx1"/>
            </w14:solidFill>
          </w14:textFill>
        </w:rPr>
        <w:t>-7</w:t>
      </w:r>
      <w:r>
        <w:rPr>
          <w:rFonts w:hint="eastAsia" w:cs="宋体"/>
          <w:color w:val="000000" w:themeColor="text1"/>
          <w14:textFill>
            <w14:solidFill>
              <w14:schemeClr w14:val="tx1"/>
            </w14:solidFill>
          </w14:textFill>
        </w:rPr>
        <w:t>cm/s，等效粘土厚度大于等于6cm。</w:t>
      </w:r>
    </w:p>
    <w:p w14:paraId="48C20586">
      <w:pPr>
        <w:adjustRightInd w:val="0"/>
        <w:snapToGrid w:val="0"/>
        <w:spacing w:line="480" w:lineRule="exact"/>
        <w:ind w:firstLine="420" w:firstLineChars="200"/>
        <w:rPr>
          <w:rFonts w:cs="宋体"/>
          <w:bCs/>
          <w:color w:val="000000" w:themeColor="text1"/>
          <w:szCs w:val="21"/>
          <w14:textFill>
            <w14:solidFill>
              <w14:schemeClr w14:val="tx1"/>
            </w14:solidFill>
          </w14:textFill>
        </w:rPr>
      </w:pPr>
      <w:r>
        <w:rPr>
          <w:rFonts w:hint="eastAsia" w:cs="宋体"/>
          <w:bCs/>
          <w:color w:val="000000" w:themeColor="text1"/>
          <w:szCs w:val="21"/>
          <w14:textFill>
            <w14:solidFill>
              <w14:schemeClr w14:val="tx1"/>
            </w14:solidFill>
          </w14:textFill>
        </w:rPr>
        <w:t>采取上述防渗措施后，项目正常情况下无地下水及土壤污染途径。目前，石炼化按照《排污单位自行监测技术指南 石油</w:t>
      </w:r>
      <w:r>
        <w:rPr>
          <w:rFonts w:hint="eastAsia" w:cs="宋体"/>
          <w:bCs/>
          <w:color w:val="000000" w:themeColor="text1"/>
          <w:szCs w:val="21"/>
          <w:lang w:val="en-US" w:eastAsia="zh-CN"/>
          <w14:textFill>
            <w14:solidFill>
              <w14:schemeClr w14:val="tx1"/>
            </w14:solidFill>
          </w14:textFill>
        </w:rPr>
        <w:t>炼制</w:t>
      </w:r>
      <w:r>
        <w:rPr>
          <w:rFonts w:hint="eastAsia" w:cs="宋体"/>
          <w:bCs/>
          <w:color w:val="000000" w:themeColor="text1"/>
          <w:szCs w:val="21"/>
          <w14:textFill>
            <w14:solidFill>
              <w14:schemeClr w14:val="tx1"/>
            </w14:solidFill>
          </w14:textFill>
        </w:rPr>
        <w:t>工业》（HJ 947-2018）、《工业企业土壤和地下水自行监测技术指南（试行）》（HJ 1209-2021）等要求制定有完善的土壤及地下水跟踪监测计划。其中，土壤及地下水基本因子监测周期为1次/5年，特征因子1次/年；本项目实施后依托现有跟踪监测计划对土壤及地下水进行跟踪监测。</w:t>
      </w:r>
    </w:p>
    <w:p w14:paraId="565AAE82">
      <w:pPr>
        <w:adjustRightInd w:val="0"/>
        <w:snapToGrid w:val="0"/>
        <w:spacing w:line="480" w:lineRule="exact"/>
        <w:ind w:firstLine="382" w:firstLineChars="200"/>
        <w:rPr>
          <w:rFonts w:cs="宋体"/>
          <w:b/>
          <w:color w:val="000000" w:themeColor="text1"/>
          <w:spacing w:val="-10"/>
          <w:szCs w:val="21"/>
          <w14:textFill>
            <w14:solidFill>
              <w14:schemeClr w14:val="tx1"/>
            </w14:solidFill>
          </w14:textFill>
        </w:rPr>
      </w:pPr>
      <w:r>
        <w:rPr>
          <w:rFonts w:cs="宋体"/>
          <w:b/>
          <w:color w:val="000000" w:themeColor="text1"/>
          <w:spacing w:val="-10"/>
          <w:szCs w:val="21"/>
          <w14:textFill>
            <w14:solidFill>
              <w14:schemeClr w14:val="tx1"/>
            </w14:solidFill>
          </w14:textFill>
        </w:rPr>
        <w:t>6</w:t>
      </w:r>
      <w:r>
        <w:rPr>
          <w:rFonts w:hint="eastAsia" w:cs="宋体"/>
          <w:b/>
          <w:color w:val="000000" w:themeColor="text1"/>
          <w:spacing w:val="-10"/>
          <w:szCs w:val="21"/>
          <w14:textFill>
            <w14:solidFill>
              <w14:schemeClr w14:val="tx1"/>
            </w14:solidFill>
          </w14:textFill>
        </w:rPr>
        <w:t>、生态</w:t>
      </w:r>
    </w:p>
    <w:p w14:paraId="6FE5A058">
      <w:pPr>
        <w:adjustRightInd w:val="0"/>
        <w:snapToGrid w:val="0"/>
        <w:spacing w:line="480" w:lineRule="exact"/>
        <w:ind w:firstLine="420" w:firstLineChars="200"/>
        <w:rPr>
          <w:rFonts w:cs="宋体"/>
          <w:bCs/>
          <w:color w:val="000000" w:themeColor="text1"/>
          <w:szCs w:val="21"/>
          <w14:textFill>
            <w14:solidFill>
              <w14:schemeClr w14:val="tx1"/>
            </w14:solidFill>
          </w14:textFill>
        </w:rPr>
      </w:pPr>
      <w:r>
        <w:rPr>
          <w:rFonts w:hint="eastAsia" w:cs="宋体"/>
          <w:bCs/>
          <w:color w:val="000000" w:themeColor="text1"/>
          <w:szCs w:val="21"/>
          <w14:textFill>
            <w14:solidFill>
              <w14:schemeClr w14:val="tx1"/>
            </w14:solidFill>
          </w14:textFill>
        </w:rPr>
        <w:t>本工程位于石炼化现有厂区内，且不新增用地，项目的实施不会对区域生态环境产生不良影响。</w:t>
      </w:r>
    </w:p>
    <w:p w14:paraId="5745381E">
      <w:pPr>
        <w:adjustRightInd w:val="0"/>
        <w:snapToGrid w:val="0"/>
        <w:spacing w:line="480" w:lineRule="exact"/>
        <w:ind w:firstLine="382" w:firstLineChars="200"/>
        <w:rPr>
          <w:rFonts w:cs="宋体"/>
          <w:b/>
          <w:color w:val="000000" w:themeColor="text1"/>
          <w:spacing w:val="-10"/>
          <w:szCs w:val="21"/>
          <w14:textFill>
            <w14:solidFill>
              <w14:schemeClr w14:val="tx1"/>
            </w14:solidFill>
          </w14:textFill>
        </w:rPr>
      </w:pPr>
      <w:r>
        <w:rPr>
          <w:rFonts w:hint="eastAsia" w:cs="宋体"/>
          <w:b/>
          <w:color w:val="000000" w:themeColor="text1"/>
          <w:spacing w:val="-10"/>
          <w:szCs w:val="21"/>
          <w14:textFill>
            <w14:solidFill>
              <w14:schemeClr w14:val="tx1"/>
            </w14:solidFill>
          </w14:textFill>
        </w:rPr>
        <w:t>7、环境风险</w:t>
      </w:r>
    </w:p>
    <w:p w14:paraId="413C19DB">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本次环境风险评价的目的在于识别物料生产、贮存、转运过程中的风险因素及可能诱发的环境问题，以突发性事故导致的危险物质环境急性损害防控为目标，对建设项目的环境风险进行分析，提出环境风险预防、控制、减缓措施，明确环境风险监控及应急建议要求，为建设项目环境风险防控提供科学依据，力求将建设项目的环境风险降至可防控水平。因此，在做好风险防范措施的基础上，拟建项目环境风险可控。</w:t>
      </w:r>
    </w:p>
    <w:p w14:paraId="055B091D">
      <w:pPr>
        <w:pStyle w:val="7"/>
        <w:ind w:firstLine="480"/>
        <w:rPr>
          <w:color w:val="000000" w:themeColor="text1"/>
          <w14:textFill>
            <w14:solidFill>
              <w14:schemeClr w14:val="tx1"/>
            </w14:solidFill>
          </w14:textFill>
        </w:rPr>
      </w:pPr>
      <w:r>
        <w:rPr>
          <w:rFonts w:hint="eastAsia" w:cs="宋体"/>
          <w:color w:val="000000" w:themeColor="text1"/>
          <w:szCs w:val="21"/>
          <w14:textFill>
            <w14:solidFill>
              <w14:schemeClr w14:val="tx1"/>
            </w14:solidFill>
          </w14:textFill>
        </w:rPr>
        <w:t>中国石油化工股份有限公司石家庄炼化分公司运行一部汽油分割项目</w:t>
      </w:r>
      <w:r>
        <w:rPr>
          <w:rFonts w:hint="eastAsia" w:cs="宋体"/>
          <w:bCs/>
          <w:color w:val="000000" w:themeColor="text1"/>
          <w:szCs w:val="21"/>
          <w14:textFill>
            <w14:solidFill>
              <w14:schemeClr w14:val="tx1"/>
            </w14:solidFill>
          </w14:textFill>
        </w:rPr>
        <w:t>位于中国石油化工股份有限公司石家庄炼化分公司现有厂区内，项目不新增占地，不涉及生态红线，符合国家、地方产业政策和“三线一单”管理要求；项目采取了有效的污染防治措施，各污染物均能实现长期稳定达标排放，对周围环境影响较小。在全面加强监督管理，认真落实各项环保措施的条件下，从环境保护的角度分析，项目建设可行。</w:t>
      </w:r>
    </w:p>
    <w:p w14:paraId="1D020ADA">
      <w:pPr>
        <w:pStyle w:val="3"/>
        <w:ind w:firstLine="422" w:firstLineChars="200"/>
        <w:rPr>
          <w:rFonts w:hint="eastAsia"/>
          <w:color w:val="000000" w:themeColor="text1"/>
          <w:kern w:val="0"/>
          <w:szCs w:val="21"/>
          <w:lang w:val="en-US" w:eastAsia="zh-CN"/>
          <w14:textFill>
            <w14:solidFill>
              <w14:schemeClr w14:val="tx1"/>
            </w14:solidFill>
          </w14:textFill>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4DB1AD"/>
    <w:multiLevelType w:val="singleLevel"/>
    <w:tmpl w:val="624DB1AD"/>
    <w:lvl w:ilvl="0" w:tentative="0">
      <w:start w:val="2"/>
      <w:numFmt w:val="decimal"/>
      <w:suff w:val="nothing"/>
      <w:lvlText w:val="（%1）"/>
      <w:lvlJc w:val="left"/>
    </w:lvl>
  </w:abstractNum>
  <w:abstractNum w:abstractNumId="1">
    <w:nsid w:val="7EE19F0E"/>
    <w:multiLevelType w:val="singleLevel"/>
    <w:tmpl w:val="7EE19F0E"/>
    <w:lvl w:ilvl="0" w:tentative="0">
      <w:start w:val="8"/>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453536"/>
    <w:rsid w:val="448259B3"/>
    <w:rsid w:val="6E595FBF"/>
    <w:rsid w:val="7A4805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9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4"/>
    <w:basedOn w:val="1"/>
    <w:qFormat/>
    <w:uiPriority w:val="99"/>
    <w:pPr>
      <w:spacing w:line="360" w:lineRule="auto"/>
      <w:outlineLvl w:val="3"/>
    </w:pPr>
    <w:rPr>
      <w:b/>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Normal Indent"/>
    <w:basedOn w:val="1"/>
    <w:next w:val="3"/>
    <w:qFormat/>
    <w:uiPriority w:val="0"/>
    <w:pPr>
      <w:spacing w:line="360" w:lineRule="auto"/>
      <w:ind w:firstLine="420" w:firstLineChars="200"/>
    </w:pPr>
  </w:style>
  <w:style w:type="paragraph" w:styleId="4">
    <w:name w:val="Body Text"/>
    <w:basedOn w:val="1"/>
    <w:next w:val="1"/>
    <w:qFormat/>
    <w:uiPriority w:val="99"/>
    <w:pPr>
      <w:widowControl/>
      <w:snapToGrid w:val="0"/>
      <w:spacing w:before="60" w:after="160" w:line="259" w:lineRule="auto"/>
      <w:ind w:right="113"/>
    </w:pPr>
    <w:rPr>
      <w:kern w:val="0"/>
      <w:sz w:val="18"/>
      <w:szCs w:val="20"/>
    </w:rPr>
  </w:style>
  <w:style w:type="paragraph" w:customStyle="1" w:styleId="7">
    <w:name w:val="正文_报告表s"/>
    <w:qFormat/>
    <w:uiPriority w:val="0"/>
    <w:pPr>
      <w:widowControl w:val="0"/>
      <w:spacing w:line="480" w:lineRule="exact"/>
      <w:ind w:firstLine="720" w:firstLineChars="200"/>
      <w:jc w:val="both"/>
    </w:pPr>
    <w:rPr>
      <w:rFonts w:ascii="Times New Roman" w:hAnsi="Times New Roman" w:eastAsia="宋体" w:cs="Times New Roman"/>
      <w:kern w:val="2"/>
      <w:sz w:val="24"/>
      <w:szCs w:val="22"/>
      <w:lang w:val="en-US" w:eastAsia="zh-CN" w:bidi="ar-SA"/>
    </w:rPr>
  </w:style>
  <w:style w:type="paragraph" w:customStyle="1" w:styleId="8">
    <w:name w:val="正文(首行缩进)"/>
    <w:basedOn w:val="1"/>
    <w:qFormat/>
    <w:uiPriority w:val="0"/>
    <w:pPr>
      <w:adjustRightInd w:val="0"/>
      <w:snapToGrid w:val="0"/>
      <w:spacing w:line="480" w:lineRule="exact"/>
      <w:ind w:firstLine="200" w:firstLineChars="200"/>
    </w:pPr>
    <w:rPr>
      <w:snapToGrid w:val="0"/>
      <w:kern w:val="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2026-02-09T07:05:31Z</dcterms:created>
  <dc:creator>X.L.Schillor</dc:creator>
  <cp:lastModifiedBy>席绍添</cp:lastModifiedBy>
  <dcterms:modified xsi:type="dcterms:W3CDTF">2026-02-09T08:19:26Z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eyJoZGlkIjoiNjRkODU1MDMwNjdhNTM4YTAzMzliOGJiZmY0YTI3YjgiLCJ1c2VySWQiOiIxNzEwNjc5MTU1In0=</vt:lpwstr>
  </property>
  <property fmtid="{D5CDD505-2E9C-101B-9397-08002B2CF9AE}" pid="4" name="ICV">
    <vt:lpwstr>6653EC2A9F8142EEA7204EF8A5F68F5B_12</vt:lpwstr>
  </property>
</Properties>
</file>