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133D10">
      <w:pPr>
        <w:jc w:val="center"/>
        <w:rPr>
          <w:rFonts w:hint="eastAsia"/>
          <w:sz w:val="32"/>
          <w:szCs w:val="40"/>
          <w:lang w:val="en-US" w:eastAsia="zh-CN"/>
        </w:rPr>
      </w:pPr>
      <w:bookmarkStart w:id="0" w:name="_GoBack"/>
      <w:r>
        <w:rPr>
          <w:rFonts w:hint="eastAsia"/>
          <w:sz w:val="32"/>
          <w:szCs w:val="40"/>
        </w:rPr>
        <w:t>石家庄东华金龙化工有限公司新建仓储设施项目</w:t>
      </w:r>
      <w:r>
        <w:rPr>
          <w:rFonts w:hint="eastAsia"/>
          <w:sz w:val="32"/>
          <w:szCs w:val="40"/>
          <w:lang w:val="en-US" w:eastAsia="zh-CN"/>
        </w:rPr>
        <w:t>基本情况</w:t>
      </w:r>
    </w:p>
    <w:bookmarkEnd w:id="0"/>
    <w:p w14:paraId="04FD7355">
      <w:pPr>
        <w:rPr>
          <w:rFonts w:hint="eastAsia"/>
          <w:lang w:val="en-US" w:eastAsia="zh-CN"/>
        </w:rPr>
      </w:pPr>
    </w:p>
    <w:p w14:paraId="1D6473E1">
      <w:pPr>
        <w:numPr>
          <w:ilvl w:val="0"/>
          <w:numId w:val="0"/>
        </w:numPr>
        <w:spacing w:line="360" w:lineRule="auto"/>
        <w:ind w:firstLine="482" w:firstLineChars="200"/>
        <w:rPr>
          <w:rFonts w:hint="eastAsia" w:cs="Times New Roman"/>
          <w:b/>
          <w:bCs/>
          <w:color w:val="auto"/>
          <w:kern w:val="0"/>
          <w:sz w:val="24"/>
          <w:szCs w:val="24"/>
          <w:highlight w:val="none"/>
          <w:lang w:val="en-US" w:eastAsia="zh-CN"/>
        </w:rPr>
      </w:pPr>
      <w:r>
        <w:rPr>
          <w:rFonts w:hint="eastAsia" w:ascii="Times New Roman" w:hAnsi="Times New Roman" w:eastAsia="宋体" w:cs="Times New Roman"/>
          <w:b/>
          <w:bCs/>
          <w:color w:val="auto"/>
          <w:kern w:val="0"/>
          <w:sz w:val="24"/>
          <w:szCs w:val="24"/>
          <w:lang w:val="en-US" w:eastAsia="zh-CN" w:bidi="ar-SA"/>
        </w:rPr>
        <w:t>一、</w:t>
      </w:r>
      <w:r>
        <w:rPr>
          <w:rFonts w:hint="eastAsia" w:cs="Times New Roman"/>
          <w:b/>
          <w:bCs/>
          <w:color w:val="auto"/>
          <w:kern w:val="0"/>
          <w:sz w:val="24"/>
          <w:szCs w:val="24"/>
          <w:highlight w:val="none"/>
          <w:lang w:val="en-US" w:eastAsia="zh-CN"/>
        </w:rPr>
        <w:t>项目由来</w:t>
      </w:r>
    </w:p>
    <w:p w14:paraId="0737E571">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ascii="Times New Roman" w:hAnsi="Times New Roman" w:eastAsia="宋体" w:cs="Times New Roman"/>
          <w:color w:val="auto"/>
          <w:kern w:val="0"/>
          <w:sz w:val="24"/>
          <w:szCs w:val="24"/>
          <w:highlight w:val="none"/>
          <w:lang w:val="en-US" w:eastAsia="zh-CN" w:bidi="ar-SA"/>
        </w:rPr>
      </w:pPr>
      <w:r>
        <w:rPr>
          <w:rFonts w:hint="eastAsia" w:eastAsia="宋体" w:cs="Times New Roman"/>
          <w:color w:val="auto"/>
          <w:kern w:val="0"/>
          <w:sz w:val="24"/>
          <w:szCs w:val="24"/>
          <w:highlight w:val="none"/>
          <w:lang w:val="en-US" w:eastAsia="zh-CN" w:bidi="ar-SA"/>
        </w:rPr>
        <w:t>石</w:t>
      </w:r>
      <w:r>
        <w:rPr>
          <w:rFonts w:hint="eastAsia" w:ascii="Times New Roman" w:hAnsi="Times New Roman" w:eastAsia="宋体" w:cs="Times New Roman"/>
          <w:color w:val="auto"/>
          <w:kern w:val="0"/>
          <w:sz w:val="24"/>
          <w:szCs w:val="24"/>
          <w:highlight w:val="none"/>
          <w:lang w:val="en-US" w:eastAsia="zh-CN" w:bidi="ar-SA"/>
        </w:rPr>
        <w:t>家庄东华金龙化工有限公司位于石家庄高新技术产业开发区循环化工园区化工中路100号，占地216669.9m</w:t>
      </w:r>
      <w:r>
        <w:rPr>
          <w:rFonts w:hint="eastAsia" w:ascii="Times New Roman" w:hAnsi="Times New Roman" w:eastAsia="宋体" w:cs="Times New Roman"/>
          <w:color w:val="auto"/>
          <w:kern w:val="0"/>
          <w:sz w:val="24"/>
          <w:szCs w:val="24"/>
          <w:highlight w:val="none"/>
          <w:vertAlign w:val="superscript"/>
          <w:lang w:val="en-US" w:eastAsia="zh-CN" w:bidi="ar-SA"/>
        </w:rPr>
        <w:t>2</w:t>
      </w:r>
      <w:r>
        <w:rPr>
          <w:rFonts w:hint="eastAsia" w:ascii="Times New Roman" w:hAnsi="Times New Roman" w:eastAsia="宋体" w:cs="Times New Roman"/>
          <w:color w:val="auto"/>
          <w:kern w:val="0"/>
          <w:sz w:val="24"/>
          <w:szCs w:val="24"/>
          <w:highlight w:val="none"/>
          <w:lang w:val="en-US" w:eastAsia="zh-CN" w:bidi="ar-SA"/>
        </w:rPr>
        <w:t>，始建于2000年，于2008年底从石家庄东二环整体搬迁入化工园区，2010年被国家认定为高新技术企业。目前企业拥有员工近千余名，是全球氨基乙酸行业的龙头企业。公司现有主要产品及实际产能情况：工业氨基乙酸10万吨/年、精制氨基乙酸1万吨/年、ZAO靶材200t/a、海因2500吨/年、甘氨酸铁50吨/年、甘氨酸钙（镁、锌）100吨/年、甘氨酸铜50吨/年、甘氨酸钠碳酸盐100吨/年、甘氨酸钠4000t/a、甘氨酸镁3000t/a或甘氨酸锌1800t/a等。</w:t>
      </w:r>
    </w:p>
    <w:p w14:paraId="5DE5638D">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ascii="Times New Roman" w:hAnsi="Times New Roman" w:eastAsia="宋体" w:cs="Times New Roman"/>
          <w:color w:val="auto"/>
          <w:kern w:val="0"/>
          <w:sz w:val="24"/>
          <w:szCs w:val="24"/>
          <w:highlight w:val="none"/>
          <w:lang w:val="en-US" w:eastAsia="zh-CN" w:bidi="ar-SA"/>
        </w:rPr>
      </w:pPr>
      <w:r>
        <w:rPr>
          <w:rFonts w:hint="eastAsia" w:ascii="Times New Roman" w:hAnsi="Times New Roman" w:eastAsia="宋体" w:cs="Times New Roman"/>
          <w:color w:val="auto"/>
          <w:kern w:val="0"/>
          <w:sz w:val="24"/>
          <w:szCs w:val="24"/>
          <w:highlight w:val="none"/>
          <w:lang w:val="en-US" w:eastAsia="zh-CN" w:bidi="ar-SA"/>
        </w:rPr>
        <w:t>该公司各项目环保手续齐全（详见“现有环保手续”章节），并取得了排污许可证（91130193104681023N001Z），目前最新的排污许可证有效期为2025年01月10日至2030年01月09日。</w:t>
      </w:r>
    </w:p>
    <w:p w14:paraId="5AB149FD">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eastAsia="宋体" w:cs="Times New Roman"/>
          <w:color w:val="auto"/>
          <w:kern w:val="0"/>
          <w:sz w:val="24"/>
          <w:szCs w:val="24"/>
          <w:highlight w:val="none"/>
          <w:lang w:val="en-US" w:eastAsia="zh-CN" w:bidi="ar-SA"/>
        </w:rPr>
      </w:pPr>
      <w:r>
        <w:rPr>
          <w:rFonts w:hint="eastAsia" w:eastAsia="宋体" w:cs="Times New Roman"/>
          <w:color w:val="auto"/>
          <w:kern w:val="0"/>
          <w:sz w:val="24"/>
          <w:szCs w:val="24"/>
          <w:highlight w:val="none"/>
          <w:lang w:val="en-US" w:eastAsia="zh-CN" w:bidi="ar-SA"/>
        </w:rPr>
        <w:t>2025年石家庄东华金龙化工有限公司投资建设《石家庄东华金龙化工有限公司60kt/a液体氯乙酸升级改造项目》，该项目已于2024年10月18日取得了石家庄高新技术产业开发区行政审批局批复意见，审批文号：石高审循化环批〔2024</w:t>
      </w:r>
      <w:r>
        <w:rPr>
          <w:rFonts w:hint="default" w:eastAsia="宋体" w:cs="Times New Roman"/>
          <w:color w:val="auto"/>
          <w:kern w:val="0"/>
          <w:sz w:val="24"/>
          <w:szCs w:val="24"/>
          <w:highlight w:val="none"/>
          <w:lang w:val="en-US" w:eastAsia="zh-CN" w:bidi="ar-SA"/>
        </w:rPr>
        <w:t>〕</w:t>
      </w:r>
      <w:r>
        <w:rPr>
          <w:rFonts w:hint="eastAsia" w:eastAsia="宋体" w:cs="Times New Roman"/>
          <w:color w:val="auto"/>
          <w:kern w:val="0"/>
          <w:sz w:val="24"/>
          <w:szCs w:val="24"/>
          <w:highlight w:val="none"/>
          <w:lang w:val="en-US" w:eastAsia="zh-CN" w:bidi="ar-SA"/>
        </w:rPr>
        <w:t>6号，主体工程正在建设当中，该项目涉及的原材料桶装水合肼无配套的储存设施，其他项目用到的少量水合肼存放在硫磺库内，为提升安全管理规范性，因此东华化工计划利用厂区现有闲置空地建设一座甲类仓库用于储存水合肼等。为保障生产连续性，企业将购买少量的乙炔（压缩）、氧气（压缩）、氮气（压缩）、氩气（压缩）等化学品储存在甲类仓库一。</w:t>
      </w:r>
    </w:p>
    <w:p w14:paraId="50F69E92">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eastAsia="宋体" w:cs="Times New Roman"/>
          <w:color w:val="auto"/>
          <w:kern w:val="0"/>
          <w:sz w:val="24"/>
          <w:szCs w:val="24"/>
          <w:highlight w:val="none"/>
          <w:lang w:val="en-US" w:eastAsia="zh-CN" w:bidi="ar-SA"/>
        </w:rPr>
      </w:pPr>
      <w:r>
        <w:rPr>
          <w:rFonts w:hint="eastAsia" w:eastAsia="宋体" w:cs="Times New Roman"/>
          <w:color w:val="auto"/>
          <w:kern w:val="0"/>
          <w:sz w:val="24"/>
          <w:szCs w:val="24"/>
          <w:highlight w:val="none"/>
          <w:lang w:val="en-US" w:eastAsia="zh-CN" w:bidi="ar-SA"/>
        </w:rPr>
        <w:t>根据安全消防要求，</w:t>
      </w:r>
      <w:r>
        <w:rPr>
          <w:rFonts w:hint="default" w:ascii="Times New Roman" w:hAnsi="Times New Roman" w:eastAsia="宋体" w:cs="Times New Roman"/>
          <w:b w:val="0"/>
          <w:bCs w:val="0"/>
          <w:color w:val="auto"/>
          <w:kern w:val="2"/>
          <w:sz w:val="24"/>
          <w:szCs w:val="24"/>
          <w:highlight w:val="none"/>
          <w:lang w:val="en-US" w:eastAsia="zh-CN" w:bidi="ar-SA"/>
        </w:rPr>
        <w:t>为进一步提升危险废物贮存的安全防护等级，企业拟在甲类仓库区域新建一座144m</w:t>
      </w:r>
      <w:r>
        <w:rPr>
          <w:rFonts w:hint="default" w:ascii="Times New Roman" w:hAnsi="Times New Roman" w:eastAsia="宋体" w:cs="Times New Roman"/>
          <w:b w:val="0"/>
          <w:bCs w:val="0"/>
          <w:color w:val="auto"/>
          <w:kern w:val="2"/>
          <w:sz w:val="24"/>
          <w:szCs w:val="24"/>
          <w:highlight w:val="none"/>
          <w:vertAlign w:val="superscript"/>
          <w:lang w:val="en-US" w:eastAsia="zh-CN" w:bidi="ar-SA"/>
        </w:rPr>
        <w:t>2</w:t>
      </w:r>
      <w:r>
        <w:rPr>
          <w:rFonts w:hint="default" w:ascii="Times New Roman" w:hAnsi="Times New Roman" w:eastAsia="宋体" w:cs="Times New Roman"/>
          <w:b w:val="0"/>
          <w:bCs w:val="0"/>
          <w:color w:val="auto"/>
          <w:kern w:val="2"/>
          <w:sz w:val="24"/>
          <w:szCs w:val="24"/>
          <w:highlight w:val="none"/>
          <w:lang w:val="en-US" w:eastAsia="zh-CN" w:bidi="ar-SA"/>
        </w:rPr>
        <w:t>危废专用贮存库，全面替代原设置于丙类仓库内的危废贮存设施。该拟建危废库将集中暂存厂区内产生的全部危险废物，贮存物质种类与现有保持一致；</w:t>
      </w:r>
      <w:r>
        <w:rPr>
          <w:rFonts w:hint="eastAsia" w:eastAsia="宋体" w:cs="Times New Roman"/>
          <w:color w:val="auto"/>
          <w:kern w:val="0"/>
          <w:sz w:val="24"/>
          <w:szCs w:val="24"/>
          <w:highlight w:val="none"/>
          <w:lang w:val="en-US" w:eastAsia="zh-CN" w:bidi="ar-SA"/>
        </w:rPr>
        <w:t>现有危废库面积为</w:t>
      </w:r>
      <w:r>
        <w:rPr>
          <w:rFonts w:hint="eastAsia" w:eastAsia="宋体" w:cs="Times New Roman"/>
          <w:b w:val="0"/>
          <w:bCs w:val="0"/>
          <w:color w:val="auto"/>
          <w:kern w:val="2"/>
          <w:sz w:val="24"/>
          <w:szCs w:val="24"/>
          <w:highlight w:val="none"/>
          <w:lang w:val="en-US" w:eastAsia="zh-CN" w:bidi="ar-SA"/>
        </w:rPr>
        <w:t>64</w:t>
      </w:r>
      <w:r>
        <w:rPr>
          <w:rFonts w:hint="default" w:ascii="Times New Roman" w:hAnsi="Times New Roman" w:eastAsia="宋体" w:cs="Times New Roman"/>
          <w:b w:val="0"/>
          <w:bCs w:val="0"/>
          <w:color w:val="auto"/>
          <w:kern w:val="2"/>
          <w:sz w:val="24"/>
          <w:szCs w:val="24"/>
          <w:highlight w:val="none"/>
          <w:lang w:val="en-US" w:eastAsia="zh-CN" w:bidi="ar-SA"/>
        </w:rPr>
        <w:t>m</w:t>
      </w:r>
      <w:r>
        <w:rPr>
          <w:rFonts w:hint="default" w:ascii="Times New Roman" w:hAnsi="Times New Roman" w:eastAsia="宋体" w:cs="Times New Roman"/>
          <w:b w:val="0"/>
          <w:bCs w:val="0"/>
          <w:color w:val="auto"/>
          <w:kern w:val="2"/>
          <w:sz w:val="24"/>
          <w:szCs w:val="24"/>
          <w:highlight w:val="none"/>
          <w:vertAlign w:val="superscript"/>
          <w:lang w:val="en-US" w:eastAsia="zh-CN" w:bidi="ar-SA"/>
        </w:rPr>
        <w:t>2</w:t>
      </w:r>
      <w:r>
        <w:rPr>
          <w:rFonts w:hint="default" w:ascii="Times New Roman" w:hAnsi="Times New Roman" w:eastAsia="宋体" w:cs="Times New Roman"/>
          <w:b w:val="0"/>
          <w:bCs w:val="0"/>
          <w:color w:val="auto"/>
          <w:kern w:val="2"/>
          <w:sz w:val="24"/>
          <w:szCs w:val="24"/>
          <w:highlight w:val="none"/>
          <w:lang w:val="en-US" w:eastAsia="zh-CN" w:bidi="ar-SA"/>
        </w:rPr>
        <w:t>，</w:t>
      </w:r>
      <w:r>
        <w:rPr>
          <w:rFonts w:hint="eastAsia" w:eastAsia="宋体" w:cs="Times New Roman"/>
          <w:b w:val="0"/>
          <w:bCs w:val="0"/>
          <w:color w:val="auto"/>
          <w:kern w:val="2"/>
          <w:sz w:val="24"/>
          <w:szCs w:val="24"/>
          <w:highlight w:val="none"/>
          <w:lang w:val="en-US" w:eastAsia="zh-CN" w:bidi="ar-SA"/>
        </w:rPr>
        <w:t>此前，</w:t>
      </w:r>
      <w:r>
        <w:rPr>
          <w:rFonts w:hint="eastAsia" w:eastAsia="宋体" w:cs="Times New Roman"/>
          <w:color w:val="auto"/>
          <w:kern w:val="0"/>
          <w:sz w:val="24"/>
          <w:szCs w:val="24"/>
          <w:highlight w:val="none"/>
          <w:lang w:val="en-US" w:eastAsia="zh-CN" w:bidi="ar-SA"/>
        </w:rPr>
        <w:t>危废库面积为</w:t>
      </w:r>
      <w:r>
        <w:rPr>
          <w:rFonts w:hint="default" w:ascii="Times New Roman" w:hAnsi="Times New Roman" w:eastAsia="宋体" w:cs="Times New Roman"/>
          <w:b w:val="0"/>
          <w:bCs w:val="0"/>
          <w:color w:val="auto"/>
          <w:kern w:val="2"/>
          <w:sz w:val="24"/>
          <w:szCs w:val="24"/>
          <w:highlight w:val="none"/>
          <w:lang w:val="en-US" w:eastAsia="zh-CN" w:bidi="ar-SA"/>
        </w:rPr>
        <w:t>216m</w:t>
      </w:r>
      <w:r>
        <w:rPr>
          <w:rFonts w:hint="default" w:ascii="Times New Roman" w:hAnsi="Times New Roman" w:eastAsia="宋体" w:cs="Times New Roman"/>
          <w:b w:val="0"/>
          <w:bCs w:val="0"/>
          <w:color w:val="auto"/>
          <w:kern w:val="2"/>
          <w:sz w:val="24"/>
          <w:szCs w:val="24"/>
          <w:highlight w:val="none"/>
          <w:vertAlign w:val="superscript"/>
          <w:lang w:val="en-US" w:eastAsia="zh-CN" w:bidi="ar-SA"/>
        </w:rPr>
        <w:t>2</w:t>
      </w:r>
      <w:r>
        <w:rPr>
          <w:rFonts w:hint="default" w:ascii="Times New Roman" w:hAnsi="Times New Roman" w:eastAsia="宋体" w:cs="Times New Roman"/>
          <w:b w:val="0"/>
          <w:bCs w:val="0"/>
          <w:color w:val="auto"/>
          <w:kern w:val="2"/>
          <w:sz w:val="24"/>
          <w:szCs w:val="24"/>
          <w:highlight w:val="none"/>
          <w:lang w:val="en-US" w:eastAsia="zh-CN" w:bidi="ar-SA"/>
        </w:rPr>
        <w:t>，</w:t>
      </w:r>
      <w:r>
        <w:rPr>
          <w:rFonts w:hint="eastAsia" w:eastAsia="宋体" w:cs="Times New Roman"/>
          <w:color w:val="auto"/>
          <w:kern w:val="0"/>
          <w:sz w:val="24"/>
          <w:szCs w:val="24"/>
          <w:highlight w:val="none"/>
          <w:lang w:val="en-US" w:eastAsia="zh-CN" w:bidi="ar-SA"/>
        </w:rPr>
        <w:t>因污水站的污泥和精制品车间的废活性炭均已鉴定为一般固废，基于此，企业为更好的收集废气，按照标准要求在216</w:t>
      </w:r>
      <w:r>
        <w:rPr>
          <w:rFonts w:hint="default" w:ascii="Times New Roman" w:hAnsi="Times New Roman" w:eastAsia="宋体" w:cs="Times New Roman"/>
          <w:b w:val="0"/>
          <w:bCs w:val="0"/>
          <w:color w:val="auto"/>
          <w:kern w:val="2"/>
          <w:sz w:val="24"/>
          <w:szCs w:val="24"/>
          <w:highlight w:val="none"/>
          <w:lang w:val="en-US" w:eastAsia="zh-CN" w:bidi="ar-SA"/>
        </w:rPr>
        <w:t>m</w:t>
      </w:r>
      <w:r>
        <w:rPr>
          <w:rFonts w:hint="default" w:ascii="Times New Roman" w:hAnsi="Times New Roman" w:eastAsia="宋体" w:cs="Times New Roman"/>
          <w:b w:val="0"/>
          <w:bCs w:val="0"/>
          <w:color w:val="auto"/>
          <w:kern w:val="2"/>
          <w:sz w:val="24"/>
          <w:szCs w:val="24"/>
          <w:highlight w:val="none"/>
          <w:vertAlign w:val="superscript"/>
          <w:lang w:val="en-US" w:eastAsia="zh-CN" w:bidi="ar-SA"/>
        </w:rPr>
        <w:t>2</w:t>
      </w:r>
      <w:r>
        <w:rPr>
          <w:rFonts w:hint="eastAsia" w:eastAsia="宋体" w:cs="Times New Roman"/>
          <w:b w:val="0"/>
          <w:bCs w:val="0"/>
          <w:color w:val="auto"/>
          <w:kern w:val="2"/>
          <w:sz w:val="24"/>
          <w:szCs w:val="24"/>
          <w:highlight w:val="none"/>
          <w:lang w:val="en-US" w:eastAsia="zh-CN" w:bidi="ar-SA"/>
        </w:rPr>
        <w:t>空间内</w:t>
      </w:r>
      <w:r>
        <w:rPr>
          <w:rFonts w:hint="eastAsia" w:eastAsia="宋体" w:cs="Times New Roman"/>
          <w:color w:val="auto"/>
          <w:kern w:val="0"/>
          <w:sz w:val="24"/>
          <w:szCs w:val="24"/>
          <w:highlight w:val="none"/>
          <w:lang w:val="en-US" w:eastAsia="zh-CN" w:bidi="ar-SA"/>
        </w:rPr>
        <w:t>进行二次密闭，密闭后占地面积为</w:t>
      </w:r>
      <w:r>
        <w:rPr>
          <w:rFonts w:hint="eastAsia" w:eastAsia="宋体" w:cs="Times New Roman"/>
          <w:b w:val="0"/>
          <w:bCs w:val="0"/>
          <w:color w:val="auto"/>
          <w:kern w:val="2"/>
          <w:sz w:val="24"/>
          <w:szCs w:val="24"/>
          <w:highlight w:val="none"/>
          <w:lang w:val="en-US" w:eastAsia="zh-CN" w:bidi="ar-SA"/>
        </w:rPr>
        <w:t>64</w:t>
      </w:r>
      <w:r>
        <w:rPr>
          <w:rFonts w:hint="default" w:ascii="Times New Roman" w:hAnsi="Times New Roman" w:eastAsia="宋体" w:cs="Times New Roman"/>
          <w:b w:val="0"/>
          <w:bCs w:val="0"/>
          <w:color w:val="auto"/>
          <w:kern w:val="2"/>
          <w:sz w:val="24"/>
          <w:szCs w:val="24"/>
          <w:highlight w:val="none"/>
          <w:lang w:val="en-US" w:eastAsia="zh-CN" w:bidi="ar-SA"/>
        </w:rPr>
        <w:t>m</w:t>
      </w:r>
      <w:r>
        <w:rPr>
          <w:rFonts w:hint="default" w:ascii="Times New Roman" w:hAnsi="Times New Roman" w:eastAsia="宋体" w:cs="Times New Roman"/>
          <w:b w:val="0"/>
          <w:bCs w:val="0"/>
          <w:color w:val="auto"/>
          <w:kern w:val="2"/>
          <w:sz w:val="24"/>
          <w:szCs w:val="24"/>
          <w:highlight w:val="none"/>
          <w:vertAlign w:val="superscript"/>
          <w:lang w:val="en-US" w:eastAsia="zh-CN" w:bidi="ar-SA"/>
        </w:rPr>
        <w:t>2</w:t>
      </w:r>
      <w:r>
        <w:rPr>
          <w:rFonts w:hint="eastAsia" w:eastAsia="宋体" w:cs="Times New Roman"/>
          <w:b w:val="0"/>
          <w:bCs w:val="0"/>
          <w:color w:val="auto"/>
          <w:kern w:val="2"/>
          <w:sz w:val="24"/>
          <w:szCs w:val="24"/>
          <w:highlight w:val="none"/>
          <w:lang w:val="en-US" w:eastAsia="zh-CN" w:bidi="ar-SA"/>
        </w:rPr>
        <w:t>密闭隔间，所有危废均进入隔间内贮存，隔间内使用隔板、货架等方式进行分区隔开，此项目已完成环评登记。</w:t>
      </w:r>
      <w:r>
        <w:rPr>
          <w:rFonts w:hint="eastAsia" w:eastAsia="宋体" w:cs="Times New Roman"/>
          <w:color w:val="auto"/>
          <w:kern w:val="0"/>
          <w:sz w:val="24"/>
          <w:szCs w:val="24"/>
          <w:highlight w:val="none"/>
          <w:lang w:val="en-US" w:eastAsia="zh-CN" w:bidi="ar-SA"/>
        </w:rPr>
        <w:t>为优化危废管理效率、合理分布贮存空间，并严格遵循《危险废物贮存污染控制标准》（GB18597-2023）相关规定，企业全面推进危废库规范化管理工作。</w:t>
      </w:r>
    </w:p>
    <w:p w14:paraId="6DDB3596">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eastAsia="宋体" w:cs="Times New Roman"/>
          <w:color w:val="auto"/>
          <w:kern w:val="0"/>
          <w:sz w:val="24"/>
          <w:szCs w:val="24"/>
          <w:highlight w:val="none"/>
          <w:lang w:val="en-US" w:eastAsia="zh-CN" w:bidi="ar-SA"/>
        </w:rPr>
      </w:pPr>
      <w:r>
        <w:rPr>
          <w:rFonts w:hint="eastAsia" w:eastAsia="宋体" w:cs="Times New Roman"/>
          <w:color w:val="auto"/>
          <w:kern w:val="0"/>
          <w:sz w:val="24"/>
          <w:szCs w:val="24"/>
          <w:highlight w:val="none"/>
          <w:lang w:val="en-US" w:eastAsia="zh-CN" w:bidi="ar-SA"/>
        </w:rPr>
        <w:t>甲类仓库一以实体墙为分隔界限，明确划分化学品库与危废库两大功能区，分别承担化学品存储及全厂危废贮存任务。待本项目建成投用后，现有危废库将同步停用，暂不实施拆除作业，其场地预留为厂区后续扩建项目使用；同时，现有危废库配套的废气处理装置将整体迁移至新建危废库，继续投入使用。</w:t>
      </w:r>
    </w:p>
    <w:p w14:paraId="14C00A50">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eastAsia="宋体" w:cs="Times New Roman"/>
          <w:color w:val="auto"/>
          <w:kern w:val="0"/>
          <w:sz w:val="24"/>
          <w:szCs w:val="24"/>
          <w:highlight w:val="none"/>
          <w:lang w:val="en-US" w:eastAsia="zh-CN" w:bidi="ar-SA"/>
        </w:rPr>
      </w:pPr>
      <w:r>
        <w:rPr>
          <w:rFonts w:hint="eastAsia" w:eastAsia="宋体" w:cs="Times New Roman"/>
          <w:color w:val="auto"/>
          <w:kern w:val="0"/>
          <w:sz w:val="24"/>
          <w:szCs w:val="24"/>
          <w:highlight w:val="none"/>
          <w:lang w:val="en-US" w:eastAsia="zh-CN" w:bidi="ar-SA"/>
        </w:rPr>
        <w:t>石家庄东华金龙化工有限公司计划投资建设《石家庄东华金龙化工有限公司甘氨酸铝锆项目》，该项目目前正在筹划当中，因此东华金龙化工计划建设一座甲类仓库二作为《石家庄东华金龙化工有限公司甘氨酸铝锆项目》的原材料固体铝粉仓储设施，用于储存甲类第3、4项及乙类等物品。厂区原辅材料硫磺粉当前存放于硫磺库，</w:t>
      </w:r>
      <w:r>
        <w:rPr>
          <w:rFonts w:hint="eastAsia" w:ascii="Times New Roman" w:hAnsi="Times New Roman" w:eastAsia="宋体" w:cs="Times New Roman"/>
          <w:color w:val="auto"/>
          <w:kern w:val="0"/>
          <w:sz w:val="24"/>
          <w:szCs w:val="24"/>
          <w:highlight w:val="none"/>
          <w:lang w:val="en-US" w:eastAsia="zh-CN" w:bidi="ar-SA"/>
        </w:rPr>
        <w:t>为规范安全管理，计划将其调整至甲类仓库二储存。本项目完工后，现有硫磺库停用，暂不实施拆除作业，场地预留</w:t>
      </w:r>
      <w:r>
        <w:rPr>
          <w:rFonts w:hint="eastAsia" w:eastAsia="宋体" w:cs="Times New Roman"/>
          <w:color w:val="auto"/>
          <w:kern w:val="0"/>
          <w:sz w:val="24"/>
          <w:szCs w:val="24"/>
          <w:highlight w:val="none"/>
          <w:lang w:val="en-US" w:eastAsia="zh-CN" w:bidi="ar-SA"/>
        </w:rPr>
        <w:t>用于厂区后续其他扩建项目。</w:t>
      </w:r>
    </w:p>
    <w:p w14:paraId="5E263B82">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eastAsia="宋体" w:cs="Times New Roman"/>
          <w:color w:val="auto"/>
          <w:kern w:val="0"/>
          <w:sz w:val="24"/>
          <w:szCs w:val="24"/>
          <w:highlight w:val="none"/>
          <w:lang w:val="en-US" w:eastAsia="zh-CN" w:bidi="ar-SA"/>
        </w:rPr>
      </w:pPr>
      <w:r>
        <w:rPr>
          <w:rFonts w:hint="eastAsia" w:eastAsia="宋体" w:cs="Times New Roman"/>
          <w:color w:val="auto"/>
          <w:kern w:val="0"/>
          <w:sz w:val="24"/>
          <w:szCs w:val="24"/>
          <w:highlight w:val="none"/>
          <w:lang w:val="en-US" w:eastAsia="zh-CN" w:bidi="ar-SA"/>
        </w:rPr>
        <w:t>石家庄东华金龙化工有限公司已建设完成《石家庄东华金龙化工有限公司1万吨/年氨基乙酸项目》并已投产，但该项目涉及的原材料氯乙酸及产品氨基乙酸均储存于成品库，为隔离危险化学品与成品，降低安全风险，且便于追踪原辅料来源与成品流向，助力质量回溯，因此东华化工计划建设一座乙类仓库，用于储存氯乙酸等物料。</w:t>
      </w:r>
    </w:p>
    <w:p w14:paraId="7A1CDD9A">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eastAsia="宋体" w:cs="Times New Roman"/>
          <w:color w:val="auto"/>
          <w:kern w:val="0"/>
          <w:sz w:val="24"/>
          <w:szCs w:val="24"/>
          <w:highlight w:val="none"/>
          <w:lang w:val="en-US" w:eastAsia="zh-CN" w:bidi="ar-SA"/>
        </w:rPr>
      </w:pPr>
      <w:r>
        <w:rPr>
          <w:rFonts w:hint="eastAsia" w:eastAsia="宋体" w:cs="Times New Roman"/>
          <w:color w:val="auto"/>
          <w:kern w:val="0"/>
          <w:sz w:val="24"/>
          <w:szCs w:val="24"/>
          <w:highlight w:val="none"/>
          <w:lang w:val="en-US" w:eastAsia="zh-CN" w:bidi="ar-SA"/>
        </w:rPr>
        <w:t>石家庄东华金龙化工有限公司厂区现有乌洛托品库占地面积约为250m</w:t>
      </w:r>
      <w:r>
        <w:rPr>
          <w:rFonts w:hint="eastAsia" w:eastAsia="宋体" w:cs="Times New Roman"/>
          <w:color w:val="auto"/>
          <w:kern w:val="0"/>
          <w:sz w:val="24"/>
          <w:szCs w:val="24"/>
          <w:highlight w:val="none"/>
          <w:vertAlign w:val="superscript"/>
          <w:lang w:val="en-US" w:eastAsia="zh-CN" w:bidi="ar-SA"/>
        </w:rPr>
        <w:t>2</w:t>
      </w:r>
      <w:r>
        <w:rPr>
          <w:rFonts w:hint="eastAsia" w:eastAsia="宋体" w:cs="Times New Roman"/>
          <w:color w:val="auto"/>
          <w:kern w:val="0"/>
          <w:sz w:val="24"/>
          <w:szCs w:val="24"/>
          <w:highlight w:val="none"/>
          <w:lang w:val="en-US" w:eastAsia="zh-CN" w:bidi="ar-SA"/>
        </w:rPr>
        <w:t>，储存能力为150t，而氨基乙酸装置与新氨基乙酸车间合计年用量为15000t，周转天数仅为3d，为了减少危化品运输频次，降低安全风险，东华化工计划将部分乌洛托品与上述氯乙酸分区储存于乙类仓库内。</w:t>
      </w:r>
    </w:p>
    <w:p w14:paraId="1866B10A">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eastAsia="宋体" w:cs="Times New Roman"/>
          <w:color w:val="auto"/>
          <w:kern w:val="0"/>
          <w:sz w:val="24"/>
          <w:szCs w:val="24"/>
          <w:highlight w:val="none"/>
          <w:lang w:val="en-US" w:eastAsia="zh-CN" w:bidi="ar-SA"/>
        </w:rPr>
      </w:pPr>
      <w:r>
        <w:rPr>
          <w:rFonts w:hint="eastAsia" w:eastAsia="宋体" w:cs="Times New Roman"/>
          <w:color w:val="auto"/>
          <w:kern w:val="0"/>
          <w:sz w:val="24"/>
          <w:szCs w:val="24"/>
          <w:highlight w:val="none"/>
          <w:lang w:val="en-US" w:eastAsia="zh-CN" w:bidi="ar-SA"/>
        </w:rPr>
        <w:t>因此，企业为提升仓储能力，满足安全生产条件，决定在现有厂区内空地新建甲类仓库2座、乙类仓库1座、丁类棚库1座，总建筑面积约25</w:t>
      </w:r>
      <w:r>
        <w:rPr>
          <w:rFonts w:hint="eastAsia" w:cs="Times New Roman"/>
          <w:color w:val="auto"/>
          <w:kern w:val="0"/>
          <w:sz w:val="24"/>
          <w:szCs w:val="24"/>
          <w:highlight w:val="none"/>
          <w:lang w:val="en-US" w:eastAsia="zh-CN" w:bidi="ar-SA"/>
        </w:rPr>
        <w:t>14</w:t>
      </w:r>
      <w:r>
        <w:rPr>
          <w:rFonts w:hint="eastAsia" w:eastAsia="宋体" w:cs="Times New Roman"/>
          <w:color w:val="auto"/>
          <w:kern w:val="0"/>
          <w:sz w:val="24"/>
          <w:szCs w:val="24"/>
          <w:highlight w:val="none"/>
          <w:lang w:val="en-US" w:eastAsia="zh-CN" w:bidi="ar-SA"/>
        </w:rPr>
        <w:t>平方米，主要用于存储固体乌洛托品、固体氯乙酸、水合肼、铝粉、五金备件、丁戊类产品及原辅材料、危废等。项目已在石家庄高新技术产业开发区行政审批局备案，备案编号：石高审循化投资备字〔2025〕25号。</w:t>
      </w:r>
    </w:p>
    <w:p w14:paraId="6109E946">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baseline"/>
        <w:rPr>
          <w:rFonts w:hint="eastAsia" w:ascii="Times New Roman" w:hAnsi="Times New Roman" w:eastAsia="宋体" w:cs="Times New Roman"/>
          <w:color w:val="auto"/>
          <w:kern w:val="0"/>
          <w:sz w:val="24"/>
          <w:szCs w:val="24"/>
          <w:highlight w:val="none"/>
          <w:lang w:eastAsia="zh-CN"/>
        </w:rPr>
      </w:pPr>
      <w:r>
        <w:rPr>
          <w:rFonts w:hint="default" w:eastAsia="宋体" w:cs="Times New Roman"/>
          <w:color w:val="auto"/>
          <w:kern w:val="0"/>
          <w:sz w:val="24"/>
          <w:szCs w:val="24"/>
          <w:highlight w:val="none"/>
          <w:lang w:val="en-US" w:eastAsia="zh-CN" w:bidi="ar-SA"/>
        </w:rPr>
        <w:t>依据《中华人民共和国环境保护法》《中华人民共和国环境影响评价法》《建设项目环境保护管理条例》《建设项目环境影响评价分类管理名录（2021年版）》等</w:t>
      </w:r>
      <w:r>
        <w:rPr>
          <w:rFonts w:hint="eastAsia" w:eastAsia="宋体" w:cs="Times New Roman"/>
          <w:color w:val="auto"/>
          <w:kern w:val="0"/>
          <w:sz w:val="24"/>
          <w:szCs w:val="24"/>
          <w:highlight w:val="none"/>
          <w:lang w:val="en-US" w:eastAsia="zh-CN" w:bidi="ar-SA"/>
        </w:rPr>
        <w:t>法律法规</w:t>
      </w:r>
      <w:r>
        <w:rPr>
          <w:rFonts w:hint="default" w:eastAsia="宋体" w:cs="Times New Roman"/>
          <w:color w:val="auto"/>
          <w:kern w:val="0"/>
          <w:sz w:val="24"/>
          <w:szCs w:val="24"/>
          <w:highlight w:val="none"/>
          <w:lang w:val="en-US" w:eastAsia="zh-CN" w:bidi="ar-SA"/>
        </w:rPr>
        <w:t>的要求，</w:t>
      </w:r>
      <w:r>
        <w:rPr>
          <w:rFonts w:hint="eastAsia" w:eastAsia="宋体" w:cs="Times New Roman"/>
          <w:color w:val="auto"/>
          <w:kern w:val="0"/>
          <w:sz w:val="24"/>
          <w:szCs w:val="24"/>
          <w:highlight w:val="none"/>
          <w:lang w:val="en-US" w:eastAsia="zh-CN" w:bidi="ar-SA"/>
        </w:rPr>
        <w:t>本项目属于G5942危险化学品仓储、G5949其他危险品仓储，对照分类管理名录应属于“五十三、装卸搬运和仓储59一149危险品仓储594(不含加油站的油库；不含加气站的气库)一其他(含有毒、有害、危险品的仓储；含液化天然气库)”</w:t>
      </w:r>
      <w:r>
        <w:rPr>
          <w:rFonts w:hint="default" w:eastAsia="宋体" w:cs="Times New Roman"/>
          <w:color w:val="auto"/>
          <w:kern w:val="0"/>
          <w:sz w:val="24"/>
          <w:szCs w:val="24"/>
          <w:highlight w:val="none"/>
          <w:lang w:val="en-US" w:eastAsia="zh-CN" w:bidi="ar-SA"/>
        </w:rPr>
        <w:t>，应编制环境影响报告表。</w:t>
      </w:r>
      <w:r>
        <w:rPr>
          <w:rFonts w:hint="eastAsia" w:eastAsia="宋体" w:cs="Times New Roman"/>
          <w:color w:val="auto"/>
          <w:kern w:val="0"/>
          <w:sz w:val="24"/>
          <w:szCs w:val="24"/>
          <w:highlight w:val="none"/>
          <w:lang w:val="en-US" w:eastAsia="zh-CN" w:bidi="ar-SA"/>
        </w:rPr>
        <w:t>石家庄东华金龙化工有限公司</w:t>
      </w:r>
      <w:r>
        <w:rPr>
          <w:rFonts w:hint="default" w:eastAsia="宋体" w:cs="Times New Roman"/>
          <w:color w:val="auto"/>
          <w:kern w:val="0"/>
          <w:sz w:val="24"/>
          <w:szCs w:val="24"/>
          <w:highlight w:val="none"/>
          <w:lang w:val="en-US" w:eastAsia="zh-CN" w:bidi="ar-SA"/>
        </w:rPr>
        <w:t>委托我单位承担本项目的环境影响评价工作，我单位</w:t>
      </w:r>
      <w:r>
        <w:rPr>
          <w:rFonts w:hint="eastAsia" w:eastAsia="宋体" w:cs="Times New Roman"/>
          <w:color w:val="auto"/>
          <w:kern w:val="0"/>
          <w:sz w:val="24"/>
          <w:szCs w:val="24"/>
          <w:highlight w:val="none"/>
          <w:lang w:val="en-US" w:eastAsia="zh-CN" w:bidi="ar-SA"/>
        </w:rPr>
        <w:t>接受</w:t>
      </w:r>
      <w:r>
        <w:rPr>
          <w:rFonts w:hint="default" w:eastAsia="宋体" w:cs="Times New Roman"/>
          <w:color w:val="auto"/>
          <w:kern w:val="0"/>
          <w:sz w:val="24"/>
          <w:szCs w:val="24"/>
          <w:highlight w:val="none"/>
          <w:lang w:val="en-US" w:eastAsia="zh-CN" w:bidi="ar-SA"/>
        </w:rPr>
        <w:t>委托后，在技术人员现场踏勘</w:t>
      </w:r>
      <w:r>
        <w:rPr>
          <w:rFonts w:hint="default" w:ascii="Times New Roman" w:hAnsi="Times New Roman" w:eastAsia="宋体" w:cs="Times New Roman"/>
          <w:color w:val="auto"/>
          <w:kern w:val="0"/>
          <w:sz w:val="24"/>
          <w:szCs w:val="24"/>
          <w:highlight w:val="none"/>
        </w:rPr>
        <w:t>、资料分析的基础上编制完成了本项目的环境影响报告表</w:t>
      </w:r>
      <w:r>
        <w:rPr>
          <w:rFonts w:hint="eastAsia" w:ascii="Times New Roman" w:hAnsi="Times New Roman" w:eastAsia="宋体" w:cs="Times New Roman"/>
          <w:color w:val="auto"/>
          <w:kern w:val="0"/>
          <w:sz w:val="24"/>
          <w:szCs w:val="24"/>
          <w:highlight w:val="none"/>
          <w:lang w:eastAsia="zh-CN"/>
        </w:rPr>
        <w:t>。</w:t>
      </w:r>
    </w:p>
    <w:p w14:paraId="16D784D8">
      <w:pPr>
        <w:pStyle w:val="5"/>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jc w:val="both"/>
        <w:textAlignment w:val="baseline"/>
        <w:rPr>
          <w:rFonts w:hint="default" w:eastAsia="宋体" w:cs="Times New Roman"/>
          <w:b/>
          <w:bCs/>
          <w:color w:val="auto"/>
          <w:kern w:val="0"/>
          <w:sz w:val="24"/>
          <w:szCs w:val="24"/>
          <w:highlight w:val="none"/>
          <w:lang w:val="en-US" w:eastAsia="zh-CN" w:bidi="ar-SA"/>
        </w:rPr>
      </w:pPr>
      <w:r>
        <w:rPr>
          <w:rFonts w:hint="eastAsia" w:eastAsia="宋体" w:cs="Times New Roman"/>
          <w:b/>
          <w:bCs/>
          <w:color w:val="auto"/>
          <w:kern w:val="0"/>
          <w:sz w:val="24"/>
          <w:szCs w:val="24"/>
          <w:highlight w:val="none"/>
          <w:lang w:val="en-US" w:eastAsia="zh-CN" w:bidi="ar-SA"/>
        </w:rPr>
        <w:t>二、项目概况</w:t>
      </w:r>
    </w:p>
    <w:p w14:paraId="1BEA8655">
      <w:pPr>
        <w:spacing w:line="440" w:lineRule="exact"/>
        <w:ind w:firstLine="482" w:firstLineChars="200"/>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rPr>
        <w:t>1、项目名称</w:t>
      </w:r>
    </w:p>
    <w:p w14:paraId="5A135A08">
      <w:pPr>
        <w:spacing w:line="440" w:lineRule="exact"/>
        <w:ind w:firstLine="480" w:firstLineChars="200"/>
        <w:rPr>
          <w:rFonts w:hint="default" w:ascii="Times New Roman" w:hAnsi="Times New Roman" w:eastAsia="宋体" w:cs="Times New Roman"/>
          <w:color w:val="auto"/>
          <w:sz w:val="24"/>
          <w:highlight w:val="none"/>
          <w:lang w:val="en-US" w:eastAsia="zh-CN"/>
        </w:rPr>
      </w:pPr>
      <w:r>
        <w:rPr>
          <w:rFonts w:hint="eastAsia" w:cs="Times New Roman"/>
          <w:color w:val="auto"/>
          <w:sz w:val="24"/>
          <w:highlight w:val="none"/>
          <w:lang w:val="en-US" w:eastAsia="zh-CN"/>
        </w:rPr>
        <w:t>石家庄东华金龙化工有限公司新建仓储设施项目</w:t>
      </w:r>
    </w:p>
    <w:p w14:paraId="7CBF7A63">
      <w:pPr>
        <w:spacing w:line="440" w:lineRule="exact"/>
        <w:ind w:firstLine="482" w:firstLineChars="200"/>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2、建设单位</w:t>
      </w:r>
    </w:p>
    <w:p w14:paraId="09DA9780">
      <w:pPr>
        <w:spacing w:line="440" w:lineRule="exact"/>
        <w:ind w:firstLine="480" w:firstLineChars="200"/>
        <w:rPr>
          <w:rFonts w:hint="default" w:ascii="Times New Roman" w:hAnsi="Times New Roman" w:cs="Times New Roman"/>
          <w:b w:val="0"/>
          <w:bCs w:val="0"/>
          <w:color w:val="auto"/>
          <w:sz w:val="24"/>
          <w:highlight w:val="none"/>
          <w:lang w:val="en-US" w:eastAsia="zh-CN"/>
        </w:rPr>
      </w:pPr>
      <w:r>
        <w:rPr>
          <w:rFonts w:hint="eastAsia" w:cs="Times New Roman"/>
          <w:b w:val="0"/>
          <w:bCs w:val="0"/>
          <w:color w:val="auto"/>
          <w:sz w:val="24"/>
          <w:highlight w:val="none"/>
          <w:lang w:val="en-US" w:eastAsia="zh-CN"/>
        </w:rPr>
        <w:t>石家庄东华金龙化工有限公司</w:t>
      </w:r>
    </w:p>
    <w:p w14:paraId="3233E6BD">
      <w:pPr>
        <w:spacing w:line="440" w:lineRule="exact"/>
        <w:ind w:firstLine="482" w:firstLineChars="200"/>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3、建设性质</w:t>
      </w:r>
    </w:p>
    <w:p w14:paraId="25B62782">
      <w:pPr>
        <w:spacing w:line="440" w:lineRule="exact"/>
        <w:ind w:firstLine="480" w:firstLineChars="200"/>
        <w:rPr>
          <w:rFonts w:hint="default" w:ascii="Times New Roman" w:hAnsi="Times New Roman" w:cs="Times New Roman"/>
          <w:color w:val="auto"/>
          <w:sz w:val="24"/>
          <w:highlight w:val="none"/>
          <w:lang w:val="en-US" w:eastAsia="zh-CN"/>
        </w:rPr>
      </w:pPr>
      <w:r>
        <w:rPr>
          <w:rFonts w:hint="eastAsia" w:cs="Times New Roman"/>
          <w:color w:val="auto"/>
          <w:sz w:val="24"/>
          <w:highlight w:val="none"/>
          <w:lang w:val="en-US" w:eastAsia="zh-CN"/>
        </w:rPr>
        <w:t>扩</w:t>
      </w:r>
      <w:r>
        <w:rPr>
          <w:rFonts w:hint="default" w:ascii="Times New Roman" w:hAnsi="Times New Roman" w:cs="Times New Roman"/>
          <w:color w:val="auto"/>
          <w:sz w:val="24"/>
          <w:highlight w:val="none"/>
          <w:lang w:val="en-US" w:eastAsia="zh-CN"/>
        </w:rPr>
        <w:t>建</w:t>
      </w:r>
    </w:p>
    <w:p w14:paraId="4F9DF2FD">
      <w:pPr>
        <w:spacing w:line="440" w:lineRule="exact"/>
        <w:ind w:firstLine="482" w:firstLineChars="200"/>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4、工程投资</w:t>
      </w:r>
    </w:p>
    <w:p w14:paraId="759FB5AE">
      <w:pPr>
        <w:spacing w:line="440" w:lineRule="exact"/>
        <w:ind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cs="Times New Roman"/>
          <w:color w:val="auto"/>
          <w:sz w:val="24"/>
          <w:highlight w:val="none"/>
        </w:rPr>
        <w:t>本项目总投资</w:t>
      </w:r>
      <w:r>
        <w:rPr>
          <w:rFonts w:hint="eastAsia" w:cs="Times New Roman"/>
          <w:color w:val="auto"/>
          <w:sz w:val="24"/>
          <w:highlight w:val="none"/>
          <w:lang w:val="en-US" w:eastAsia="zh-CN"/>
        </w:rPr>
        <w:t>510</w:t>
      </w:r>
      <w:r>
        <w:rPr>
          <w:rFonts w:hint="default" w:ascii="Times New Roman" w:hAnsi="Times New Roman" w:cs="Times New Roman"/>
          <w:color w:val="auto"/>
          <w:sz w:val="24"/>
          <w:highlight w:val="none"/>
        </w:rPr>
        <w:t>万元，其中环保投资</w:t>
      </w:r>
      <w:r>
        <w:rPr>
          <w:rFonts w:hint="eastAsia" w:cs="Times New Roman"/>
          <w:color w:val="auto"/>
          <w:sz w:val="24"/>
          <w:highlight w:val="none"/>
          <w:lang w:val="en-US" w:eastAsia="zh-CN"/>
        </w:rPr>
        <w:t>20</w:t>
      </w:r>
      <w:r>
        <w:rPr>
          <w:rFonts w:hint="default" w:ascii="Times New Roman" w:hAnsi="Times New Roman" w:cs="Times New Roman"/>
          <w:color w:val="auto"/>
          <w:sz w:val="24"/>
          <w:highlight w:val="none"/>
        </w:rPr>
        <w:t>万元，占总投资的</w:t>
      </w:r>
      <w:r>
        <w:rPr>
          <w:rFonts w:hint="eastAsia" w:cs="Times New Roman"/>
          <w:color w:val="auto"/>
          <w:sz w:val="24"/>
          <w:highlight w:val="none"/>
          <w:lang w:val="en-US" w:eastAsia="zh-CN"/>
        </w:rPr>
        <w:t>3.92</w:t>
      </w:r>
      <w:r>
        <w:rPr>
          <w:rFonts w:hint="default" w:ascii="Times New Roman" w:hAnsi="Times New Roman" w:cs="Times New Roman"/>
          <w:color w:val="auto"/>
          <w:sz w:val="24"/>
          <w:highlight w:val="none"/>
        </w:rPr>
        <w:t>%</w:t>
      </w:r>
      <w:r>
        <w:rPr>
          <w:rFonts w:hint="default" w:ascii="Times New Roman" w:hAnsi="Times New Roman" w:cs="Times New Roman"/>
          <w:color w:val="auto"/>
          <w:sz w:val="24"/>
          <w:highlight w:val="none"/>
          <w:lang w:eastAsia="zh-CN"/>
        </w:rPr>
        <w:t>。</w:t>
      </w:r>
    </w:p>
    <w:p w14:paraId="283A9CF0">
      <w:pPr>
        <w:spacing w:line="440" w:lineRule="exact"/>
        <w:ind w:firstLine="482" w:firstLineChars="200"/>
        <w:rPr>
          <w:rFonts w:hint="default" w:ascii="Times New Roman" w:hAnsi="Times New Roman" w:cs="Times New Roman"/>
          <w:b/>
          <w:bCs/>
          <w:color w:val="auto"/>
          <w:sz w:val="24"/>
          <w:highlight w:val="none"/>
        </w:rPr>
      </w:pPr>
      <w:r>
        <w:rPr>
          <w:rFonts w:hint="eastAsia" w:cs="Times New Roman"/>
          <w:b/>
          <w:bCs/>
          <w:color w:val="auto"/>
          <w:sz w:val="24"/>
          <w:highlight w:val="none"/>
          <w:lang w:val="en-US" w:eastAsia="zh-CN"/>
        </w:rPr>
        <w:t>5</w:t>
      </w:r>
      <w:r>
        <w:rPr>
          <w:rFonts w:hint="default" w:ascii="Times New Roman" w:hAnsi="Times New Roman" w:cs="Times New Roman"/>
          <w:b/>
          <w:bCs/>
          <w:color w:val="auto"/>
          <w:sz w:val="24"/>
          <w:highlight w:val="none"/>
        </w:rPr>
        <w:t>、建设地点</w:t>
      </w:r>
    </w:p>
    <w:p w14:paraId="5215F6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b/>
          <w:bCs/>
          <w:color w:val="auto"/>
          <w:sz w:val="24"/>
          <w:highlight w:val="none"/>
        </w:rPr>
      </w:pPr>
      <w:r>
        <w:rPr>
          <w:rFonts w:hint="default" w:ascii="Times New Roman" w:hAnsi="Times New Roman" w:cs="Times New Roman"/>
          <w:bCs/>
          <w:color w:val="auto"/>
          <w:sz w:val="24"/>
          <w:highlight w:val="none"/>
        </w:rPr>
        <w:t>本项目</w:t>
      </w:r>
      <w:r>
        <w:rPr>
          <w:rFonts w:hint="eastAsia" w:ascii="Times New Roman" w:hAnsi="Times New Roman" w:cs="Times New Roman"/>
          <w:bCs/>
          <w:color w:val="auto"/>
          <w:sz w:val="24"/>
          <w:highlight w:val="none"/>
          <w:lang w:val="en-US" w:eastAsia="zh-CN"/>
        </w:rPr>
        <w:t>位于</w:t>
      </w:r>
      <w:r>
        <w:rPr>
          <w:rFonts w:hint="eastAsia" w:cs="Times New Roman"/>
          <w:color w:val="auto"/>
          <w:sz w:val="24"/>
          <w:highlight w:val="none"/>
          <w:lang w:val="en-US" w:eastAsia="zh-CN"/>
        </w:rPr>
        <w:t>石家庄高新区化工中路100号石家庄东华金龙化工有限公司厂区内</w:t>
      </w:r>
      <w:r>
        <w:rPr>
          <w:rFonts w:hint="default" w:ascii="Times New Roman" w:hAnsi="Times New Roman" w:cs="Times New Roman"/>
          <w:bCs/>
          <w:color w:val="auto"/>
          <w:sz w:val="24"/>
          <w:highlight w:val="none"/>
        </w:rPr>
        <w:t>，项目利用污水处理设施东侧空地新建仓储设施，由北向南依次为甲类仓库一、乙类仓库、棚库，甲类仓库一东侧为甲类仓库二</w:t>
      </w:r>
      <w:r>
        <w:rPr>
          <w:rFonts w:hint="eastAsia" w:ascii="Times New Roman" w:hAnsi="Times New Roman" w:cs="Times New Roman"/>
          <w:bCs/>
          <w:color w:val="auto"/>
          <w:sz w:val="24"/>
          <w:highlight w:val="none"/>
          <w:lang w:eastAsia="zh-CN"/>
        </w:rPr>
        <w:t>；</w:t>
      </w:r>
      <w:r>
        <w:rPr>
          <w:rFonts w:hint="eastAsia" w:ascii="Times New Roman" w:hAnsi="Times New Roman" w:cs="Times New Roman"/>
          <w:bCs/>
          <w:color w:val="auto"/>
          <w:sz w:val="24"/>
          <w:highlight w:val="none"/>
          <w:lang w:val="en-US" w:eastAsia="zh-CN"/>
        </w:rPr>
        <w:t>拟建</w:t>
      </w:r>
      <w:r>
        <w:rPr>
          <w:rFonts w:hint="eastAsia" w:cs="Times New Roman"/>
          <w:bCs/>
          <w:color w:val="auto"/>
          <w:sz w:val="24"/>
          <w:highlight w:val="none"/>
          <w:lang w:val="en-US" w:eastAsia="zh-CN"/>
        </w:rPr>
        <w:t>项目北侧为化工中路，南侧隔内部路为海因车间及靶材车间，西侧为厂内污水处理设施，东侧为氨基乙酸成品库。</w:t>
      </w:r>
      <w:r>
        <w:rPr>
          <w:rFonts w:hint="default" w:ascii="Times New Roman" w:hAnsi="Times New Roman" w:cs="Times New Roman"/>
          <w:bCs/>
          <w:color w:val="auto"/>
          <w:sz w:val="24"/>
          <w:highlight w:val="none"/>
        </w:rPr>
        <w:t>坐标为</w:t>
      </w:r>
      <w:r>
        <w:rPr>
          <w:rFonts w:hint="default" w:ascii="Times New Roman" w:hAnsi="Times New Roman" w:cs="Times New Roman"/>
          <w:b w:val="0"/>
          <w:bCs w:val="0"/>
          <w:color w:val="auto"/>
          <w:sz w:val="24"/>
          <w:highlight w:val="none"/>
        </w:rPr>
        <w:t>东经114°</w:t>
      </w:r>
      <w:r>
        <w:rPr>
          <w:rFonts w:hint="eastAsia" w:cs="Times New Roman"/>
          <w:b w:val="0"/>
          <w:bCs w:val="0"/>
          <w:color w:val="auto"/>
          <w:sz w:val="24"/>
          <w:highlight w:val="none"/>
          <w:lang w:val="en-US" w:eastAsia="zh-CN"/>
        </w:rPr>
        <w:t>40</w:t>
      </w:r>
      <w:r>
        <w:rPr>
          <w:rFonts w:hint="default" w:ascii="Times New Roman" w:hAnsi="Times New Roman" w:cs="Times New Roman"/>
          <w:b w:val="0"/>
          <w:bCs w:val="0"/>
          <w:color w:val="auto"/>
          <w:sz w:val="24"/>
          <w:highlight w:val="none"/>
        </w:rPr>
        <w:t>′3</w:t>
      </w:r>
      <w:r>
        <w:rPr>
          <w:rFonts w:hint="eastAsia" w:cs="Times New Roman"/>
          <w:b w:val="0"/>
          <w:bCs w:val="0"/>
          <w:color w:val="auto"/>
          <w:sz w:val="24"/>
          <w:highlight w:val="none"/>
          <w:lang w:val="en-US" w:eastAsia="zh-CN"/>
        </w:rPr>
        <w:t>9.245</w:t>
      </w:r>
      <w:r>
        <w:rPr>
          <w:rFonts w:hint="default" w:ascii="Times New Roman" w:hAnsi="Times New Roman" w:cs="Times New Roman"/>
          <w:b w:val="0"/>
          <w:bCs w:val="0"/>
          <w:color w:val="auto"/>
          <w:sz w:val="24"/>
          <w:highlight w:val="none"/>
        </w:rPr>
        <w:t>″，北纬3</w:t>
      </w:r>
      <w:r>
        <w:rPr>
          <w:rFonts w:hint="eastAsia" w:cs="Times New Roman"/>
          <w:b w:val="0"/>
          <w:bCs w:val="0"/>
          <w:color w:val="auto"/>
          <w:sz w:val="24"/>
          <w:highlight w:val="none"/>
          <w:lang w:val="en-US" w:eastAsia="zh-CN"/>
        </w:rPr>
        <w:t>7</w:t>
      </w:r>
      <w:r>
        <w:rPr>
          <w:rFonts w:hint="default" w:ascii="Times New Roman" w:hAnsi="Times New Roman" w:cs="Times New Roman"/>
          <w:b w:val="0"/>
          <w:bCs w:val="0"/>
          <w:color w:val="auto"/>
          <w:sz w:val="24"/>
          <w:highlight w:val="none"/>
        </w:rPr>
        <w:t>°</w:t>
      </w:r>
      <w:r>
        <w:rPr>
          <w:rFonts w:hint="eastAsia" w:cs="Times New Roman"/>
          <w:b w:val="0"/>
          <w:bCs w:val="0"/>
          <w:color w:val="auto"/>
          <w:sz w:val="24"/>
          <w:highlight w:val="none"/>
          <w:lang w:val="en-US" w:eastAsia="zh-CN"/>
        </w:rPr>
        <w:t>57</w:t>
      </w:r>
      <w:r>
        <w:rPr>
          <w:rFonts w:hint="default" w:ascii="Times New Roman" w:hAnsi="Times New Roman" w:cs="Times New Roman"/>
          <w:b w:val="0"/>
          <w:bCs w:val="0"/>
          <w:color w:val="auto"/>
          <w:sz w:val="24"/>
          <w:highlight w:val="none"/>
        </w:rPr>
        <w:t>′</w:t>
      </w:r>
      <w:r>
        <w:rPr>
          <w:rFonts w:hint="eastAsia" w:cs="Times New Roman"/>
          <w:b w:val="0"/>
          <w:bCs w:val="0"/>
          <w:color w:val="auto"/>
          <w:sz w:val="24"/>
          <w:highlight w:val="none"/>
          <w:lang w:val="en-US" w:eastAsia="zh-CN"/>
        </w:rPr>
        <w:t>49.806</w:t>
      </w:r>
      <w:r>
        <w:rPr>
          <w:rFonts w:hint="default" w:ascii="Times New Roman" w:hAnsi="Times New Roman" w:cs="Times New Roman"/>
          <w:b w:val="0"/>
          <w:bCs w:val="0"/>
          <w:color w:val="auto"/>
          <w:sz w:val="24"/>
          <w:highlight w:val="none"/>
        </w:rPr>
        <w:t>″</w:t>
      </w:r>
      <w:r>
        <w:rPr>
          <w:rFonts w:hint="default" w:ascii="Times New Roman" w:hAnsi="Times New Roman" w:cs="Times New Roman"/>
          <w:bCs/>
          <w:color w:val="auto"/>
          <w:sz w:val="24"/>
          <w:highlight w:val="none"/>
        </w:rPr>
        <w:t>。</w:t>
      </w:r>
      <w:r>
        <w:rPr>
          <w:rFonts w:hint="eastAsia" w:cs="Times New Roman"/>
          <w:bCs/>
          <w:color w:val="auto"/>
          <w:sz w:val="24"/>
          <w:highlight w:val="none"/>
          <w:lang w:val="en-US" w:eastAsia="zh-CN"/>
        </w:rPr>
        <w:t>项目厂界</w:t>
      </w:r>
      <w:r>
        <w:rPr>
          <w:rFonts w:hint="eastAsia" w:ascii="Times New Roman" w:hAnsi="Times New Roman" w:eastAsia="宋体" w:cs="Times New Roman"/>
          <w:color w:val="auto"/>
          <w:sz w:val="24"/>
          <w:highlight w:val="none"/>
          <w:lang w:val="en-US" w:eastAsia="zh-CN"/>
        </w:rPr>
        <w:t>西南侧为东汇化工园区供水有限公司、河北省电力公司</w:t>
      </w:r>
      <w:r>
        <w:rPr>
          <w:rFonts w:hint="default" w:ascii="Times New Roman" w:hAnsi="Times New Roman" w:eastAsia="宋体" w:cs="Times New Roman"/>
          <w:color w:val="auto"/>
          <w:sz w:val="24"/>
          <w:highlight w:val="none"/>
          <w:lang w:val="en-US" w:eastAsia="zh-CN"/>
        </w:rPr>
        <w:t>220kV</w:t>
      </w:r>
      <w:r>
        <w:rPr>
          <w:rFonts w:hint="eastAsia" w:ascii="Times New Roman" w:hAnsi="Times New Roman" w:eastAsia="宋体" w:cs="Times New Roman"/>
          <w:color w:val="auto"/>
          <w:sz w:val="24"/>
          <w:highlight w:val="none"/>
          <w:lang w:val="en-US" w:eastAsia="zh-CN"/>
        </w:rPr>
        <w:t>石化变电站，隔石炼中路西侧自北向南依次为河北旭隆化工有限公司、河北协同化学有限公司、石家庄白龙化工股份有限公司；南侧为规划的化工南路（目前为空地）、空地；东侧为河北威远生物化工有限公司；北临化工中路、北侧隔道路为河北八维化工有限公司；东北侧为晋控金石化工集团有限公司石家庄循环化工园区分公司。项目厂界外500m范围内无环境保护目标</w:t>
      </w:r>
      <w:r>
        <w:rPr>
          <w:rFonts w:hint="default" w:ascii="Times New Roman" w:hAnsi="Times New Roman" w:cs="Times New Roman"/>
          <w:bCs/>
          <w:color w:val="auto"/>
          <w:sz w:val="24"/>
          <w:highlight w:val="none"/>
        </w:rPr>
        <w:t>。项目地理位置见附图1，周边关系见附图2。</w:t>
      </w:r>
    </w:p>
    <w:p w14:paraId="0E70D8C7">
      <w:pPr>
        <w:spacing w:line="440" w:lineRule="exact"/>
        <w:ind w:firstLine="482" w:firstLineChars="200"/>
        <w:rPr>
          <w:rFonts w:hint="default" w:ascii="Times New Roman" w:hAnsi="Times New Roman" w:cs="Times New Roman"/>
          <w:b/>
          <w:color w:val="auto"/>
          <w:sz w:val="24"/>
          <w:highlight w:val="none"/>
        </w:rPr>
      </w:pPr>
      <w:r>
        <w:rPr>
          <w:rFonts w:hint="eastAsia" w:cs="Times New Roman"/>
          <w:b/>
          <w:color w:val="auto"/>
          <w:sz w:val="24"/>
          <w:highlight w:val="none"/>
          <w:lang w:val="en-US" w:eastAsia="zh-CN"/>
        </w:rPr>
        <w:t>6</w:t>
      </w:r>
      <w:r>
        <w:rPr>
          <w:rFonts w:hint="default" w:ascii="Times New Roman" w:hAnsi="Times New Roman" w:cs="Times New Roman"/>
          <w:b/>
          <w:color w:val="auto"/>
          <w:sz w:val="24"/>
          <w:highlight w:val="none"/>
        </w:rPr>
        <w:t>、建设内容</w:t>
      </w:r>
    </w:p>
    <w:p w14:paraId="74D74879">
      <w:pPr>
        <w:rPr>
          <w:rFonts w:hint="default" w:ascii="Times New Roman" w:hAnsi="Times New Roman" w:eastAsia="宋体" w:cs="Times New Roman"/>
          <w:color w:val="auto"/>
          <w:sz w:val="24"/>
          <w:highlight w:val="none"/>
          <w:lang w:val="en-US" w:eastAsia="zh-CN"/>
        </w:rPr>
      </w:pPr>
      <w:r>
        <w:rPr>
          <w:rFonts w:hint="eastAsia" w:ascii="宋体" w:hAnsi="宋体" w:eastAsia="宋体" w:cs="宋体"/>
          <w:color w:val="auto"/>
          <w:sz w:val="24"/>
          <w:highlight w:val="none"/>
        </w:rPr>
        <w:t>本项目位于</w:t>
      </w:r>
      <w:r>
        <w:rPr>
          <w:rFonts w:hint="eastAsia" w:ascii="宋体" w:hAnsi="宋体" w:eastAsia="宋体" w:cs="宋体"/>
          <w:color w:val="auto"/>
          <w:sz w:val="24"/>
          <w:highlight w:val="none"/>
          <w:lang w:val="en-US" w:eastAsia="zh-CN"/>
        </w:rPr>
        <w:t>石家</w:t>
      </w:r>
      <w:r>
        <w:rPr>
          <w:rFonts w:hint="default" w:ascii="Times New Roman" w:hAnsi="Times New Roman" w:eastAsia="宋体" w:cs="Times New Roman"/>
          <w:color w:val="auto"/>
          <w:sz w:val="24"/>
          <w:highlight w:val="none"/>
          <w:lang w:val="en-US" w:eastAsia="zh-CN"/>
        </w:rPr>
        <w:t>庄高新区化工中路100号石家庄东华金龙化工有限公司厂区内，项目总占地面积为10000m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，总建筑面积为</w:t>
      </w:r>
      <w:r>
        <w:rPr>
          <w:rFonts w:hint="eastAsia" w:cs="Times New Roman"/>
          <w:color w:val="auto"/>
          <w:sz w:val="24"/>
          <w:highlight w:val="none"/>
          <w:lang w:val="en-US" w:eastAsia="zh-CN"/>
        </w:rPr>
        <w:t>2514</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。新建甲类仓库2座、乙类仓库1座、丁类棚库1座。</w:t>
      </w:r>
    </w:p>
    <w:p w14:paraId="26AD7EAB">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both"/>
        <w:textAlignment w:val="auto"/>
        <w:rPr>
          <w:rFonts w:hint="default" w:ascii="Times New Roman" w:hAnsi="Times New Roman" w:cs="Times New Roman"/>
          <w:b/>
          <w:bCs/>
          <w:color w:val="auto"/>
          <w:sz w:val="24"/>
          <w:highlight w:val="none"/>
          <w:lang w:val="en-US"/>
        </w:rPr>
      </w:pPr>
      <w:r>
        <w:rPr>
          <w:rFonts w:hint="eastAsia" w:ascii="Times New Roman" w:hAnsi="Times New Roman" w:eastAsia="宋体" w:cs="Times New Roman"/>
          <w:color w:val="auto"/>
          <w:sz w:val="24"/>
          <w:highlight w:val="none"/>
          <w:lang w:val="en-US" w:eastAsia="zh-CN"/>
        </w:rPr>
        <w:t>本项目主要建设内容为：新建</w:t>
      </w:r>
      <w:r>
        <w:rPr>
          <w:rFonts w:hint="eastAsia" w:cs="Times New Roman"/>
          <w:color w:val="auto"/>
          <w:sz w:val="24"/>
          <w:highlight w:val="none"/>
          <w:lang w:val="en-US" w:eastAsia="zh-CN"/>
        </w:rPr>
        <w:t>2</w:t>
      </w:r>
      <w:r>
        <w:rPr>
          <w:rFonts w:hint="eastAsia" w:ascii="Times New Roman" w:hAnsi="Times New Roman" w:eastAsia="宋体" w:cs="Times New Roman"/>
          <w:color w:val="auto"/>
          <w:sz w:val="24"/>
          <w:highlight w:val="none"/>
          <w:lang w:val="en-US" w:eastAsia="zh-CN"/>
        </w:rPr>
        <w:t>座甲类仓库</w:t>
      </w:r>
      <w:r>
        <w:rPr>
          <w:rFonts w:hint="default" w:ascii="Times New Roman" w:hAnsi="Times New Roman" w:eastAsia="宋体" w:cs="Times New Roman"/>
          <w:color w:val="auto"/>
          <w:sz w:val="24"/>
          <w:highlight w:val="none"/>
          <w:lang w:val="en-US" w:eastAsia="zh-CN"/>
        </w:rPr>
        <w:t>、1座乙类仓库</w:t>
      </w:r>
      <w:r>
        <w:rPr>
          <w:rFonts w:hint="eastAsia" w:ascii="Times New Roman" w:hAnsi="Times New Roman" w:eastAsia="宋体"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1座丁类棚库</w:t>
      </w:r>
      <w:r>
        <w:rPr>
          <w:rFonts w:hint="eastAsia" w:ascii="Times New Roman" w:hAnsi="Times New Roman" w:eastAsia="宋体" w:cs="Times New Roman"/>
          <w:bCs/>
          <w:color w:val="auto"/>
          <w:kern w:val="2"/>
          <w:sz w:val="24"/>
          <w:szCs w:val="24"/>
          <w:highlight w:val="none"/>
          <w:lang w:val="en-US" w:eastAsia="zh-CN" w:bidi="ar-SA"/>
        </w:rPr>
        <w:t>，用于存储固体乌洛托品、固体氯乙酸、水合肼、铝粉、五金备件、丁戊类产品及原辅材料、危废等。</w:t>
      </w:r>
    </w:p>
    <w:p w14:paraId="5E9876E1">
      <w:pPr>
        <w:spacing w:line="440" w:lineRule="exact"/>
        <w:ind w:firstLine="482" w:firstLineChars="200"/>
        <w:rPr>
          <w:rFonts w:hint="default" w:ascii="Times New Roman" w:hAnsi="Times New Roman" w:eastAsia="宋体" w:cs="Times New Roman"/>
          <w:b/>
          <w:color w:val="auto"/>
          <w:sz w:val="24"/>
          <w:highlight w:val="none"/>
          <w:lang w:val="en-US" w:eastAsia="zh-CN"/>
        </w:rPr>
      </w:pPr>
      <w:r>
        <w:rPr>
          <w:rFonts w:hint="eastAsia" w:ascii="Times New Roman" w:hAnsi="Times New Roman" w:eastAsia="宋体" w:cs="Times New Roman"/>
          <w:b/>
          <w:color w:val="auto"/>
          <w:sz w:val="24"/>
          <w:highlight w:val="none"/>
          <w:lang w:val="en-US" w:eastAsia="zh-CN"/>
        </w:rPr>
        <w:t>7、</w:t>
      </w:r>
      <w:r>
        <w:rPr>
          <w:rFonts w:hint="default" w:ascii="Times New Roman" w:hAnsi="Times New Roman" w:eastAsia="宋体" w:cs="Times New Roman"/>
          <w:b/>
          <w:color w:val="auto"/>
          <w:sz w:val="24"/>
          <w:highlight w:val="none"/>
          <w:lang w:val="en-US" w:eastAsia="zh-CN"/>
        </w:rPr>
        <w:t>危废</w:t>
      </w:r>
      <w:r>
        <w:rPr>
          <w:rFonts w:hint="eastAsia" w:ascii="Times New Roman" w:hAnsi="Times New Roman" w:eastAsia="宋体" w:cs="Times New Roman"/>
          <w:b/>
          <w:color w:val="auto"/>
          <w:sz w:val="24"/>
          <w:highlight w:val="none"/>
          <w:lang w:val="en-US" w:eastAsia="zh-CN"/>
        </w:rPr>
        <w:t>库具体</w:t>
      </w:r>
      <w:r>
        <w:rPr>
          <w:rFonts w:hint="default" w:ascii="Times New Roman" w:hAnsi="Times New Roman" w:eastAsia="宋体" w:cs="Times New Roman"/>
          <w:b/>
          <w:color w:val="auto"/>
          <w:sz w:val="24"/>
          <w:highlight w:val="none"/>
          <w:lang w:val="en-US" w:eastAsia="zh-CN"/>
        </w:rPr>
        <w:t>建设方案</w:t>
      </w:r>
    </w:p>
    <w:p w14:paraId="3C9E66EB">
      <w:pPr>
        <w:spacing w:line="440" w:lineRule="exact"/>
        <w:ind w:firstLine="480" w:firstLineChars="200"/>
        <w:rPr>
          <w:rFonts w:hint="eastAsia" w:eastAsia="宋体" w:cs="Times New Roman"/>
          <w:bCs/>
          <w:color w:val="auto"/>
          <w:sz w:val="24"/>
          <w:highlight w:val="none"/>
          <w:lang w:val="en-US" w:eastAsia="zh-CN"/>
        </w:rPr>
      </w:pPr>
      <w:r>
        <w:rPr>
          <w:rFonts w:hint="eastAsia" w:eastAsia="宋体" w:cs="Times New Roman"/>
          <w:bCs/>
          <w:color w:val="auto"/>
          <w:sz w:val="24"/>
          <w:highlight w:val="none"/>
          <w:lang w:val="en-US" w:eastAsia="zh-CN"/>
        </w:rPr>
        <w:t>本次建设完成后，现有存放的危险废物全部移入新建的危废库中，现有危废库停用，其场地规划预留为厂区后续其他扩建项目使用。新建危废库存放的危废种类均不发生变化，同时，现有危废库配套的废气处理装置将整体迁移至新建危废库，继续投入使用，因此本项目仅对新建危废库进行详细分析。</w:t>
      </w:r>
    </w:p>
    <w:p w14:paraId="41190EBB">
      <w:pPr>
        <w:spacing w:line="440" w:lineRule="exact"/>
        <w:ind w:firstLine="482" w:firstLineChars="200"/>
        <w:rPr>
          <w:rFonts w:hint="default" w:ascii="Times New Roman" w:hAnsi="Times New Roman" w:cs="Times New Roman"/>
          <w:b/>
          <w:color w:val="auto"/>
          <w:sz w:val="24"/>
          <w:highlight w:val="none"/>
        </w:rPr>
      </w:pPr>
      <w:r>
        <w:rPr>
          <w:rFonts w:hint="eastAsia" w:cs="Times New Roman"/>
          <w:b/>
          <w:color w:val="auto"/>
          <w:sz w:val="24"/>
          <w:highlight w:val="none"/>
          <w:lang w:val="en-US" w:eastAsia="zh-CN"/>
        </w:rPr>
        <w:t>8</w:t>
      </w:r>
      <w:r>
        <w:rPr>
          <w:rFonts w:hint="default" w:ascii="Times New Roman" w:hAnsi="Times New Roman" w:cs="Times New Roman"/>
          <w:b/>
          <w:color w:val="auto"/>
          <w:sz w:val="24"/>
          <w:highlight w:val="none"/>
        </w:rPr>
        <w:t>、</w:t>
      </w:r>
      <w:r>
        <w:rPr>
          <w:rFonts w:hint="eastAsia" w:cs="Times New Roman"/>
          <w:b/>
          <w:color w:val="auto"/>
          <w:sz w:val="24"/>
          <w:highlight w:val="none"/>
          <w:lang w:val="en-US" w:eastAsia="zh-CN"/>
        </w:rPr>
        <w:t>各仓库储存</w:t>
      </w:r>
      <w:r>
        <w:rPr>
          <w:rFonts w:hint="default" w:ascii="Times New Roman" w:hAnsi="Times New Roman" w:cs="Times New Roman"/>
          <w:b/>
          <w:color w:val="auto"/>
          <w:sz w:val="24"/>
          <w:highlight w:val="none"/>
        </w:rPr>
        <w:t>方案</w:t>
      </w:r>
    </w:p>
    <w:p w14:paraId="62EB4EF9">
      <w:pPr>
        <w:pStyle w:val="2"/>
        <w:rPr>
          <w:rFonts w:hint="default" w:ascii="Times New Roman" w:hAnsi="Times New Roman" w:cs="Times New Roman"/>
          <w:bCs/>
          <w:color w:val="auto"/>
          <w:sz w:val="24"/>
          <w:highlight w:val="none"/>
          <w:lang w:val="en-US" w:eastAsia="zh-CN"/>
        </w:rPr>
      </w:pPr>
      <w:r>
        <w:rPr>
          <w:rFonts w:hint="default" w:ascii="Times New Roman" w:hAnsi="Times New Roman" w:cs="Times New Roman"/>
          <w:bCs/>
          <w:color w:val="auto"/>
          <w:sz w:val="24"/>
          <w:highlight w:val="none"/>
        </w:rPr>
        <w:t>本</w:t>
      </w:r>
      <w:r>
        <w:rPr>
          <w:rFonts w:hint="default" w:ascii="Times New Roman" w:hAnsi="Times New Roman" w:cs="Times New Roman"/>
          <w:bCs/>
          <w:color w:val="auto"/>
          <w:sz w:val="24"/>
          <w:highlight w:val="none"/>
          <w:lang w:val="en-US" w:eastAsia="zh-CN"/>
        </w:rPr>
        <w:t>项目</w:t>
      </w:r>
      <w:r>
        <w:rPr>
          <w:rFonts w:hint="eastAsia" w:cs="Times New Roman"/>
          <w:bCs/>
          <w:color w:val="auto"/>
          <w:sz w:val="24"/>
          <w:highlight w:val="none"/>
          <w:lang w:val="en-US" w:eastAsia="zh-CN"/>
        </w:rPr>
        <w:t>新建仓储设施，主要</w:t>
      </w:r>
      <w:r>
        <w:rPr>
          <w:rFonts w:hint="default" w:ascii="Times New Roman" w:hAnsi="Times New Roman" w:cs="Times New Roman"/>
          <w:bCs/>
          <w:color w:val="auto"/>
          <w:sz w:val="24"/>
          <w:highlight w:val="none"/>
          <w:lang w:val="en-US" w:eastAsia="zh-CN"/>
        </w:rPr>
        <w:t>用于水合肼、乙炔（压缩）、氧气（压缩）、氮气（压缩）、氩气（压缩）、油漆、</w:t>
      </w:r>
      <w:r>
        <w:rPr>
          <w:rFonts w:hint="eastAsia" w:cs="Times New Roman"/>
          <w:bCs/>
          <w:color w:val="auto"/>
          <w:sz w:val="24"/>
          <w:highlight w:val="none"/>
          <w:lang w:val="en-US" w:eastAsia="zh-CN"/>
        </w:rPr>
        <w:t>全厂</w:t>
      </w:r>
      <w:r>
        <w:rPr>
          <w:rFonts w:hint="default" w:ascii="Times New Roman" w:hAnsi="Times New Roman" w:cs="Times New Roman"/>
          <w:bCs/>
          <w:color w:val="auto"/>
          <w:sz w:val="24"/>
          <w:highlight w:val="none"/>
          <w:lang w:val="en-US" w:eastAsia="zh-CN"/>
        </w:rPr>
        <w:t>危废、铝粉、氯乙酸、乌洛托品</w:t>
      </w:r>
      <w:r>
        <w:rPr>
          <w:rFonts w:hint="eastAsia" w:cs="Times New Roman"/>
          <w:bCs/>
          <w:color w:val="auto"/>
          <w:sz w:val="24"/>
          <w:highlight w:val="none"/>
          <w:lang w:val="en-US" w:eastAsia="zh-CN"/>
        </w:rPr>
        <w:t>、硫磺</w:t>
      </w:r>
      <w:r>
        <w:rPr>
          <w:rFonts w:hint="default" w:ascii="Times New Roman" w:hAnsi="Times New Roman" w:cs="Times New Roman"/>
          <w:bCs/>
          <w:color w:val="auto"/>
          <w:sz w:val="24"/>
          <w:highlight w:val="none"/>
          <w:lang w:val="en-US" w:eastAsia="zh-CN"/>
        </w:rPr>
        <w:t>的储存，不涉及产品生产。</w:t>
      </w:r>
    </w:p>
    <w:p w14:paraId="201FA7E7">
      <w:pPr>
        <w:spacing w:line="360" w:lineRule="auto"/>
        <w:ind w:firstLine="482" w:firstLineChars="200"/>
        <w:rPr>
          <w:rFonts w:hint="default" w:ascii="Times New Roman" w:hAnsi="Times New Roman" w:eastAsia="宋体" w:cs="Times New Roman"/>
          <w:b/>
          <w:color w:val="auto"/>
          <w:sz w:val="24"/>
          <w:highlight w:val="none"/>
          <w:lang w:val="en-US" w:eastAsia="zh-CN"/>
        </w:rPr>
      </w:pPr>
      <w:r>
        <w:rPr>
          <w:rFonts w:hint="eastAsia" w:cs="Times New Roman"/>
          <w:b/>
          <w:color w:val="auto"/>
          <w:sz w:val="24"/>
          <w:highlight w:val="none"/>
          <w:lang w:val="en-US" w:eastAsia="zh-CN"/>
        </w:rPr>
        <w:t>8</w:t>
      </w:r>
      <w:r>
        <w:rPr>
          <w:rFonts w:hint="default" w:ascii="Times New Roman" w:hAnsi="Times New Roman" w:cs="Times New Roman"/>
          <w:b/>
          <w:color w:val="auto"/>
          <w:sz w:val="24"/>
          <w:highlight w:val="none"/>
        </w:rPr>
        <w:t>、公用工程</w:t>
      </w:r>
    </w:p>
    <w:p w14:paraId="721D8BA7">
      <w:pPr>
        <w:pStyle w:val="5"/>
        <w:spacing w:line="360" w:lineRule="auto"/>
        <w:ind w:firstLine="480" w:firstLineChars="200"/>
        <w:jc w:val="both"/>
        <w:rPr>
          <w:rFonts w:hint="default" w:ascii="Times New Roman" w:hAnsi="Times New Roman" w:eastAsia="宋体" w:cs="Times New Roman"/>
          <w:bCs/>
          <w:color w:val="auto"/>
          <w:kern w:val="2"/>
          <w:sz w:val="24"/>
          <w:szCs w:val="24"/>
          <w:highlight w:val="none"/>
          <w:lang w:val="en-US" w:eastAsia="zh-CN" w:bidi="ar-SA"/>
        </w:rPr>
      </w:pPr>
      <w:r>
        <w:rPr>
          <w:rFonts w:hint="default" w:ascii="Times New Roman" w:hAnsi="Times New Roman" w:eastAsia="宋体" w:cs="Times New Roman"/>
          <w:bCs/>
          <w:color w:val="auto"/>
          <w:kern w:val="2"/>
          <w:sz w:val="24"/>
          <w:szCs w:val="24"/>
          <w:highlight w:val="none"/>
          <w:lang w:val="en-US" w:eastAsia="zh-CN" w:bidi="ar-SA"/>
        </w:rPr>
        <w:t>（1）供电</w:t>
      </w:r>
    </w:p>
    <w:p w14:paraId="2B19B5CC">
      <w:pPr>
        <w:pStyle w:val="5"/>
        <w:spacing w:line="360" w:lineRule="auto"/>
        <w:ind w:firstLine="480" w:firstLineChars="200"/>
        <w:jc w:val="both"/>
        <w:rPr>
          <w:rFonts w:hint="default" w:ascii="Times New Roman" w:hAnsi="Times New Roman" w:eastAsia="宋体" w:cs="Times New Roman"/>
          <w:bCs/>
          <w:color w:val="auto"/>
          <w:kern w:val="2"/>
          <w:sz w:val="24"/>
          <w:szCs w:val="24"/>
          <w:highlight w:val="none"/>
          <w:lang w:val="en-US" w:eastAsia="zh-CN" w:bidi="ar-SA"/>
        </w:rPr>
      </w:pPr>
      <w:r>
        <w:rPr>
          <w:rFonts w:hint="default" w:ascii="Times New Roman" w:hAnsi="Times New Roman" w:eastAsia="宋体" w:cs="Times New Roman"/>
          <w:bCs/>
          <w:color w:val="auto"/>
          <w:kern w:val="2"/>
          <w:sz w:val="24"/>
          <w:szCs w:val="24"/>
          <w:highlight w:val="none"/>
          <w:lang w:val="en-US" w:eastAsia="zh-CN" w:bidi="ar-SA"/>
        </w:rPr>
        <w:t>拟建项目供电电源来自开发区供电电网，依托厂现有供配电设施，项目用电为照明、风机、泵等。</w:t>
      </w:r>
    </w:p>
    <w:p w14:paraId="394C4637">
      <w:pPr>
        <w:pStyle w:val="5"/>
        <w:spacing w:line="360" w:lineRule="auto"/>
        <w:ind w:firstLine="480" w:firstLineChars="200"/>
        <w:jc w:val="both"/>
        <w:rPr>
          <w:rFonts w:hint="default" w:ascii="Times New Roman" w:hAnsi="Times New Roman" w:eastAsia="宋体" w:cs="Times New Roman"/>
          <w:bCs/>
          <w:color w:val="auto"/>
          <w:kern w:val="2"/>
          <w:sz w:val="24"/>
          <w:szCs w:val="24"/>
          <w:highlight w:val="none"/>
          <w:lang w:val="en-US" w:eastAsia="zh-CN" w:bidi="ar-SA"/>
        </w:rPr>
      </w:pPr>
      <w:r>
        <w:rPr>
          <w:rFonts w:hint="default" w:ascii="Times New Roman" w:hAnsi="Times New Roman" w:eastAsia="宋体" w:cs="Times New Roman"/>
          <w:bCs/>
          <w:color w:val="auto"/>
          <w:kern w:val="2"/>
          <w:sz w:val="24"/>
          <w:szCs w:val="24"/>
          <w:highlight w:val="none"/>
          <w:lang w:val="en-US" w:eastAsia="zh-CN" w:bidi="ar-SA"/>
        </w:rPr>
        <w:t>（2）供热</w:t>
      </w:r>
    </w:p>
    <w:p w14:paraId="27676FA7">
      <w:pPr>
        <w:pStyle w:val="5"/>
        <w:spacing w:line="360" w:lineRule="auto"/>
        <w:ind w:firstLine="480" w:firstLineChars="200"/>
        <w:jc w:val="both"/>
        <w:rPr>
          <w:rFonts w:hint="default" w:ascii="Times New Roman" w:hAnsi="Times New Roman" w:eastAsia="宋体" w:cs="Times New Roman"/>
          <w:bCs/>
          <w:color w:val="auto"/>
          <w:kern w:val="2"/>
          <w:sz w:val="24"/>
          <w:szCs w:val="24"/>
          <w:highlight w:val="none"/>
          <w:lang w:val="en-US" w:eastAsia="zh-CN" w:bidi="ar-SA"/>
        </w:rPr>
      </w:pPr>
      <w:r>
        <w:rPr>
          <w:rFonts w:hint="default" w:ascii="Times New Roman" w:hAnsi="Times New Roman" w:eastAsia="宋体" w:cs="Times New Roman"/>
          <w:bCs/>
          <w:color w:val="auto"/>
          <w:kern w:val="2"/>
          <w:sz w:val="24"/>
          <w:szCs w:val="24"/>
          <w:highlight w:val="none"/>
          <w:lang w:val="en-US" w:eastAsia="zh-CN" w:bidi="ar-SA"/>
        </w:rPr>
        <w:t>厂内现有用热由园区供热管网供给。本项目无新增用热需求。</w:t>
      </w:r>
    </w:p>
    <w:p w14:paraId="313367A6">
      <w:pPr>
        <w:pStyle w:val="5"/>
        <w:spacing w:line="360" w:lineRule="auto"/>
        <w:ind w:firstLine="480" w:firstLineChars="200"/>
        <w:jc w:val="both"/>
        <w:rPr>
          <w:rFonts w:hint="default" w:ascii="Times New Roman" w:hAnsi="Times New Roman" w:eastAsia="宋体" w:cs="Times New Roman"/>
          <w:bCs/>
          <w:color w:val="auto"/>
          <w:kern w:val="2"/>
          <w:sz w:val="24"/>
          <w:szCs w:val="24"/>
          <w:highlight w:val="none"/>
          <w:lang w:val="en-US" w:eastAsia="zh-CN" w:bidi="ar-SA"/>
        </w:rPr>
      </w:pPr>
      <w:r>
        <w:rPr>
          <w:rFonts w:hint="default" w:ascii="Times New Roman" w:hAnsi="Times New Roman" w:eastAsia="宋体" w:cs="Times New Roman"/>
          <w:bCs/>
          <w:color w:val="auto"/>
          <w:kern w:val="2"/>
          <w:sz w:val="24"/>
          <w:szCs w:val="24"/>
          <w:highlight w:val="none"/>
          <w:lang w:val="en-US" w:eastAsia="zh-CN" w:bidi="ar-SA"/>
        </w:rPr>
        <w:t>（3）给</w:t>
      </w:r>
      <w:r>
        <w:rPr>
          <w:rFonts w:hint="eastAsia" w:ascii="Times New Roman" w:hAnsi="Times New Roman" w:eastAsia="宋体" w:cs="Times New Roman"/>
          <w:bCs/>
          <w:color w:val="auto"/>
          <w:kern w:val="2"/>
          <w:sz w:val="24"/>
          <w:szCs w:val="24"/>
          <w:highlight w:val="none"/>
          <w:lang w:val="en-US" w:eastAsia="zh-CN" w:bidi="ar-SA"/>
        </w:rPr>
        <w:t>排</w:t>
      </w:r>
      <w:r>
        <w:rPr>
          <w:rFonts w:hint="default" w:ascii="Times New Roman" w:hAnsi="Times New Roman" w:eastAsia="宋体" w:cs="Times New Roman"/>
          <w:bCs/>
          <w:color w:val="auto"/>
          <w:kern w:val="2"/>
          <w:sz w:val="24"/>
          <w:szCs w:val="24"/>
          <w:highlight w:val="none"/>
          <w:lang w:val="en-US" w:eastAsia="zh-CN" w:bidi="ar-SA"/>
        </w:rPr>
        <w:t>水</w:t>
      </w:r>
    </w:p>
    <w:p w14:paraId="3EFAB308">
      <w:pPr>
        <w:pStyle w:val="2"/>
        <w:rPr>
          <w:rFonts w:hint="eastAsia" w:ascii="Segoe UI Emoji" w:hAnsi="Segoe UI Emoji" w:eastAsia="宋体" w:cs="Segoe UI Emoji"/>
          <w:i w:val="0"/>
          <w:iCs w:val="0"/>
          <w:caps w:val="0"/>
          <w:color w:val="auto"/>
          <w:spacing w:val="0"/>
          <w:sz w:val="24"/>
          <w:szCs w:val="24"/>
          <w:highlight w:val="none"/>
          <w:shd w:val="clear" w:fill="FFFFFF"/>
          <w:lang w:eastAsia="zh-CN"/>
        </w:rPr>
      </w:pPr>
      <w:r>
        <w:rPr>
          <w:rFonts w:hint="default" w:cs="Times New Roman"/>
          <w:bCs/>
          <w:color w:val="auto"/>
          <w:sz w:val="24"/>
          <w:highlight w:val="none"/>
          <w:lang w:val="en-US" w:eastAsia="zh-CN"/>
        </w:rPr>
        <w:t>本项目无新增劳动定员，故无新增生活用水和排水。项目用水仅为危废库配套尾气治理设施用水</w:t>
      </w:r>
      <w:r>
        <w:rPr>
          <w:rFonts w:hint="eastAsia" w:cs="Times New Roman"/>
          <w:bCs/>
          <w:color w:val="auto"/>
          <w:sz w:val="24"/>
          <w:highlight w:val="none"/>
          <w:lang w:val="en-US" w:eastAsia="zh-CN"/>
        </w:rPr>
        <w:t>，由员工每日检查循环水箱的液位计，及时进行补充水量，维持液位在正常区间。</w:t>
      </w:r>
      <w:r>
        <w:rPr>
          <w:rFonts w:hint="default" w:cs="Times New Roman"/>
          <w:bCs/>
          <w:color w:val="auto"/>
          <w:sz w:val="24"/>
          <w:highlight w:val="none"/>
          <w:lang w:val="en-US" w:eastAsia="zh-CN"/>
        </w:rPr>
        <w:t>危废库配套尾气治理设施排水</w:t>
      </w:r>
      <w:r>
        <w:rPr>
          <w:rFonts w:hint="eastAsia" w:cs="Times New Roman"/>
          <w:bCs/>
          <w:color w:val="auto"/>
          <w:sz w:val="24"/>
          <w:highlight w:val="none"/>
          <w:lang w:val="en-US" w:eastAsia="zh-CN"/>
        </w:rPr>
        <w:t>，</w:t>
      </w:r>
      <w:r>
        <w:rPr>
          <w:rFonts w:hint="default" w:cs="Times New Roman"/>
          <w:bCs/>
          <w:color w:val="auto"/>
          <w:sz w:val="24"/>
          <w:highlight w:val="none"/>
          <w:lang w:val="en-US" w:eastAsia="zh-CN"/>
        </w:rPr>
        <w:t>尾气治理设施</w:t>
      </w:r>
      <w:r>
        <w:rPr>
          <w:rFonts w:hint="eastAsia" w:cs="Times New Roman"/>
          <w:bCs/>
          <w:color w:val="auto"/>
          <w:sz w:val="24"/>
          <w:highlight w:val="none"/>
          <w:lang w:val="en-US" w:eastAsia="zh-CN"/>
        </w:rPr>
        <w:t>配备连续排污装置，每日通过溢流口持续排出少量循环水，以维持水质稳定</w:t>
      </w:r>
      <w:r>
        <w:rPr>
          <w:rFonts w:hint="default" w:cs="Times New Roman"/>
          <w:bCs/>
          <w:color w:val="auto"/>
          <w:sz w:val="24"/>
          <w:highlight w:val="none"/>
          <w:lang w:val="en-US" w:eastAsia="zh-CN"/>
        </w:rPr>
        <w:t>。</w:t>
      </w:r>
      <w:r>
        <w:rPr>
          <w:rFonts w:hint="eastAsia" w:cs="Times New Roman"/>
          <w:bCs/>
          <w:color w:val="auto"/>
          <w:sz w:val="24"/>
          <w:highlight w:val="none"/>
          <w:lang w:val="en-US" w:eastAsia="zh-CN"/>
        </w:rPr>
        <w:t>本次新建危废库面积为144m</w:t>
      </w:r>
      <w:r>
        <w:rPr>
          <w:rFonts w:hint="eastAsia" w:cs="Times New Roman"/>
          <w:bCs/>
          <w:color w:val="auto"/>
          <w:sz w:val="24"/>
          <w:highlight w:val="none"/>
          <w:vertAlign w:val="superscript"/>
          <w:lang w:val="en-US" w:eastAsia="zh-CN"/>
        </w:rPr>
        <w:t>2</w:t>
      </w:r>
      <w:r>
        <w:rPr>
          <w:rFonts w:hint="eastAsia" w:cs="Times New Roman"/>
          <w:bCs/>
          <w:color w:val="auto"/>
          <w:sz w:val="24"/>
          <w:highlight w:val="none"/>
          <w:lang w:val="en-US" w:eastAsia="zh-CN"/>
        </w:rPr>
        <w:t>，高3m，即容积为432m</w:t>
      </w:r>
      <w:r>
        <w:rPr>
          <w:rFonts w:hint="eastAsia" w:cs="Times New Roman"/>
          <w:bCs/>
          <w:color w:val="auto"/>
          <w:sz w:val="24"/>
          <w:highlight w:val="none"/>
          <w:vertAlign w:val="superscript"/>
          <w:lang w:val="en-US" w:eastAsia="zh-CN"/>
        </w:rPr>
        <w:t>3</w:t>
      </w:r>
      <w:r>
        <w:rPr>
          <w:rFonts w:hint="eastAsia" w:cs="Times New Roman"/>
          <w:bCs/>
          <w:color w:val="auto"/>
          <w:sz w:val="24"/>
          <w:highlight w:val="none"/>
          <w:lang w:val="en-US" w:eastAsia="zh-CN"/>
        </w:rPr>
        <w:t>，涉及废气换气量每小时6次，故设计废气排放量为2600m</w:t>
      </w:r>
      <w:r>
        <w:rPr>
          <w:rFonts w:hint="eastAsia" w:cs="Times New Roman"/>
          <w:bCs/>
          <w:color w:val="auto"/>
          <w:sz w:val="24"/>
          <w:highlight w:val="none"/>
          <w:vertAlign w:val="superscript"/>
          <w:lang w:val="en-US" w:eastAsia="zh-CN"/>
        </w:rPr>
        <w:t>3</w:t>
      </w:r>
      <w:r>
        <w:rPr>
          <w:rFonts w:hint="eastAsia" w:cs="Times New Roman"/>
          <w:bCs/>
          <w:color w:val="auto"/>
          <w:sz w:val="24"/>
          <w:highlight w:val="none"/>
          <w:lang w:val="en-US" w:eastAsia="zh-CN"/>
        </w:rPr>
        <w:t>/h。现有实际监测风量为2863m</w:t>
      </w:r>
      <w:r>
        <w:rPr>
          <w:rFonts w:hint="eastAsia" w:cs="Times New Roman"/>
          <w:bCs/>
          <w:color w:val="auto"/>
          <w:sz w:val="24"/>
          <w:highlight w:val="none"/>
          <w:vertAlign w:val="superscript"/>
          <w:lang w:val="en-US" w:eastAsia="zh-CN"/>
        </w:rPr>
        <w:t>3</w:t>
      </w:r>
      <w:r>
        <w:rPr>
          <w:rFonts w:hint="eastAsia" w:cs="Times New Roman"/>
          <w:bCs/>
          <w:color w:val="auto"/>
          <w:sz w:val="24"/>
          <w:highlight w:val="none"/>
          <w:lang w:val="en-US" w:eastAsia="zh-CN"/>
        </w:rPr>
        <w:t>/h，较现有排放风量减少263m</w:t>
      </w:r>
      <w:r>
        <w:rPr>
          <w:rFonts w:hint="eastAsia" w:cs="Times New Roman"/>
          <w:bCs/>
          <w:color w:val="auto"/>
          <w:sz w:val="24"/>
          <w:highlight w:val="none"/>
          <w:vertAlign w:val="superscript"/>
          <w:lang w:val="en-US" w:eastAsia="zh-CN"/>
        </w:rPr>
        <w:t>3</w:t>
      </w:r>
      <w:r>
        <w:rPr>
          <w:rFonts w:hint="eastAsia" w:cs="Times New Roman"/>
          <w:bCs/>
          <w:color w:val="auto"/>
          <w:sz w:val="24"/>
          <w:highlight w:val="none"/>
          <w:lang w:val="en-US" w:eastAsia="zh-CN"/>
        </w:rPr>
        <w:t>/h。即本次工程配套废气处理设施处理能力较现状减小，根据企业提供现状危废间废气处理设施排水量为0.8m</w:t>
      </w:r>
      <w:r>
        <w:rPr>
          <w:rFonts w:hint="eastAsia" w:cs="Times New Roman"/>
          <w:bCs/>
          <w:color w:val="auto"/>
          <w:sz w:val="24"/>
          <w:highlight w:val="none"/>
          <w:vertAlign w:val="superscript"/>
          <w:lang w:val="en-US" w:eastAsia="zh-CN"/>
        </w:rPr>
        <w:t>3</w:t>
      </w:r>
      <w:r>
        <w:rPr>
          <w:rFonts w:hint="eastAsia" w:cs="Times New Roman"/>
          <w:bCs/>
          <w:color w:val="auto"/>
          <w:sz w:val="24"/>
          <w:highlight w:val="none"/>
          <w:lang w:val="en-US" w:eastAsia="zh-CN"/>
        </w:rPr>
        <w:t xml:space="preserve"> /d，本次废气处理设施将较现状危废间废气处理减少废水排放量 0.1m</w:t>
      </w:r>
      <w:r>
        <w:rPr>
          <w:rFonts w:hint="eastAsia" w:cs="Times New Roman"/>
          <w:bCs/>
          <w:color w:val="auto"/>
          <w:sz w:val="24"/>
          <w:highlight w:val="none"/>
          <w:vertAlign w:val="superscript"/>
          <w:lang w:val="en-US" w:eastAsia="zh-CN"/>
        </w:rPr>
        <w:t>3</w:t>
      </w:r>
      <w:r>
        <w:rPr>
          <w:rFonts w:hint="eastAsia" w:cs="Times New Roman"/>
          <w:bCs/>
          <w:color w:val="auto"/>
          <w:sz w:val="24"/>
          <w:highlight w:val="none"/>
          <w:lang w:val="en-US" w:eastAsia="zh-CN"/>
        </w:rPr>
        <w:t xml:space="preserve"> /d。</w:t>
      </w:r>
      <w:r>
        <w:rPr>
          <w:rFonts w:hint="eastAsia"/>
          <w:color w:val="auto"/>
          <w:sz w:val="24"/>
          <w:szCs w:val="22"/>
          <w:highlight w:val="none"/>
          <w:lang w:val="en-US" w:eastAsia="zh-CN"/>
        </w:rPr>
        <w:t>本次废气处理设施排水</w:t>
      </w:r>
      <w:r>
        <w:rPr>
          <w:rFonts w:hint="eastAsia" w:ascii="Times New Roman" w:hAnsi="Times New Roman"/>
          <w:color w:val="auto"/>
          <w:sz w:val="24"/>
          <w:szCs w:val="22"/>
          <w:highlight w:val="none"/>
          <w:lang w:val="zh-CN" w:eastAsia="zh-CN"/>
        </w:rPr>
        <w:t>为</w:t>
      </w:r>
      <w:r>
        <w:rPr>
          <w:rFonts w:hint="eastAsia"/>
          <w:color w:val="auto"/>
          <w:sz w:val="24"/>
          <w:szCs w:val="22"/>
          <w:highlight w:val="none"/>
          <w:lang w:val="en-US" w:eastAsia="zh-CN"/>
        </w:rPr>
        <w:t>0.7</w:t>
      </w:r>
      <w:r>
        <w:rPr>
          <w:rFonts w:hint="eastAsia" w:ascii="Times New Roman" w:hAnsi="Times New Roman"/>
          <w:color w:val="auto"/>
          <w:sz w:val="24"/>
          <w:szCs w:val="22"/>
          <w:highlight w:val="none"/>
          <w:lang w:val="zh-CN" w:eastAsia="zh-CN"/>
        </w:rPr>
        <w:t>m</w:t>
      </w:r>
      <w:r>
        <w:rPr>
          <w:rFonts w:hint="eastAsia" w:ascii="Times New Roman" w:hAnsi="Times New Roman"/>
          <w:color w:val="auto"/>
          <w:sz w:val="24"/>
          <w:szCs w:val="22"/>
          <w:highlight w:val="none"/>
          <w:vertAlign w:val="superscript"/>
          <w:lang w:val="zh-CN" w:eastAsia="zh-CN"/>
        </w:rPr>
        <w:t>3</w:t>
      </w:r>
      <w:r>
        <w:rPr>
          <w:rFonts w:hint="eastAsia" w:ascii="Times New Roman" w:hAnsi="Times New Roman"/>
          <w:color w:val="auto"/>
          <w:sz w:val="24"/>
          <w:szCs w:val="22"/>
          <w:highlight w:val="none"/>
          <w:lang w:val="zh-CN" w:eastAsia="zh-CN"/>
        </w:rPr>
        <w:t>/d</w:t>
      </w:r>
      <w:r>
        <w:rPr>
          <w:rFonts w:hint="eastAsia"/>
          <w:color w:val="auto"/>
          <w:sz w:val="24"/>
          <w:szCs w:val="22"/>
          <w:highlight w:val="none"/>
          <w:lang w:val="zh-CN" w:eastAsia="zh-CN"/>
        </w:rPr>
        <w:t>。根据反应温度和溶液</w:t>
      </w:r>
      <w:r>
        <w:rPr>
          <w:rFonts w:hint="eastAsia"/>
          <w:color w:val="auto"/>
          <w:sz w:val="24"/>
          <w:szCs w:val="22"/>
          <w:highlight w:val="none"/>
          <w:lang w:val="en-US" w:eastAsia="zh-CN"/>
        </w:rPr>
        <w:t>p</w:t>
      </w:r>
      <w:r>
        <w:rPr>
          <w:rFonts w:hint="eastAsia"/>
          <w:color w:val="auto"/>
          <w:sz w:val="24"/>
          <w:szCs w:val="22"/>
          <w:highlight w:val="none"/>
          <w:lang w:val="zh-CN" w:eastAsia="zh-CN"/>
        </w:rPr>
        <w:t>H值调节加碱量，pH值达到</w:t>
      </w:r>
      <w:r>
        <w:rPr>
          <w:rFonts w:hint="eastAsia"/>
          <w:color w:val="auto"/>
          <w:sz w:val="24"/>
          <w:szCs w:val="22"/>
          <w:highlight w:val="none"/>
          <w:lang w:val="en-US" w:eastAsia="zh-CN"/>
        </w:rPr>
        <w:t>标准时</w:t>
      </w:r>
      <w:r>
        <w:rPr>
          <w:rFonts w:hint="eastAsia"/>
          <w:color w:val="auto"/>
          <w:sz w:val="24"/>
          <w:szCs w:val="22"/>
          <w:highlight w:val="none"/>
          <w:lang w:val="zh-CN" w:eastAsia="zh-CN"/>
        </w:rPr>
        <w:t>停止加碱液，</w:t>
      </w:r>
      <w:r>
        <w:rPr>
          <w:rFonts w:ascii="Segoe UI Emoji" w:hAnsi="Segoe UI Emoji" w:eastAsia="Segoe UI Emoji" w:cs="Segoe UI Emoji"/>
          <w:i w:val="0"/>
          <w:iCs w:val="0"/>
          <w:caps w:val="0"/>
          <w:color w:val="auto"/>
          <w:spacing w:val="0"/>
          <w:sz w:val="24"/>
          <w:szCs w:val="24"/>
          <w:highlight w:val="none"/>
          <w:shd w:val="clear" w:fill="FFFFFF"/>
        </w:rPr>
        <w:t>系统配备足够的碱液缓冲容积和自动控制装置，碱液的浓度、循环量可通过调节维持稳定，</w:t>
      </w:r>
      <w:r>
        <w:rPr>
          <w:rFonts w:hint="eastAsia" w:ascii="Segoe UI Emoji" w:hAnsi="Segoe UI Emoji" w:eastAsia="宋体" w:cs="Segoe UI Emoji"/>
          <w:i w:val="0"/>
          <w:iCs w:val="0"/>
          <w:caps w:val="0"/>
          <w:color w:val="auto"/>
          <w:spacing w:val="0"/>
          <w:sz w:val="24"/>
          <w:szCs w:val="24"/>
          <w:highlight w:val="none"/>
          <w:shd w:val="clear" w:fill="FFFFFF"/>
          <w:lang w:val="en-US" w:eastAsia="zh-CN"/>
        </w:rPr>
        <w:t>根据新建危废库数据分析，</w:t>
      </w:r>
      <w:r>
        <w:rPr>
          <w:rFonts w:ascii="Segoe UI Emoji" w:hAnsi="Segoe UI Emoji" w:eastAsia="Segoe UI Emoji" w:cs="Segoe UI Emoji"/>
          <w:i w:val="0"/>
          <w:iCs w:val="0"/>
          <w:caps w:val="0"/>
          <w:color w:val="auto"/>
          <w:spacing w:val="0"/>
          <w:sz w:val="24"/>
          <w:szCs w:val="24"/>
          <w:highlight w:val="none"/>
          <w:shd w:val="clear" w:fill="FFFFFF"/>
        </w:rPr>
        <w:t>碱液的实际</w:t>
      </w:r>
      <w:r>
        <w:rPr>
          <w:rFonts w:hint="eastAsia" w:ascii="Segoe UI Emoji" w:hAnsi="Segoe UI Emoji" w:eastAsia="宋体" w:cs="Segoe UI Emoji"/>
          <w:i w:val="0"/>
          <w:iCs w:val="0"/>
          <w:caps w:val="0"/>
          <w:color w:val="auto"/>
          <w:spacing w:val="0"/>
          <w:sz w:val="24"/>
          <w:szCs w:val="24"/>
          <w:highlight w:val="none"/>
          <w:shd w:val="clear" w:fill="FFFFFF"/>
          <w:lang w:val="en-US" w:eastAsia="zh-CN"/>
        </w:rPr>
        <w:t>使用量与现有</w:t>
      </w:r>
      <w:r>
        <w:rPr>
          <w:rFonts w:ascii="Segoe UI Emoji" w:hAnsi="Segoe UI Emoji" w:eastAsia="Segoe UI Emoji" w:cs="Segoe UI Emoji"/>
          <w:i w:val="0"/>
          <w:iCs w:val="0"/>
          <w:caps w:val="0"/>
          <w:color w:val="auto"/>
          <w:spacing w:val="0"/>
          <w:sz w:val="24"/>
          <w:szCs w:val="24"/>
          <w:highlight w:val="none"/>
          <w:shd w:val="clear" w:fill="FFFFFF"/>
        </w:rPr>
        <w:t>无</w:t>
      </w:r>
      <w:r>
        <w:rPr>
          <w:rFonts w:hint="eastAsia" w:ascii="Segoe UI Emoji" w:hAnsi="Segoe UI Emoji" w:eastAsia="宋体" w:cs="Segoe UI Emoji"/>
          <w:i w:val="0"/>
          <w:iCs w:val="0"/>
          <w:caps w:val="0"/>
          <w:color w:val="auto"/>
          <w:spacing w:val="0"/>
          <w:sz w:val="24"/>
          <w:szCs w:val="24"/>
          <w:highlight w:val="none"/>
          <w:shd w:val="clear" w:fill="FFFFFF"/>
          <w:lang w:val="en-US" w:eastAsia="zh-CN"/>
        </w:rPr>
        <w:t>明显变化</w:t>
      </w:r>
      <w:r>
        <w:rPr>
          <w:rFonts w:hint="eastAsia" w:ascii="Segoe UI Emoji" w:hAnsi="Segoe UI Emoji" w:eastAsia="宋体" w:cs="Segoe UI Emoji"/>
          <w:i w:val="0"/>
          <w:iCs w:val="0"/>
          <w:caps w:val="0"/>
          <w:color w:val="auto"/>
          <w:spacing w:val="0"/>
          <w:sz w:val="24"/>
          <w:szCs w:val="24"/>
          <w:highlight w:val="none"/>
          <w:shd w:val="clear" w:fill="FFFFFF"/>
          <w:lang w:eastAsia="zh-CN"/>
        </w:rPr>
        <w:t>。</w:t>
      </w:r>
    </w:p>
    <w:p w14:paraId="4E6ECC28">
      <w:pPr>
        <w:pStyle w:val="3"/>
        <w:ind w:firstLine="482"/>
        <w:rPr>
          <w:rFonts w:hint="default" w:ascii="Times New Roman" w:hAnsi="Times New Roman" w:cs="Times New Roman"/>
          <w:color w:val="auto"/>
          <w:szCs w:val="24"/>
          <w:highlight w:val="none"/>
        </w:rPr>
      </w:pPr>
      <w:r>
        <w:rPr>
          <w:rFonts w:hint="eastAsia" w:cs="Times New Roman"/>
          <w:color w:val="auto"/>
          <w:szCs w:val="24"/>
          <w:highlight w:val="none"/>
          <w:lang w:val="en-US" w:eastAsia="zh-CN"/>
        </w:rPr>
        <w:t>9</w:t>
      </w:r>
      <w:r>
        <w:rPr>
          <w:rFonts w:hint="default" w:ascii="Times New Roman" w:hAnsi="Times New Roman" w:cs="Times New Roman"/>
          <w:color w:val="auto"/>
          <w:szCs w:val="24"/>
          <w:highlight w:val="none"/>
        </w:rPr>
        <w:t>、劳动定员及工作制度</w:t>
      </w:r>
    </w:p>
    <w:p w14:paraId="1B77A992">
      <w:pPr>
        <w:spacing w:line="440" w:lineRule="exact"/>
        <w:ind w:firstLine="480" w:firstLineChars="200"/>
        <w:rPr>
          <w:rFonts w:hint="eastAsia" w:ascii="Times New Roman" w:hAnsi="Times New Roman" w:eastAsia="宋体" w:cs="Times New Roman"/>
          <w:color w:val="auto"/>
          <w:sz w:val="24"/>
          <w:highlight w:val="none"/>
          <w:lang w:eastAsia="zh-CN"/>
        </w:rPr>
      </w:pPr>
      <w:r>
        <w:rPr>
          <w:rFonts w:hint="eastAsia" w:cs="Times New Roman"/>
          <w:color w:val="auto"/>
          <w:sz w:val="24"/>
          <w:highlight w:val="none"/>
          <w:lang w:val="en-US" w:eastAsia="zh-CN"/>
        </w:rPr>
        <w:t>本项目劳动定员由现有人员调配，不新增人员，采用四班三运转制，年工作365天</w:t>
      </w:r>
      <w:r>
        <w:rPr>
          <w:rFonts w:hint="eastAsia" w:cs="Times New Roman"/>
          <w:color w:val="auto"/>
          <w:sz w:val="24"/>
          <w:highlight w:val="none"/>
          <w:lang w:eastAsia="zh-CN"/>
        </w:rPr>
        <w:t>。</w:t>
      </w:r>
    </w:p>
    <w:p w14:paraId="34E71693">
      <w:pPr>
        <w:pStyle w:val="3"/>
        <w:ind w:firstLine="482"/>
        <w:rPr>
          <w:rFonts w:hint="default" w:ascii="Times New Roman" w:hAnsi="Times New Roman" w:eastAsia="宋体" w:cs="Times New Roman"/>
          <w:color w:val="auto"/>
          <w:szCs w:val="24"/>
          <w:highlight w:val="none"/>
          <w:lang w:val="en-US" w:eastAsia="zh-CN"/>
        </w:rPr>
      </w:pPr>
      <w:r>
        <w:rPr>
          <w:rFonts w:hint="eastAsia" w:cs="Times New Roman"/>
          <w:color w:val="auto"/>
          <w:szCs w:val="24"/>
          <w:highlight w:val="none"/>
          <w:lang w:val="en-US" w:eastAsia="zh-CN"/>
        </w:rPr>
        <w:t>10</w:t>
      </w:r>
      <w:r>
        <w:rPr>
          <w:rFonts w:hint="default" w:ascii="Times New Roman" w:hAnsi="Times New Roman" w:cs="Times New Roman"/>
          <w:color w:val="auto"/>
          <w:szCs w:val="24"/>
          <w:highlight w:val="none"/>
        </w:rPr>
        <w:t>、项目占地</w:t>
      </w:r>
      <w:r>
        <w:rPr>
          <w:rFonts w:hint="eastAsia" w:cs="Times New Roman"/>
          <w:color w:val="auto"/>
          <w:szCs w:val="24"/>
          <w:highlight w:val="none"/>
          <w:lang w:val="en-US" w:eastAsia="zh-CN"/>
        </w:rPr>
        <w:t>及平面布置</w:t>
      </w:r>
    </w:p>
    <w:p w14:paraId="247FBF8A">
      <w:pPr>
        <w:pStyle w:val="2"/>
        <w:rPr>
          <w:rFonts w:hint="eastAsia"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rPr>
        <w:t>石家庄东华金龙化工有限公司占地面积216669.9m</w:t>
      </w:r>
      <w:r>
        <w:rPr>
          <w:rFonts w:hint="default" w:ascii="Times New Roman" w:hAnsi="Times New Roman" w:cs="Times New Roman"/>
          <w:color w:val="auto"/>
          <w:sz w:val="24"/>
          <w:szCs w:val="24"/>
          <w:highlight w:val="none"/>
          <w:vertAlign w:val="superscript"/>
        </w:rPr>
        <w:t>2</w:t>
      </w:r>
      <w:r>
        <w:rPr>
          <w:rFonts w:hint="default" w:ascii="Times New Roman" w:hAnsi="Times New Roman" w:cs="Times New Roman"/>
          <w:color w:val="auto"/>
          <w:sz w:val="24"/>
          <w:szCs w:val="24"/>
          <w:highlight w:val="none"/>
        </w:rPr>
        <w:t>，总平面布置按功能分区布置</w:t>
      </w:r>
      <w:r>
        <w:rPr>
          <w:rFonts w:hint="eastAsia" w:ascii="Times New Roman" w:hAnsi="Times New Roman" w:cs="Times New Roman"/>
          <w:color w:val="auto"/>
          <w:sz w:val="24"/>
          <w:szCs w:val="24"/>
          <w:highlight w:val="none"/>
          <w:lang w:eastAsia="zh-CN"/>
        </w:rPr>
        <w:t>，主要分为办公生活区、辅助生产区、生产装置区及储存区。</w:t>
      </w:r>
      <w:r>
        <w:rPr>
          <w:rFonts w:hint="default" w:ascii="Times New Roman" w:hAnsi="Times New Roman" w:cs="Times New Roman"/>
          <w:color w:val="auto"/>
          <w:sz w:val="24"/>
          <w:szCs w:val="24"/>
          <w:highlight w:val="none"/>
        </w:rPr>
        <w:t>本项目</w:t>
      </w:r>
      <w:r>
        <w:rPr>
          <w:rFonts w:hint="eastAsia" w:ascii="Times New Roman" w:hAnsi="Times New Roman" w:cs="Times New Roman"/>
          <w:color w:val="auto"/>
          <w:sz w:val="24"/>
          <w:szCs w:val="24"/>
          <w:highlight w:val="none"/>
          <w:lang w:val="en-US" w:eastAsia="zh-CN"/>
        </w:rPr>
        <w:t>总占地面积为10</w:t>
      </w:r>
      <w:r>
        <w:rPr>
          <w:rFonts w:hint="eastAsia" w:ascii="Times New Roman" w:hAnsi="Times New Roman" w:eastAsia="宋体" w:cs="Times New Roman"/>
          <w:color w:val="auto"/>
          <w:sz w:val="24"/>
          <w:szCs w:val="24"/>
          <w:highlight w:val="none"/>
          <w:lang w:val="en-US" w:eastAsia="zh-CN"/>
        </w:rPr>
        <w:t>00</w:t>
      </w:r>
      <w:r>
        <w:rPr>
          <w:rFonts w:hint="default" w:ascii="Times New Roman" w:hAnsi="Times New Roman" w:eastAsia="宋体" w:cs="Times New Roman"/>
          <w:color w:val="auto"/>
          <w:sz w:val="24"/>
          <w:szCs w:val="24"/>
          <w:highlight w:val="none"/>
          <w:lang w:val="en-US" w:eastAsia="zh-CN"/>
        </w:rPr>
        <w:t>0</w:t>
      </w:r>
      <w:r>
        <w:rPr>
          <w:rFonts w:hint="default" w:ascii="Times New Roman" w:hAnsi="Times New Roman" w:cs="Times New Roman"/>
          <w:bCs/>
          <w:color w:val="auto"/>
          <w:sz w:val="24"/>
          <w:szCs w:val="24"/>
          <w:highlight w:val="none"/>
        </w:rPr>
        <w:t>m</w:t>
      </w:r>
      <w:r>
        <w:rPr>
          <w:rFonts w:hint="default" w:ascii="Times New Roman" w:hAnsi="Times New Roman" w:cs="Times New Roman"/>
          <w:bCs/>
          <w:color w:val="auto"/>
          <w:sz w:val="24"/>
          <w:szCs w:val="24"/>
          <w:highlight w:val="none"/>
          <w:vertAlign w:val="superscript"/>
        </w:rPr>
        <w:t>2</w:t>
      </w:r>
      <w:r>
        <w:rPr>
          <w:rFonts w:hint="default" w:ascii="Times New Roman" w:hAnsi="Times New Roman"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总建筑面积为2514</w:t>
      </w:r>
      <w:r>
        <w:rPr>
          <w:rFonts w:hint="default" w:ascii="Times New Roman" w:hAnsi="Times New Roman" w:cs="Times New Roman"/>
          <w:bCs/>
          <w:color w:val="auto"/>
          <w:sz w:val="24"/>
          <w:szCs w:val="24"/>
          <w:highlight w:val="none"/>
        </w:rPr>
        <w:t>m</w:t>
      </w:r>
      <w:r>
        <w:rPr>
          <w:rFonts w:hint="default" w:ascii="Times New Roman" w:hAnsi="Times New Roman" w:cs="Times New Roman"/>
          <w:bCs/>
          <w:color w:val="auto"/>
          <w:sz w:val="24"/>
          <w:szCs w:val="24"/>
          <w:highlight w:val="none"/>
          <w:vertAlign w:val="superscript"/>
        </w:rPr>
        <w:t>2</w:t>
      </w:r>
      <w:r>
        <w:rPr>
          <w:rFonts w:hint="eastAsia" w:ascii="Times New Roman" w:hAnsi="Times New Roman" w:cs="Times New Roman"/>
          <w:color w:val="auto"/>
          <w:sz w:val="24"/>
          <w:highlight w:val="none"/>
          <w:lang w:val="en-US" w:eastAsia="zh-CN"/>
        </w:rPr>
        <w:t>。</w:t>
      </w:r>
      <w:r>
        <w:rPr>
          <w:rFonts w:hint="default" w:ascii="Times New Roman" w:hAnsi="Times New Roman" w:cs="Times New Roman"/>
          <w:color w:val="auto"/>
          <w:sz w:val="24"/>
          <w:highlight w:val="none"/>
          <w:lang w:val="en-US" w:eastAsia="zh-CN"/>
        </w:rPr>
        <w:t>本项目利用污水处理设施东侧空地新建仓储设施，由北向南依次为甲类仓库一、乙类仓库、棚库，甲类仓库一东侧为甲类仓库二</w:t>
      </w:r>
      <w:r>
        <w:rPr>
          <w:rFonts w:hint="default" w:ascii="Times New Roman" w:hAnsi="Times New Roman" w:cs="Times New Roman"/>
          <w:color w:val="auto"/>
          <w:sz w:val="24"/>
          <w:szCs w:val="24"/>
          <w:highlight w:val="none"/>
          <w:lang w:val="en-US" w:eastAsia="zh-CN"/>
        </w:rPr>
        <w:t>。</w:t>
      </w:r>
      <w:r>
        <w:rPr>
          <w:rFonts w:hint="eastAsia" w:ascii="Times New Roman" w:hAnsi="Times New Roman" w:cs="Times New Roman"/>
          <w:color w:val="auto"/>
          <w:sz w:val="24"/>
          <w:szCs w:val="24"/>
          <w:highlight w:val="none"/>
          <w:lang w:val="en-US" w:eastAsia="zh-CN"/>
        </w:rPr>
        <w:t>厂</w:t>
      </w:r>
      <w:r>
        <w:rPr>
          <w:rFonts w:hint="default" w:ascii="Times New Roman" w:hAnsi="Times New Roman" w:cs="Times New Roman"/>
          <w:color w:val="auto"/>
          <w:sz w:val="24"/>
          <w:szCs w:val="24"/>
          <w:highlight w:val="none"/>
          <w:lang w:val="en-US" w:eastAsia="zh-CN"/>
        </w:rPr>
        <w:t>区平面布置较合理。物流顺畅，卫生条件和交通、安全、消防均满足行业要求</w:t>
      </w:r>
      <w:r>
        <w:rPr>
          <w:rFonts w:hint="eastAsia" w:ascii="Times New Roman" w:hAnsi="Times New Roman" w:cs="Times New Roman"/>
          <w:color w:val="auto"/>
          <w:sz w:val="24"/>
          <w:szCs w:val="24"/>
          <w:highlight w:val="none"/>
          <w:lang w:val="en-US" w:eastAsia="zh-CN"/>
        </w:rPr>
        <w:t>。</w:t>
      </w:r>
    </w:p>
    <w:p w14:paraId="16EB2B87">
      <w:pPr>
        <w:pStyle w:val="2"/>
        <w:rPr>
          <w:rFonts w:hint="eastAsia" w:cs="Times New Roman"/>
          <w:color w:val="auto"/>
          <w:sz w:val="24"/>
          <w:szCs w:val="22"/>
          <w:highlight w:val="none"/>
          <w:lang w:val="en-US" w:eastAsia="zh-CN"/>
        </w:rPr>
      </w:pPr>
      <w:r>
        <w:rPr>
          <w:rFonts w:hint="default" w:ascii="Times New Roman" w:hAnsi="Times New Roman" w:cs="Times New Roman"/>
          <w:color w:val="auto"/>
          <w:sz w:val="24"/>
          <w:szCs w:val="22"/>
          <w:highlight w:val="none"/>
          <w:lang w:val="en-US" w:eastAsia="zh-CN"/>
        </w:rPr>
        <w:t>项目</w:t>
      </w:r>
      <w:r>
        <w:rPr>
          <w:rFonts w:hint="eastAsia" w:cs="Times New Roman"/>
          <w:color w:val="auto"/>
          <w:sz w:val="24"/>
          <w:szCs w:val="22"/>
          <w:highlight w:val="none"/>
          <w:lang w:val="en-US" w:eastAsia="zh-CN"/>
        </w:rPr>
        <w:t>建</w:t>
      </w:r>
      <w:r>
        <w:rPr>
          <w:rFonts w:hint="default" w:ascii="Times New Roman" w:hAnsi="Times New Roman" w:cs="Times New Roman"/>
          <w:color w:val="auto"/>
          <w:sz w:val="24"/>
          <w:szCs w:val="22"/>
          <w:highlight w:val="none"/>
          <w:lang w:val="en-US" w:eastAsia="zh-CN"/>
        </w:rPr>
        <w:t>成后，全厂总量控制指标</w:t>
      </w:r>
      <w:r>
        <w:rPr>
          <w:rFonts w:hint="eastAsia" w:cs="Times New Roman"/>
          <w:color w:val="auto"/>
          <w:sz w:val="24"/>
          <w:szCs w:val="22"/>
          <w:highlight w:val="none"/>
          <w:lang w:val="en-US" w:eastAsia="zh-CN"/>
        </w:rPr>
        <w:t>保持不变，仍</w:t>
      </w:r>
      <w:r>
        <w:rPr>
          <w:rFonts w:hint="default" w:ascii="Times New Roman" w:hAnsi="Times New Roman" w:cs="Times New Roman"/>
          <w:color w:val="auto"/>
          <w:sz w:val="24"/>
          <w:szCs w:val="22"/>
          <w:highlight w:val="none"/>
          <w:lang w:val="en-US" w:eastAsia="zh-CN"/>
        </w:rPr>
        <w:t>为：COD：</w:t>
      </w:r>
      <w:r>
        <w:rPr>
          <w:rFonts w:hint="eastAsia" w:cs="Times New Roman"/>
          <w:color w:val="auto"/>
          <w:sz w:val="24"/>
          <w:szCs w:val="22"/>
          <w:highlight w:val="none"/>
          <w:lang w:val="en-US" w:eastAsia="zh-CN"/>
        </w:rPr>
        <w:t>54.595</w:t>
      </w:r>
      <w:r>
        <w:rPr>
          <w:rFonts w:hint="default" w:ascii="Times New Roman" w:hAnsi="Times New Roman" w:cs="Times New Roman"/>
          <w:color w:val="auto"/>
          <w:sz w:val="24"/>
          <w:szCs w:val="22"/>
          <w:highlight w:val="none"/>
          <w:lang w:val="en-US" w:eastAsia="zh-CN"/>
        </w:rPr>
        <w:t>t/a、氨氮：</w:t>
      </w:r>
      <w:r>
        <w:rPr>
          <w:rFonts w:hint="eastAsia" w:cs="Times New Roman"/>
          <w:color w:val="auto"/>
          <w:sz w:val="24"/>
          <w:szCs w:val="22"/>
          <w:highlight w:val="none"/>
          <w:lang w:val="en-US" w:eastAsia="zh-CN"/>
        </w:rPr>
        <w:t>5.887</w:t>
      </w:r>
      <w:r>
        <w:rPr>
          <w:rFonts w:hint="default" w:ascii="Times New Roman" w:hAnsi="Times New Roman" w:cs="Times New Roman"/>
          <w:color w:val="auto"/>
          <w:sz w:val="24"/>
          <w:szCs w:val="22"/>
          <w:highlight w:val="none"/>
          <w:lang w:val="en-US" w:eastAsia="zh-CN"/>
        </w:rPr>
        <w:t>t/a、SO</w:t>
      </w:r>
      <w:r>
        <w:rPr>
          <w:rFonts w:hint="default" w:ascii="Times New Roman" w:hAnsi="Times New Roman" w:cs="Times New Roman"/>
          <w:color w:val="auto"/>
          <w:sz w:val="24"/>
          <w:szCs w:val="22"/>
          <w:highlight w:val="none"/>
          <w:vertAlign w:val="subscript"/>
          <w:lang w:val="en-US" w:eastAsia="zh-CN"/>
        </w:rPr>
        <w:t>2</w:t>
      </w:r>
      <w:r>
        <w:rPr>
          <w:rFonts w:hint="default" w:ascii="Times New Roman" w:hAnsi="Times New Roman" w:cs="Times New Roman"/>
          <w:color w:val="auto"/>
          <w:sz w:val="24"/>
          <w:szCs w:val="22"/>
          <w:highlight w:val="none"/>
          <w:lang w:val="en-US" w:eastAsia="zh-CN"/>
        </w:rPr>
        <w:t>：5.94t/a、NOx：0t/a、挥发性有机物：</w:t>
      </w:r>
      <w:r>
        <w:rPr>
          <w:rFonts w:hint="eastAsia" w:ascii="Times New Roman" w:hAnsi="Times New Roman" w:cs="Times New Roman"/>
          <w:color w:val="auto"/>
          <w:sz w:val="24"/>
          <w:szCs w:val="22"/>
          <w:highlight w:val="none"/>
          <w:lang w:val="en-US" w:eastAsia="zh-CN"/>
        </w:rPr>
        <w:t>12</w:t>
      </w:r>
      <w:r>
        <w:rPr>
          <w:rFonts w:hint="eastAsia" w:cs="Times New Roman"/>
          <w:color w:val="auto"/>
          <w:sz w:val="24"/>
          <w:szCs w:val="22"/>
          <w:highlight w:val="none"/>
          <w:lang w:val="en-US" w:eastAsia="zh-CN"/>
        </w:rPr>
        <w:t>2.950</w:t>
      </w:r>
      <w:r>
        <w:rPr>
          <w:rFonts w:hint="default" w:ascii="Times New Roman" w:hAnsi="Times New Roman" w:cs="Times New Roman"/>
          <w:color w:val="auto"/>
          <w:sz w:val="24"/>
          <w:szCs w:val="22"/>
          <w:highlight w:val="none"/>
          <w:lang w:val="en-US" w:eastAsia="zh-CN"/>
        </w:rPr>
        <w:t>t/a</w:t>
      </w:r>
      <w:r>
        <w:rPr>
          <w:rFonts w:hint="eastAsia" w:cs="Times New Roman"/>
          <w:color w:val="auto"/>
          <w:sz w:val="24"/>
          <w:szCs w:val="22"/>
          <w:highlight w:val="none"/>
          <w:lang w:val="en-US" w:eastAsia="zh-CN"/>
        </w:rPr>
        <w:t>。</w:t>
      </w:r>
    </w:p>
    <w:p w14:paraId="7A0F75C4">
      <w:pPr>
        <w:pStyle w:val="5"/>
        <w:keepNext w:val="0"/>
        <w:keepLines w:val="0"/>
        <w:pageBreakBefore w:val="0"/>
        <w:widowControl w:val="0"/>
        <w:kinsoku/>
        <w:wordWrap/>
        <w:overflowPunct/>
        <w:topLinePunct w:val="0"/>
        <w:autoSpaceDE/>
        <w:autoSpaceDN/>
        <w:bidi w:val="0"/>
        <w:adjustRightInd/>
        <w:snapToGrid/>
        <w:spacing w:line="360" w:lineRule="auto"/>
        <w:ind w:firstLine="482" w:firstLineChars="200"/>
        <w:jc w:val="both"/>
        <w:textAlignment w:val="auto"/>
        <w:rPr>
          <w:rFonts w:hint="default" w:ascii="Times New Roman" w:hAnsi="Times New Roman" w:eastAsia="宋体" w:cs="Times New Roman"/>
          <w:b/>
          <w:bCs/>
          <w:snapToGrid w:val="0"/>
          <w:color w:val="auto"/>
          <w:kern w:val="0"/>
          <w:sz w:val="24"/>
          <w:szCs w:val="24"/>
          <w:highlight w:val="none"/>
          <w:lang w:val="en-US" w:eastAsia="zh-CN" w:bidi="ar-SA"/>
        </w:rPr>
      </w:pPr>
      <w:r>
        <w:rPr>
          <w:rFonts w:hint="eastAsia" w:ascii="Times New Roman" w:hAnsi="Times New Roman" w:eastAsia="宋体" w:cs="Times New Roman"/>
          <w:b/>
          <w:bCs/>
          <w:snapToGrid w:val="0"/>
          <w:color w:val="auto"/>
          <w:kern w:val="0"/>
          <w:sz w:val="24"/>
          <w:szCs w:val="24"/>
          <w:highlight w:val="none"/>
          <w:lang w:val="en-US" w:eastAsia="zh-CN" w:bidi="ar-SA"/>
        </w:rPr>
        <w:t>施工期环境保护措施：</w:t>
      </w:r>
    </w:p>
    <w:p w14:paraId="757830A0">
      <w:pPr>
        <w:pageBreakBefore w:val="0"/>
        <w:widowControl w:val="0"/>
        <w:numPr>
          <w:ilvl w:val="0"/>
          <w:numId w:val="1"/>
        </w:numPr>
        <w:kinsoku/>
        <w:wordWrap/>
        <w:overflowPunct/>
        <w:topLinePunct w:val="0"/>
        <w:autoSpaceDE/>
        <w:autoSpaceDN/>
        <w:bidi w:val="0"/>
        <w:adjustRightInd/>
        <w:snapToGrid/>
        <w:spacing w:line="360" w:lineRule="auto"/>
        <w:ind w:firstLine="480" w:firstLineChars="200"/>
        <w:jc w:val="both"/>
        <w:textAlignment w:val="auto"/>
        <w:rPr>
          <w:rFonts w:hint="eastAsia" w:cs="Times New Roman"/>
          <w:snapToGrid w:val="0"/>
          <w:color w:val="auto"/>
          <w:kern w:val="0"/>
          <w:sz w:val="24"/>
          <w:highlight w:val="none"/>
          <w:lang w:val="en-US" w:eastAsia="zh-CN"/>
        </w:rPr>
      </w:pPr>
      <w:r>
        <w:rPr>
          <w:rFonts w:hint="default" w:ascii="Times New Roman" w:hAnsi="Times New Roman" w:cs="Times New Roman"/>
          <w:snapToGrid w:val="0"/>
          <w:color w:val="auto"/>
          <w:kern w:val="0"/>
          <w:sz w:val="24"/>
          <w:highlight w:val="none"/>
        </w:rPr>
        <w:t>施工期</w:t>
      </w:r>
      <w:r>
        <w:rPr>
          <w:rFonts w:hint="eastAsia" w:cs="Times New Roman"/>
          <w:snapToGrid w:val="0"/>
          <w:color w:val="auto"/>
          <w:kern w:val="0"/>
          <w:sz w:val="24"/>
          <w:highlight w:val="none"/>
          <w:lang w:val="en-US" w:eastAsia="zh-CN"/>
        </w:rPr>
        <w:t>扬尘防治措施</w:t>
      </w:r>
    </w:p>
    <w:p w14:paraId="3A9D061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cs="Times New Roman"/>
          <w:snapToGrid w:val="0"/>
          <w:color w:val="auto"/>
          <w:kern w:val="0"/>
          <w:sz w:val="24"/>
          <w:highlight w:val="none"/>
          <w:lang w:val="en-US" w:eastAsia="zh-CN"/>
        </w:rPr>
      </w:pPr>
      <w:r>
        <w:rPr>
          <w:rFonts w:hint="default" w:cs="Times New Roman"/>
          <w:snapToGrid w:val="0"/>
          <w:color w:val="auto"/>
          <w:kern w:val="0"/>
          <w:sz w:val="24"/>
          <w:highlight w:val="none"/>
          <w:lang w:val="en-US" w:eastAsia="zh-CN"/>
        </w:rPr>
        <w:t>项目在</w:t>
      </w:r>
      <w:r>
        <w:rPr>
          <w:rFonts w:hint="eastAsia" w:cs="Times New Roman"/>
          <w:snapToGrid w:val="0"/>
          <w:color w:val="auto"/>
          <w:kern w:val="0"/>
          <w:sz w:val="24"/>
          <w:highlight w:val="none"/>
          <w:lang w:val="en-US" w:eastAsia="zh-CN"/>
        </w:rPr>
        <w:t>主体仓库</w:t>
      </w:r>
      <w:r>
        <w:rPr>
          <w:rFonts w:hint="default" w:cs="Times New Roman"/>
          <w:snapToGrid w:val="0"/>
          <w:color w:val="auto"/>
          <w:kern w:val="0"/>
          <w:sz w:val="24"/>
          <w:highlight w:val="none"/>
          <w:lang w:val="en-US" w:eastAsia="zh-CN"/>
        </w:rPr>
        <w:t>施工</w:t>
      </w:r>
      <w:r>
        <w:rPr>
          <w:rFonts w:hint="eastAsia" w:cs="Times New Roman"/>
          <w:snapToGrid w:val="0"/>
          <w:color w:val="auto"/>
          <w:kern w:val="0"/>
          <w:sz w:val="24"/>
          <w:highlight w:val="none"/>
          <w:lang w:val="en-US" w:eastAsia="zh-CN"/>
        </w:rPr>
        <w:t>建设</w:t>
      </w:r>
      <w:r>
        <w:rPr>
          <w:rFonts w:hint="default" w:cs="Times New Roman"/>
          <w:snapToGrid w:val="0"/>
          <w:color w:val="auto"/>
          <w:kern w:val="0"/>
          <w:sz w:val="24"/>
          <w:highlight w:val="none"/>
          <w:lang w:val="en-US" w:eastAsia="zh-CN"/>
        </w:rPr>
        <w:t>期间会产生一定的扬尘污染。施工期扬尘应满足《施工场地扬尘排放标准》（DB13/2934-2019）。为保护好空气环境质量，降低施工区域和对周围敏感目标的尘污染</w:t>
      </w:r>
      <w:r>
        <w:rPr>
          <w:rFonts w:hint="eastAsia" w:cs="Times New Roman"/>
          <w:snapToGrid w:val="0"/>
          <w:color w:val="auto"/>
          <w:kern w:val="0"/>
          <w:sz w:val="24"/>
          <w:highlight w:val="none"/>
          <w:lang w:val="en-US" w:eastAsia="zh-CN"/>
        </w:rPr>
        <w:t>，</w:t>
      </w:r>
      <w:r>
        <w:rPr>
          <w:rFonts w:hint="default" w:cs="Times New Roman"/>
          <w:snapToGrid w:val="0"/>
          <w:color w:val="auto"/>
          <w:kern w:val="0"/>
          <w:sz w:val="24"/>
          <w:highlight w:val="none"/>
          <w:lang w:val="en-US" w:eastAsia="zh-CN"/>
        </w:rPr>
        <w:t>确保施工扬尘满足《施工场地扬尘排放标准》（DB13/2934-2019），结合《河北省扬尘污染防治办法》(河北省人民政府令[2020]第1号)、《关于印发&lt;2024年建筑施工扬尘污染防治工作方案&gt;的通知》(冀建质安函[2024]115号)、《河北省大气污染防治条例(2021修正)》(2021年9月29日)等要求，本项目在施工过程中采取以下防治措施</w:t>
      </w:r>
      <w:r>
        <w:rPr>
          <w:rFonts w:hint="eastAsia" w:cs="Times New Roman"/>
          <w:snapToGrid w:val="0"/>
          <w:color w:val="auto"/>
          <w:kern w:val="0"/>
          <w:sz w:val="24"/>
          <w:highlight w:val="none"/>
          <w:lang w:val="en-US" w:eastAsia="zh-CN"/>
        </w:rPr>
        <w:t>：</w:t>
      </w:r>
    </w:p>
    <w:p w14:paraId="1E7B433F">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snapToGrid w:val="0"/>
          <w:color w:val="auto"/>
          <w:kern w:val="0"/>
          <w:sz w:val="24"/>
          <w:highlight w:val="none"/>
        </w:rPr>
      </w:pPr>
      <w:r>
        <w:rPr>
          <w:rFonts w:hint="default" w:ascii="Times New Roman" w:hAnsi="Times New Roman" w:cs="Times New Roman"/>
          <w:snapToGrid w:val="0"/>
          <w:color w:val="auto"/>
          <w:kern w:val="0"/>
          <w:sz w:val="24"/>
          <w:highlight w:val="none"/>
        </w:rPr>
        <w:t>（1）施工单位在施工工程中应有扬尘污染防治技术措施，在四级及以上大风天气应停止土方施工，同时作业处覆以防尘网。</w:t>
      </w:r>
    </w:p>
    <w:p w14:paraId="17FEF68D">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snapToGrid w:val="0"/>
          <w:color w:val="auto"/>
          <w:kern w:val="0"/>
          <w:sz w:val="24"/>
          <w:highlight w:val="none"/>
        </w:rPr>
      </w:pPr>
      <w:r>
        <w:rPr>
          <w:rFonts w:hint="default" w:ascii="Times New Roman" w:hAnsi="Times New Roman" w:cs="Times New Roman"/>
          <w:snapToGrid w:val="0"/>
          <w:color w:val="auto"/>
          <w:kern w:val="0"/>
          <w:sz w:val="24"/>
          <w:highlight w:val="none"/>
        </w:rPr>
        <w:t>（2）建筑材料运输中要采取遮盖措施或利用密闭性运输车，采用苫布覆盖时，苫布边缘至少要遮住槽帮上沿以下15cm。建筑垃圾等废弃物料采用专用运输车辆，车辆应按照批准的路线和时间进行建筑垃圾的运输，行驶路线要避开居民区等环境敏感目标，并限制运输车辆的车速。</w:t>
      </w:r>
    </w:p>
    <w:p w14:paraId="4163ED63">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snapToGrid w:val="0"/>
          <w:color w:val="auto"/>
          <w:kern w:val="0"/>
          <w:sz w:val="24"/>
          <w:highlight w:val="none"/>
        </w:rPr>
      </w:pPr>
      <w:r>
        <w:rPr>
          <w:rFonts w:hint="default" w:ascii="Times New Roman" w:hAnsi="Times New Roman" w:cs="Times New Roman"/>
          <w:snapToGrid w:val="0"/>
          <w:color w:val="auto"/>
          <w:kern w:val="0"/>
          <w:sz w:val="24"/>
          <w:highlight w:val="none"/>
        </w:rPr>
        <w:t xml:space="preserve">（3）项目施工过程中建筑材料应严密遮盖，使用时不得凌空抛掷、抛洒。 </w:t>
      </w:r>
    </w:p>
    <w:p w14:paraId="54862273">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snapToGrid w:val="0"/>
          <w:color w:val="auto"/>
          <w:kern w:val="0"/>
          <w:sz w:val="24"/>
          <w:highlight w:val="none"/>
        </w:rPr>
      </w:pPr>
      <w:r>
        <w:rPr>
          <w:rFonts w:hint="default" w:ascii="Times New Roman" w:hAnsi="Times New Roman" w:cs="Times New Roman"/>
          <w:snapToGrid w:val="0"/>
          <w:color w:val="auto"/>
          <w:kern w:val="0"/>
          <w:sz w:val="24"/>
          <w:highlight w:val="none"/>
        </w:rPr>
        <w:t>（4）严格落实施工现场</w:t>
      </w:r>
      <w:r>
        <w:rPr>
          <w:rFonts w:hint="eastAsia" w:ascii="Times New Roman" w:hAnsi="Times New Roman" w:cs="Times New Roman"/>
          <w:snapToGrid w:val="0"/>
          <w:color w:val="auto"/>
          <w:kern w:val="0"/>
          <w:sz w:val="24"/>
          <w:highlight w:val="none"/>
          <w:lang w:eastAsia="zh-CN"/>
        </w:rPr>
        <w:t>“</w:t>
      </w:r>
      <w:r>
        <w:rPr>
          <w:rFonts w:hint="default" w:ascii="Times New Roman" w:hAnsi="Times New Roman" w:cs="Times New Roman"/>
          <w:snapToGrid w:val="0"/>
          <w:color w:val="auto"/>
          <w:kern w:val="0"/>
          <w:sz w:val="24"/>
          <w:highlight w:val="none"/>
        </w:rPr>
        <w:t>六个百分之百</w:t>
      </w:r>
      <w:r>
        <w:rPr>
          <w:rFonts w:hint="eastAsia" w:ascii="Times New Roman" w:hAnsi="Times New Roman" w:cs="Times New Roman"/>
          <w:snapToGrid w:val="0"/>
          <w:color w:val="auto"/>
          <w:kern w:val="0"/>
          <w:sz w:val="24"/>
          <w:highlight w:val="none"/>
          <w:lang w:eastAsia="zh-CN"/>
        </w:rPr>
        <w:t>”“</w:t>
      </w:r>
      <w:r>
        <w:rPr>
          <w:rFonts w:hint="default" w:ascii="Times New Roman" w:hAnsi="Times New Roman" w:cs="Times New Roman"/>
          <w:snapToGrid w:val="0"/>
          <w:color w:val="auto"/>
          <w:kern w:val="0"/>
          <w:sz w:val="24"/>
          <w:highlight w:val="none"/>
        </w:rPr>
        <w:t>两个禁止</w:t>
      </w:r>
      <w:r>
        <w:rPr>
          <w:rFonts w:hint="eastAsia" w:ascii="Times New Roman" w:hAnsi="Times New Roman" w:cs="Times New Roman"/>
          <w:snapToGrid w:val="0"/>
          <w:color w:val="auto"/>
          <w:kern w:val="0"/>
          <w:sz w:val="24"/>
          <w:highlight w:val="none"/>
          <w:lang w:eastAsia="zh-CN"/>
        </w:rPr>
        <w:t>”</w:t>
      </w:r>
      <w:r>
        <w:rPr>
          <w:rFonts w:hint="default" w:ascii="Times New Roman" w:hAnsi="Times New Roman" w:cs="Times New Roman"/>
          <w:snapToGrid w:val="0"/>
          <w:color w:val="auto"/>
          <w:kern w:val="0"/>
          <w:sz w:val="24"/>
          <w:highlight w:val="none"/>
        </w:rPr>
        <w:t>要求，确保扬尘治理达标。建立健全施工扬尘治理管控体系，确保在施工过程中做到</w:t>
      </w:r>
      <w:r>
        <w:rPr>
          <w:rFonts w:hint="eastAsia" w:ascii="Times New Roman" w:hAnsi="Times New Roman" w:cs="Times New Roman"/>
          <w:snapToGrid w:val="0"/>
          <w:color w:val="auto"/>
          <w:kern w:val="0"/>
          <w:sz w:val="24"/>
          <w:highlight w:val="none"/>
          <w:lang w:eastAsia="zh-CN"/>
        </w:rPr>
        <w:t>“</w:t>
      </w:r>
      <w:r>
        <w:rPr>
          <w:rFonts w:hint="default" w:ascii="Times New Roman" w:hAnsi="Times New Roman" w:cs="Times New Roman"/>
          <w:snapToGrid w:val="0"/>
          <w:color w:val="auto"/>
          <w:kern w:val="0"/>
          <w:sz w:val="24"/>
          <w:highlight w:val="none"/>
        </w:rPr>
        <w:t>六个百分之百</w:t>
      </w:r>
      <w:r>
        <w:rPr>
          <w:rFonts w:hint="eastAsia" w:ascii="Times New Roman" w:hAnsi="Times New Roman" w:cs="Times New Roman"/>
          <w:snapToGrid w:val="0"/>
          <w:color w:val="auto"/>
          <w:kern w:val="0"/>
          <w:sz w:val="24"/>
          <w:highlight w:val="none"/>
          <w:lang w:eastAsia="zh-CN"/>
        </w:rPr>
        <w:t>”</w:t>
      </w:r>
      <w:r>
        <w:rPr>
          <w:rFonts w:hint="default" w:ascii="Times New Roman" w:hAnsi="Times New Roman" w:cs="Times New Roman"/>
          <w:snapToGrid w:val="0"/>
          <w:color w:val="auto"/>
          <w:kern w:val="0"/>
          <w:sz w:val="24"/>
          <w:highlight w:val="none"/>
        </w:rPr>
        <w:t>，即工地周边百分之百围挡、裸露土地和细颗粒建筑材料百分之百覆盖、出入车辆百分之百冲洗、施工现场道路百分之百硬化、拆除和土方作业百分之百湿法作业、渣土车辆百分之百密闭运输。</w:t>
      </w:r>
    </w:p>
    <w:p w14:paraId="7FAD7153">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snapToGrid w:val="0"/>
          <w:color w:val="auto"/>
          <w:kern w:val="0"/>
          <w:sz w:val="24"/>
          <w:highlight w:val="none"/>
        </w:rPr>
      </w:pPr>
      <w:r>
        <w:rPr>
          <w:rFonts w:hint="default" w:ascii="Times New Roman" w:hAnsi="Times New Roman" w:cs="Times New Roman"/>
          <w:snapToGrid w:val="0"/>
          <w:color w:val="auto"/>
          <w:kern w:val="0"/>
          <w:sz w:val="24"/>
          <w:highlight w:val="none"/>
        </w:rPr>
        <w:t>综上所述，本项目在施工中加强管理、切实落实好以上措施，施工扬尘对周围环境的影响可降至最低程度，能够满足河北省地方标准《施工场地扬尘排放标准》（DB13/2934-2019）表1扬尘排放浓度限值要求。</w:t>
      </w:r>
    </w:p>
    <w:p w14:paraId="2236CE4B">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napToGrid w:val="0"/>
          <w:color w:val="auto"/>
          <w:kern w:val="0"/>
          <w:sz w:val="24"/>
          <w:highlight w:val="none"/>
          <w:lang w:val="en-US" w:eastAsia="zh-CN"/>
        </w:rPr>
      </w:pPr>
      <w:r>
        <w:rPr>
          <w:rFonts w:hint="eastAsia" w:cs="Times New Roman"/>
          <w:snapToGrid w:val="0"/>
          <w:color w:val="auto"/>
          <w:kern w:val="0"/>
          <w:sz w:val="24"/>
          <w:highlight w:val="none"/>
          <w:lang w:val="en-US" w:eastAsia="zh-CN"/>
        </w:rPr>
        <w:t>2、</w:t>
      </w:r>
      <w:r>
        <w:rPr>
          <w:rFonts w:hint="default" w:ascii="Times New Roman" w:hAnsi="Times New Roman" w:cs="Times New Roman"/>
          <w:snapToGrid w:val="0"/>
          <w:color w:val="auto"/>
          <w:kern w:val="0"/>
          <w:sz w:val="24"/>
          <w:highlight w:val="none"/>
        </w:rPr>
        <w:t>施工期</w:t>
      </w:r>
      <w:r>
        <w:rPr>
          <w:rFonts w:hint="eastAsia" w:cs="Times New Roman"/>
          <w:snapToGrid w:val="0"/>
          <w:color w:val="auto"/>
          <w:kern w:val="0"/>
          <w:sz w:val="24"/>
          <w:highlight w:val="none"/>
          <w:lang w:val="en-US" w:eastAsia="zh-CN"/>
        </w:rPr>
        <w:t>废水防治措施</w:t>
      </w:r>
    </w:p>
    <w:p w14:paraId="394B31FA">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Times New Roman" w:hAnsi="Times New Roman" w:eastAsia="宋体" w:cs="Times New Roman"/>
          <w:snapToGrid w:val="0"/>
          <w:color w:val="auto"/>
          <w:kern w:val="0"/>
          <w:sz w:val="24"/>
          <w:highlight w:val="none"/>
          <w:lang w:eastAsia="zh-CN"/>
        </w:rPr>
      </w:pPr>
      <w:r>
        <w:rPr>
          <w:rFonts w:hint="eastAsia" w:cs="Times New Roman"/>
          <w:snapToGrid w:val="0"/>
          <w:color w:val="auto"/>
          <w:kern w:val="0"/>
          <w:sz w:val="24"/>
          <w:highlight w:val="none"/>
          <w:lang w:val="en-US" w:eastAsia="zh-CN"/>
        </w:rPr>
        <w:t>在工程建设中，产生的主要废水为施工废水及施工人员的生活污水。施工期的生产废水主要是施工泥浆水、施工机械设备和运输车辆的清洗废水。施工废水设置一个沉淀池，沉淀处理后全部回用于混凝土制备工序。施工人员生活污水依托厂区现有的生活污水管网，进入污水处理厂集中处理，对纳污水体水环境影响较小</w:t>
      </w:r>
      <w:r>
        <w:rPr>
          <w:rFonts w:hint="eastAsia" w:cs="Times New Roman"/>
          <w:snapToGrid w:val="0"/>
          <w:color w:val="auto"/>
          <w:kern w:val="0"/>
          <w:sz w:val="24"/>
          <w:highlight w:val="none"/>
          <w:lang w:eastAsia="zh-CN"/>
        </w:rPr>
        <w:t>。</w:t>
      </w:r>
    </w:p>
    <w:p w14:paraId="3C141030">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snapToGrid w:val="0"/>
          <w:color w:val="auto"/>
          <w:kern w:val="0"/>
          <w:sz w:val="24"/>
          <w:highlight w:val="none"/>
          <w:lang w:val="en-US"/>
        </w:rPr>
      </w:pPr>
      <w:r>
        <w:rPr>
          <w:rFonts w:hint="eastAsia" w:cs="Times New Roman"/>
          <w:snapToGrid w:val="0"/>
          <w:color w:val="auto"/>
          <w:kern w:val="0"/>
          <w:sz w:val="24"/>
          <w:highlight w:val="none"/>
          <w:lang w:val="en-US" w:eastAsia="zh-CN"/>
        </w:rPr>
        <w:t>3、</w:t>
      </w:r>
      <w:r>
        <w:rPr>
          <w:rFonts w:hint="default" w:ascii="Times New Roman" w:hAnsi="Times New Roman" w:cs="Times New Roman"/>
          <w:snapToGrid w:val="0"/>
          <w:color w:val="auto"/>
          <w:kern w:val="0"/>
          <w:sz w:val="24"/>
          <w:highlight w:val="none"/>
        </w:rPr>
        <w:t>施工期</w:t>
      </w:r>
      <w:r>
        <w:rPr>
          <w:rFonts w:hint="eastAsia" w:cs="Times New Roman"/>
          <w:snapToGrid w:val="0"/>
          <w:color w:val="auto"/>
          <w:kern w:val="0"/>
          <w:sz w:val="24"/>
          <w:highlight w:val="none"/>
          <w:lang w:val="en-US" w:eastAsia="zh-CN"/>
        </w:rPr>
        <w:t>噪声防治措施</w:t>
      </w:r>
    </w:p>
    <w:p w14:paraId="0F400A33">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snapToGrid w:val="0"/>
          <w:color w:val="auto"/>
          <w:kern w:val="0"/>
          <w:sz w:val="24"/>
          <w:highlight w:val="none"/>
        </w:rPr>
      </w:pPr>
      <w:r>
        <w:rPr>
          <w:rFonts w:hint="default" w:ascii="Times New Roman" w:hAnsi="Times New Roman" w:cs="Times New Roman"/>
          <w:snapToGrid w:val="0"/>
          <w:color w:val="auto"/>
          <w:kern w:val="0"/>
          <w:sz w:val="24"/>
          <w:highlight w:val="none"/>
          <w:lang w:val="en-US" w:eastAsia="zh-CN"/>
        </w:rPr>
        <w:t>施工过程中材料的运输、基础工程等所用车辆及各种施工机械发出的噪声将对周围的声环境产生影响。为减少工程施工对评价区域声环境的影响，对于施工机械噪声，在施工设备选型上，应选用正规厂家、噪声较低的环保型设备，并加强施工现场管理，保证现场设备安装质量，确保施工设备正常运行。对高噪声的施工设备，必须封闭使用或四周加设隔声屏障，降低其使用时产生的噪声对周围环境的影响。严禁在22:00-6:00时间段内施工。车辆的运行，会引起公路沿线噪声级的增加。因此，应加强对运输车辆的管理，尽量压缩汽车数量和行车密度，控制汽车鸣笛。设备调试及试运转尽量在白天进行</w:t>
      </w:r>
      <w:r>
        <w:rPr>
          <w:rFonts w:hint="default" w:ascii="Times New Roman" w:hAnsi="Times New Roman" w:cs="Times New Roman"/>
          <w:snapToGrid w:val="0"/>
          <w:color w:val="auto"/>
          <w:kern w:val="0"/>
          <w:sz w:val="24"/>
          <w:highlight w:val="none"/>
        </w:rPr>
        <w:t>。</w:t>
      </w:r>
    </w:p>
    <w:p w14:paraId="758E7043">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snapToGrid w:val="0"/>
          <w:color w:val="auto"/>
          <w:kern w:val="0"/>
          <w:sz w:val="24"/>
          <w:highlight w:val="none"/>
          <w:lang w:val="en-US"/>
        </w:rPr>
      </w:pPr>
      <w:r>
        <w:rPr>
          <w:rFonts w:hint="eastAsia" w:cs="Times New Roman"/>
          <w:snapToGrid w:val="0"/>
          <w:color w:val="auto"/>
          <w:kern w:val="0"/>
          <w:sz w:val="24"/>
          <w:highlight w:val="none"/>
          <w:lang w:val="en-US" w:eastAsia="zh-CN"/>
        </w:rPr>
        <w:t>4、</w:t>
      </w:r>
      <w:r>
        <w:rPr>
          <w:rFonts w:hint="default" w:ascii="Times New Roman" w:hAnsi="Times New Roman" w:cs="Times New Roman"/>
          <w:snapToGrid w:val="0"/>
          <w:color w:val="auto"/>
          <w:kern w:val="0"/>
          <w:sz w:val="24"/>
          <w:highlight w:val="none"/>
        </w:rPr>
        <w:t>施工期</w:t>
      </w:r>
      <w:r>
        <w:rPr>
          <w:rFonts w:hint="eastAsia" w:cs="Times New Roman"/>
          <w:snapToGrid w:val="0"/>
          <w:color w:val="auto"/>
          <w:kern w:val="0"/>
          <w:sz w:val="24"/>
          <w:highlight w:val="none"/>
          <w:lang w:val="en-US" w:eastAsia="zh-CN"/>
        </w:rPr>
        <w:t>固体废物防治措施</w:t>
      </w:r>
    </w:p>
    <w:p w14:paraId="2C8A6DF3">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s="Times New Roman"/>
          <w:snapToGrid w:val="0"/>
          <w:color w:val="auto"/>
          <w:kern w:val="0"/>
          <w:sz w:val="24"/>
          <w:highlight w:val="none"/>
          <w:lang w:val="en-US" w:eastAsia="zh-CN"/>
        </w:rPr>
      </w:pPr>
      <w:r>
        <w:rPr>
          <w:rFonts w:hint="eastAsia" w:cs="Times New Roman"/>
          <w:snapToGrid w:val="0"/>
          <w:color w:val="auto"/>
          <w:kern w:val="0"/>
          <w:sz w:val="24"/>
          <w:highlight w:val="none"/>
          <w:lang w:val="en-US" w:eastAsia="zh-CN"/>
        </w:rPr>
        <w:t>施工期的固体废物主要为平整场地的建筑垃圾和施工人员的生活垃圾。</w:t>
      </w:r>
    </w:p>
    <w:p w14:paraId="33D2974D">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s="Times New Roman"/>
          <w:snapToGrid w:val="0"/>
          <w:color w:val="auto"/>
          <w:kern w:val="0"/>
          <w:sz w:val="24"/>
          <w:highlight w:val="none"/>
          <w:lang w:val="en-US" w:eastAsia="zh-CN"/>
        </w:rPr>
      </w:pPr>
      <w:r>
        <w:rPr>
          <w:rFonts w:hint="eastAsia" w:cs="Times New Roman"/>
          <w:snapToGrid w:val="0"/>
          <w:color w:val="auto"/>
          <w:kern w:val="0"/>
          <w:sz w:val="24"/>
          <w:highlight w:val="none"/>
          <w:lang w:val="en-US" w:eastAsia="zh-CN"/>
        </w:rPr>
        <w:t>建筑垃圾：项目施工中产生的建筑垃圾包括平整土地产生的土石方等，必须统一收集、装运，运送至城市建设管理部门指定的建筑垃圾堆放处统一处置。</w:t>
      </w:r>
    </w:p>
    <w:p w14:paraId="3657CA0D">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cs="Times New Roman"/>
          <w:snapToGrid w:val="0"/>
          <w:color w:val="auto"/>
          <w:kern w:val="0"/>
          <w:sz w:val="24"/>
          <w:highlight w:val="none"/>
          <w:lang w:val="en-US" w:eastAsia="zh-CN"/>
        </w:rPr>
      </w:pPr>
      <w:r>
        <w:rPr>
          <w:rFonts w:hint="eastAsia" w:cs="Times New Roman"/>
          <w:snapToGrid w:val="0"/>
          <w:color w:val="auto"/>
          <w:kern w:val="0"/>
          <w:sz w:val="24"/>
          <w:highlight w:val="none"/>
          <w:lang w:val="en-US" w:eastAsia="zh-CN"/>
        </w:rPr>
        <w:t>生活垃圾：收集后由环卫部门统一处理。</w:t>
      </w:r>
    </w:p>
    <w:p w14:paraId="47B09C73">
      <w:pPr>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snapToGrid w:val="0"/>
          <w:color w:val="auto"/>
          <w:kern w:val="0"/>
          <w:sz w:val="24"/>
          <w:highlight w:val="none"/>
        </w:rPr>
      </w:pPr>
      <w:r>
        <w:rPr>
          <w:rFonts w:hint="default" w:ascii="Times New Roman" w:hAnsi="Times New Roman" w:cs="Times New Roman"/>
          <w:snapToGrid w:val="0"/>
          <w:color w:val="auto"/>
          <w:kern w:val="0"/>
          <w:sz w:val="24"/>
          <w:highlight w:val="none"/>
          <w:lang w:val="en-US" w:eastAsia="zh-CN"/>
        </w:rPr>
        <w:t>综上所述，以上影响随着施工期的结束而结束，对周围环境不会产生明显影</w:t>
      </w:r>
    </w:p>
    <w:p w14:paraId="6AFB2CCB">
      <w:pPr>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cs="Times New Roman"/>
          <w:snapToGrid w:val="0"/>
          <w:color w:val="auto"/>
          <w:kern w:val="0"/>
          <w:sz w:val="24"/>
          <w:highlight w:val="none"/>
          <w:lang w:val="en-US" w:eastAsia="zh-CN"/>
        </w:rPr>
      </w:pPr>
      <w:r>
        <w:rPr>
          <w:rFonts w:hint="default" w:ascii="Times New Roman" w:hAnsi="Times New Roman" w:cs="Times New Roman"/>
          <w:snapToGrid w:val="0"/>
          <w:color w:val="auto"/>
          <w:kern w:val="0"/>
          <w:sz w:val="24"/>
          <w:highlight w:val="none"/>
          <w:lang w:val="en-US" w:eastAsia="zh-CN"/>
        </w:rPr>
        <w:t>响</w:t>
      </w:r>
      <w:r>
        <w:rPr>
          <w:rFonts w:hint="eastAsia" w:cs="Times New Roman"/>
          <w:snapToGrid w:val="0"/>
          <w:color w:val="auto"/>
          <w:kern w:val="0"/>
          <w:sz w:val="24"/>
          <w:highlight w:val="none"/>
          <w:lang w:val="en-US" w:eastAsia="zh-CN"/>
        </w:rPr>
        <w:t>。</w:t>
      </w:r>
    </w:p>
    <w:p w14:paraId="01A7C47A">
      <w:pPr>
        <w:pageBreakBefore w:val="0"/>
        <w:widowControl w:val="0"/>
        <w:kinsoku/>
        <w:wordWrap/>
        <w:overflowPunct/>
        <w:topLinePunct w:val="0"/>
        <w:autoSpaceDE/>
        <w:autoSpaceDN/>
        <w:bidi w:val="0"/>
        <w:adjustRightInd/>
        <w:snapToGrid/>
        <w:spacing w:line="360" w:lineRule="auto"/>
        <w:ind w:leftChars="0" w:firstLine="482" w:firstLineChars="200"/>
        <w:jc w:val="both"/>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运营期环境影响和保护措施</w:t>
      </w:r>
      <w:r>
        <w:rPr>
          <w:rFonts w:hint="eastAsia" w:cs="Times New Roman"/>
          <w:b/>
          <w:bCs/>
          <w:color w:val="auto"/>
          <w:sz w:val="24"/>
          <w:szCs w:val="24"/>
          <w:highlight w:val="none"/>
          <w:lang w:val="en-US" w:eastAsia="zh-CN"/>
        </w:rPr>
        <w:t>：</w:t>
      </w:r>
    </w:p>
    <w:p w14:paraId="7B494F2B">
      <w:pPr>
        <w:pStyle w:val="5"/>
        <w:keepNext w:val="0"/>
        <w:keepLines w:val="0"/>
        <w:pageBreakBefore w:val="0"/>
        <w:widowControl w:val="0"/>
        <w:kinsoku/>
        <w:wordWrap/>
        <w:overflowPunct/>
        <w:topLinePunct w:val="0"/>
        <w:autoSpaceDE/>
        <w:autoSpaceDN/>
        <w:bidi w:val="0"/>
        <w:adjustRightInd/>
        <w:snapToGrid/>
        <w:spacing w:line="360" w:lineRule="auto"/>
        <w:ind w:leftChars="0" w:firstLine="480" w:firstLineChars="200"/>
        <w:jc w:val="both"/>
        <w:textAlignment w:val="auto"/>
        <w:rPr>
          <w:rFonts w:hint="default" w:ascii="Times New Roman" w:hAnsi="Times New Roman" w:cs="Times New Roman"/>
          <w:b w:val="0"/>
          <w:bCs w:val="0"/>
          <w:color w:val="auto"/>
          <w:sz w:val="24"/>
          <w:szCs w:val="24"/>
          <w:highlight w:val="none"/>
          <w:lang w:val="en-US" w:eastAsia="zh-CN"/>
        </w:rPr>
      </w:pPr>
      <w:r>
        <w:rPr>
          <w:rFonts w:hint="default" w:ascii="Times New Roman" w:hAnsi="Times New Roman" w:cs="Times New Roman"/>
          <w:b w:val="0"/>
          <w:bCs w:val="0"/>
          <w:color w:val="auto"/>
          <w:sz w:val="24"/>
          <w:szCs w:val="24"/>
          <w:highlight w:val="none"/>
          <w:lang w:val="en-US" w:eastAsia="zh-CN"/>
        </w:rPr>
        <w:t>1</w:t>
      </w:r>
      <w:r>
        <w:rPr>
          <w:rFonts w:hint="default" w:ascii="Times New Roman" w:hAnsi="Times New Roman" w:cs="Times New Roman" w:eastAsiaTheme="minorEastAsia"/>
          <w:b w:val="0"/>
          <w:bCs w:val="0"/>
          <w:color w:val="auto"/>
          <w:kern w:val="2"/>
          <w:sz w:val="24"/>
          <w:szCs w:val="24"/>
          <w:highlight w:val="none"/>
          <w:lang w:val="en-US" w:eastAsia="zh-CN" w:bidi="ar-SA"/>
        </w:rPr>
        <w:t>、废气</w:t>
      </w:r>
    </w:p>
    <w:p w14:paraId="04EA35BD">
      <w:pPr>
        <w:pStyle w:val="5"/>
        <w:pageBreakBefore w:val="0"/>
        <w:widowControl w:val="0"/>
        <w:kinsoku/>
        <w:wordWrap/>
        <w:overflowPunct/>
        <w:topLinePunct w:val="0"/>
        <w:autoSpaceDE/>
        <w:autoSpaceDN/>
        <w:bidi w:val="0"/>
        <w:adjustRightInd/>
        <w:snapToGrid/>
        <w:spacing w:line="360" w:lineRule="auto"/>
        <w:ind w:leftChars="0" w:firstLine="480" w:firstLineChars="2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（1）有组织废气</w:t>
      </w:r>
    </w:p>
    <w:p w14:paraId="3C62A5CB">
      <w:pPr>
        <w:pStyle w:val="5"/>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为进一步提升危险废物贮存的安全防护等级，企业拟在甲类仓库区域新建一座144m</w:t>
      </w:r>
      <w:r>
        <w:rPr>
          <w:rFonts w:hint="default" w:ascii="Times New Roman" w:hAnsi="Times New Roman" w:eastAsia="宋体" w:cs="Times New Roman"/>
          <w:b w:val="0"/>
          <w:bCs w:val="0"/>
          <w:color w:val="auto"/>
          <w:kern w:val="2"/>
          <w:sz w:val="24"/>
          <w:szCs w:val="24"/>
          <w:highlight w:val="none"/>
          <w:vertAlign w:val="superscript"/>
          <w:lang w:val="en-US" w:eastAsia="zh-CN" w:bidi="ar-SA"/>
        </w:rPr>
        <w:t>2</w:t>
      </w:r>
      <w:r>
        <w:rPr>
          <w:rFonts w:hint="default" w:ascii="Times New Roman" w:hAnsi="Times New Roman" w:eastAsia="宋体" w:cs="Times New Roman"/>
          <w:b w:val="0"/>
          <w:bCs w:val="0"/>
          <w:color w:val="auto"/>
          <w:kern w:val="2"/>
          <w:sz w:val="24"/>
          <w:szCs w:val="24"/>
          <w:highlight w:val="none"/>
          <w:lang w:val="en-US" w:eastAsia="zh-CN" w:bidi="ar-SA"/>
        </w:rPr>
        <w:t>危废专用贮存库，全面替代原设置于丙类仓库内的危废贮存设施。该拟建危废库将集中暂存厂区内产生的全部危险废物，贮存物质种类与现有一致</w:t>
      </w:r>
      <w:r>
        <w:rPr>
          <w:rFonts w:hint="eastAsia" w:eastAsia="宋体" w:cs="Times New Roman"/>
          <w:b w:val="0"/>
          <w:bCs w:val="0"/>
          <w:color w:val="auto"/>
          <w:kern w:val="2"/>
          <w:sz w:val="24"/>
          <w:szCs w:val="24"/>
          <w:highlight w:val="none"/>
          <w:lang w:val="en-US" w:eastAsia="zh-CN" w:bidi="ar-SA"/>
        </w:rPr>
        <w:t>。</w:t>
      </w:r>
    </w:p>
    <w:p w14:paraId="22C8BA4A">
      <w:pPr>
        <w:pStyle w:val="2"/>
        <w:rPr>
          <w:rFonts w:hint="eastAsia" w:cs="Times New Roman"/>
          <w:snapToGrid w:val="0"/>
          <w:color w:val="auto"/>
          <w:kern w:val="0"/>
          <w:sz w:val="24"/>
          <w:highlight w:val="none"/>
          <w:lang w:val="en-US" w:eastAsia="zh-CN"/>
        </w:rPr>
      </w:pPr>
      <w:r>
        <w:rPr>
          <w:rFonts w:hint="default" w:ascii="Times New Roman" w:hAnsi="Times New Roman" w:eastAsia="宋体" w:cs="Times New Roman"/>
          <w:b w:val="0"/>
          <w:bCs w:val="0"/>
          <w:color w:val="auto"/>
          <w:kern w:val="2"/>
          <w:sz w:val="24"/>
          <w:szCs w:val="24"/>
          <w:highlight w:val="none"/>
          <w:lang w:val="en-US" w:eastAsia="zh-CN" w:bidi="ar-SA"/>
        </w:rPr>
        <w:t>危废暂存过程中会产生少量废气污染物，主要包括氨、非甲烷总烃及臭气浓度。项目建成后，企业将停用现有危废库，并将原配套的“活性炭吸附+碱吸收”废气治理设施整体迁至新建危废库，继续用于废气处理</w:t>
      </w:r>
      <w:r>
        <w:rPr>
          <w:rFonts w:hint="eastAsia" w:eastAsia="宋体" w:cs="Times New Roman"/>
          <w:b w:val="0"/>
          <w:bCs w:val="0"/>
          <w:color w:val="auto"/>
          <w:kern w:val="2"/>
          <w:sz w:val="24"/>
          <w:szCs w:val="24"/>
          <w:highlight w:val="none"/>
          <w:lang w:val="en-US" w:eastAsia="zh-CN" w:bidi="ar-SA"/>
        </w:rPr>
        <w:t>，新建一根15m排气筒用于废气排放</w:t>
      </w:r>
      <w:r>
        <w:rPr>
          <w:rFonts w:hint="default" w:ascii="Times New Roman" w:hAnsi="Times New Roman" w:eastAsia="宋体" w:cs="Times New Roman"/>
          <w:b w:val="0"/>
          <w:bCs w:val="0"/>
          <w:color w:val="auto"/>
          <w:kern w:val="2"/>
          <w:sz w:val="24"/>
          <w:szCs w:val="24"/>
          <w:highlight w:val="none"/>
          <w:lang w:val="en-US" w:eastAsia="zh-CN" w:bidi="ar-SA"/>
        </w:rPr>
        <w:t>。</w:t>
      </w:r>
    </w:p>
    <w:p w14:paraId="6BBEF892">
      <w:pPr>
        <w:keepNext w:val="0"/>
        <w:keepLines w:val="0"/>
        <w:pageBreakBefore w:val="0"/>
        <w:widowControl w:val="0"/>
        <w:tabs>
          <w:tab w:val="left" w:pos="5711"/>
        </w:tabs>
        <w:kinsoku/>
        <w:wordWrap/>
        <w:overflowPunct/>
        <w:topLinePunct w:val="0"/>
        <w:autoSpaceDE w:val="0"/>
        <w:autoSpaceDN w:val="0"/>
        <w:bidi w:val="0"/>
        <w:adjustRightInd/>
        <w:snapToGrid/>
        <w:spacing w:before="0" w:beforeLines="0" w:after="0" w:afterLines="0" w:line="440" w:lineRule="exact"/>
        <w:ind w:firstLine="480" w:firstLineChars="200"/>
        <w:textAlignment w:val="auto"/>
        <w:rPr>
          <w:rFonts w:hint="default" w:ascii="Times New Roman" w:hAnsi="Times New Roman" w:eastAsia="宋体" w:cs="Times New Roman"/>
          <w:color w:val="auto"/>
          <w:spacing w:val="0"/>
          <w:sz w:val="24"/>
          <w:szCs w:val="24"/>
          <w:highlight w:val="none"/>
          <w:lang w:val="en-US" w:eastAsia="zh-CN"/>
        </w:rPr>
      </w:pPr>
      <w:r>
        <w:rPr>
          <w:rFonts w:hint="default" w:ascii="Times New Roman" w:hAnsi="Times New Roman" w:eastAsia="宋体" w:cs="Times New Roman"/>
          <w:color w:val="auto"/>
          <w:spacing w:val="0"/>
          <w:sz w:val="24"/>
          <w:szCs w:val="24"/>
          <w:highlight w:val="none"/>
          <w:lang w:val="en-US" w:eastAsia="zh-CN"/>
        </w:rPr>
        <w:t>根据《排污许可证申请与核发技术规范</w:t>
      </w:r>
      <w:r>
        <w:rPr>
          <w:rFonts w:hint="eastAsia" w:cs="Times New Roman"/>
          <w:color w:val="auto"/>
          <w:spacing w:val="0"/>
          <w:sz w:val="24"/>
          <w:szCs w:val="24"/>
          <w:highlight w:val="none"/>
          <w:lang w:val="en-US" w:eastAsia="zh-CN"/>
        </w:rPr>
        <w:t xml:space="preserve"> </w:t>
      </w:r>
      <w:r>
        <w:rPr>
          <w:rFonts w:hint="default" w:ascii="Times New Roman" w:hAnsi="Times New Roman" w:eastAsia="宋体" w:cs="Times New Roman"/>
          <w:color w:val="auto"/>
          <w:spacing w:val="0"/>
          <w:sz w:val="24"/>
          <w:szCs w:val="24"/>
          <w:highlight w:val="none"/>
          <w:lang w:val="en-US" w:eastAsia="zh-CN"/>
        </w:rPr>
        <w:t>总则》（HJ 942-2018）</w:t>
      </w:r>
      <w:r>
        <w:rPr>
          <w:rFonts w:hint="eastAsia" w:cs="Times New Roman"/>
          <w:color w:val="auto"/>
          <w:spacing w:val="0"/>
          <w:sz w:val="24"/>
          <w:szCs w:val="24"/>
          <w:highlight w:val="none"/>
          <w:lang w:val="en-US" w:eastAsia="zh-CN"/>
        </w:rPr>
        <w:t>、《</w:t>
      </w:r>
      <w:r>
        <w:rPr>
          <w:rFonts w:hint="default" w:ascii="Times New Roman" w:hAnsi="Times New Roman" w:eastAsia="宋体" w:cs="Times New Roman"/>
          <w:color w:val="auto"/>
          <w:spacing w:val="0"/>
          <w:sz w:val="24"/>
          <w:szCs w:val="24"/>
          <w:highlight w:val="none"/>
          <w:lang w:val="en-US" w:eastAsia="zh-CN"/>
        </w:rPr>
        <w:t>排污许可证申请与核发技术规范工业固体废物和危险废物治理</w:t>
      </w:r>
      <w:r>
        <w:rPr>
          <w:rFonts w:hint="eastAsia" w:cs="Times New Roman"/>
          <w:color w:val="auto"/>
          <w:spacing w:val="0"/>
          <w:sz w:val="24"/>
          <w:szCs w:val="24"/>
          <w:highlight w:val="none"/>
          <w:lang w:val="en-US" w:eastAsia="zh-CN"/>
        </w:rPr>
        <w:t>》（HJ1033-2019）中附录C，本项目采用的废气处理设施属于可行技术。</w:t>
      </w:r>
      <w:r>
        <w:rPr>
          <w:rFonts w:hint="default" w:ascii="Times New Roman" w:hAnsi="Times New Roman" w:eastAsia="宋体" w:cs="Times New Roman"/>
          <w:color w:val="auto"/>
          <w:spacing w:val="0"/>
          <w:sz w:val="24"/>
          <w:szCs w:val="24"/>
          <w:highlight w:val="none"/>
          <w:lang w:val="en-US" w:eastAsia="zh-CN"/>
        </w:rPr>
        <w:t>拟建项目</w:t>
      </w:r>
      <w:r>
        <w:rPr>
          <w:rFonts w:hint="eastAsia" w:cs="Times New Roman"/>
          <w:color w:val="auto"/>
          <w:spacing w:val="0"/>
          <w:sz w:val="24"/>
          <w:szCs w:val="24"/>
          <w:highlight w:val="none"/>
          <w:lang w:val="en-US" w:eastAsia="zh-CN"/>
        </w:rPr>
        <w:t>建成后存储全厂危废，现有</w:t>
      </w:r>
      <w:r>
        <w:rPr>
          <w:rFonts w:hint="default" w:ascii="Times New Roman" w:hAnsi="Times New Roman" w:eastAsia="宋体" w:cs="Times New Roman"/>
          <w:color w:val="auto"/>
          <w:spacing w:val="0"/>
          <w:sz w:val="24"/>
          <w:szCs w:val="24"/>
          <w:highlight w:val="none"/>
          <w:lang w:val="en-US" w:eastAsia="zh-CN"/>
        </w:rPr>
        <w:t>危废库</w:t>
      </w:r>
      <w:r>
        <w:rPr>
          <w:rFonts w:hint="eastAsia" w:cs="Times New Roman"/>
          <w:color w:val="auto"/>
          <w:spacing w:val="0"/>
          <w:sz w:val="24"/>
          <w:szCs w:val="24"/>
          <w:highlight w:val="none"/>
          <w:lang w:val="en-US" w:eastAsia="zh-CN"/>
        </w:rPr>
        <w:t>停用，现有处理设施整体挪至拟建项目使用</w:t>
      </w:r>
      <w:r>
        <w:rPr>
          <w:rFonts w:hint="default" w:ascii="Times New Roman" w:hAnsi="Times New Roman" w:eastAsia="宋体" w:cs="Times New Roman"/>
          <w:color w:val="auto"/>
          <w:spacing w:val="0"/>
          <w:sz w:val="24"/>
          <w:szCs w:val="24"/>
          <w:highlight w:val="none"/>
          <w:lang w:val="en-US" w:eastAsia="zh-CN"/>
        </w:rPr>
        <w:t>，本项目建成后危废库内暂存危废种类无变化，即在危废暂存过程中产生的废气污染物亦为：氨、非甲烷总烃、臭气浓度，与现有工程危废间废气污染物相同，无变化。公司现有工程危废间采用的废气处理措施为“</w:t>
      </w:r>
      <w:r>
        <w:rPr>
          <w:rFonts w:hint="eastAsia" w:ascii="Times New Roman" w:hAnsi="Times New Roman" w:eastAsia="宋体" w:cs="Times New Roman"/>
          <w:color w:val="auto"/>
          <w:spacing w:val="0"/>
          <w:sz w:val="24"/>
          <w:szCs w:val="24"/>
          <w:highlight w:val="none"/>
          <w:lang w:val="en-US" w:eastAsia="zh-CN"/>
        </w:rPr>
        <w:t>活性炭吸附+碱吸收</w:t>
      </w:r>
      <w:r>
        <w:rPr>
          <w:rFonts w:hint="default" w:ascii="Times New Roman" w:hAnsi="Times New Roman" w:eastAsia="宋体" w:cs="Times New Roman"/>
          <w:color w:val="auto"/>
          <w:spacing w:val="0"/>
          <w:sz w:val="24"/>
          <w:szCs w:val="24"/>
          <w:highlight w:val="none"/>
          <w:lang w:val="en-US" w:eastAsia="zh-CN"/>
        </w:rPr>
        <w:t>”，根据</w:t>
      </w:r>
      <w:r>
        <w:rPr>
          <w:rFonts w:hint="eastAsia" w:cs="Times New Roman"/>
          <w:color w:val="auto"/>
          <w:spacing w:val="0"/>
          <w:sz w:val="24"/>
          <w:szCs w:val="24"/>
          <w:highlight w:val="none"/>
          <w:lang w:val="en-US" w:eastAsia="zh-CN"/>
        </w:rPr>
        <w:t>排污许可及</w:t>
      </w:r>
      <w:r>
        <w:rPr>
          <w:rFonts w:hint="default" w:ascii="Times New Roman" w:hAnsi="Times New Roman" w:eastAsia="宋体" w:cs="Times New Roman"/>
          <w:color w:val="auto"/>
          <w:spacing w:val="0"/>
          <w:sz w:val="24"/>
          <w:szCs w:val="24"/>
          <w:highlight w:val="none"/>
          <w:lang w:val="en-US" w:eastAsia="zh-CN"/>
        </w:rPr>
        <w:t>现有工程污染源</w:t>
      </w:r>
      <w:r>
        <w:rPr>
          <w:rFonts w:hint="eastAsia" w:cs="Times New Roman"/>
          <w:color w:val="auto"/>
          <w:spacing w:val="0"/>
          <w:sz w:val="24"/>
          <w:szCs w:val="24"/>
          <w:highlight w:val="none"/>
          <w:lang w:val="en-US" w:eastAsia="zh-CN"/>
        </w:rPr>
        <w:t>历年</w:t>
      </w:r>
      <w:r>
        <w:rPr>
          <w:rFonts w:hint="default" w:ascii="Times New Roman" w:hAnsi="Times New Roman" w:eastAsia="宋体" w:cs="Times New Roman"/>
          <w:color w:val="auto"/>
          <w:spacing w:val="0"/>
          <w:sz w:val="24"/>
          <w:szCs w:val="24"/>
          <w:highlight w:val="none"/>
          <w:lang w:val="en-US" w:eastAsia="zh-CN"/>
        </w:rPr>
        <w:t>监测数据分析，各污染源污染物均可稳定达标排放。</w:t>
      </w:r>
    </w:p>
    <w:p w14:paraId="3193C879">
      <w:pPr>
        <w:keepNext w:val="0"/>
        <w:keepLines w:val="0"/>
        <w:pageBreakBefore w:val="0"/>
        <w:widowControl w:val="0"/>
        <w:tabs>
          <w:tab w:val="left" w:pos="5711"/>
        </w:tabs>
        <w:kinsoku/>
        <w:wordWrap/>
        <w:overflowPunct/>
        <w:topLinePunct w:val="0"/>
        <w:autoSpaceDE w:val="0"/>
        <w:autoSpaceDN w:val="0"/>
        <w:bidi w:val="0"/>
        <w:adjustRightInd/>
        <w:snapToGrid/>
        <w:spacing w:before="0" w:beforeLines="0" w:after="0" w:afterLines="0" w:line="440" w:lineRule="exact"/>
        <w:ind w:firstLine="480" w:firstLineChars="200"/>
        <w:textAlignment w:val="auto"/>
        <w:rPr>
          <w:rFonts w:hint="default" w:ascii="Times New Roman" w:hAnsi="Times New Roman" w:eastAsia="宋体" w:cs="Times New Roman"/>
          <w:color w:val="auto"/>
          <w:spacing w:val="0"/>
          <w:sz w:val="24"/>
          <w:szCs w:val="24"/>
          <w:highlight w:val="none"/>
          <w:lang w:val="en-US" w:eastAsia="zh-CN"/>
        </w:rPr>
      </w:pPr>
      <w:r>
        <w:rPr>
          <w:rFonts w:hint="default" w:ascii="Times New Roman" w:hAnsi="Times New Roman" w:eastAsia="宋体" w:cs="Times New Roman"/>
          <w:color w:val="auto"/>
          <w:spacing w:val="0"/>
          <w:sz w:val="24"/>
          <w:szCs w:val="24"/>
          <w:highlight w:val="none"/>
          <w:lang w:val="en-US" w:eastAsia="zh-CN"/>
        </w:rPr>
        <w:t>本次工程根据现有工程废气处理措施经验和废气处理装置运行效果，配套设置1套“</w:t>
      </w:r>
      <w:r>
        <w:rPr>
          <w:rFonts w:hint="eastAsia" w:ascii="Times New Roman" w:hAnsi="Times New Roman" w:eastAsia="宋体" w:cs="Times New Roman"/>
          <w:color w:val="auto"/>
          <w:spacing w:val="0"/>
          <w:sz w:val="24"/>
          <w:szCs w:val="24"/>
          <w:highlight w:val="none"/>
          <w:lang w:val="en-US" w:eastAsia="zh-CN"/>
        </w:rPr>
        <w:t>活性炭吸附+碱吸收</w:t>
      </w:r>
      <w:r>
        <w:rPr>
          <w:rFonts w:hint="default" w:ascii="Times New Roman" w:hAnsi="Times New Roman" w:eastAsia="宋体" w:cs="Times New Roman"/>
          <w:color w:val="auto"/>
          <w:spacing w:val="0"/>
          <w:sz w:val="24"/>
          <w:szCs w:val="24"/>
          <w:highlight w:val="none"/>
          <w:lang w:val="en-US" w:eastAsia="zh-CN"/>
        </w:rPr>
        <w:t>”，因此措施可行。</w:t>
      </w:r>
    </w:p>
    <w:p w14:paraId="6F0A27F5">
      <w:pPr>
        <w:pStyle w:val="5"/>
        <w:pageBreakBefore w:val="0"/>
        <w:widowControl w:val="0"/>
        <w:kinsoku/>
        <w:wordWrap/>
        <w:overflowPunct/>
        <w:topLinePunct w:val="0"/>
        <w:autoSpaceDE/>
        <w:autoSpaceDN/>
        <w:bidi w:val="0"/>
        <w:adjustRightInd/>
        <w:snapToGrid/>
        <w:spacing w:line="360" w:lineRule="auto"/>
        <w:ind w:leftChars="0" w:firstLine="482" w:firstLineChars="200"/>
        <w:jc w:val="both"/>
        <w:textAlignment w:val="auto"/>
        <w:rPr>
          <w:rFonts w:hint="default" w:ascii="Times New Roman" w:hAnsi="Times New Roman" w:cs="Times New Roman"/>
          <w:b/>
          <w:bCs/>
          <w:color w:val="auto"/>
          <w:sz w:val="24"/>
          <w:szCs w:val="24"/>
          <w:highlight w:val="none"/>
          <w:lang w:val="en-US" w:eastAsia="zh-CN"/>
        </w:rPr>
      </w:pPr>
      <w:r>
        <w:rPr>
          <w:rFonts w:hint="default" w:ascii="Times New Roman" w:hAnsi="Times New Roman" w:cs="Times New Roman"/>
          <w:b/>
          <w:bCs/>
          <w:color w:val="auto"/>
          <w:sz w:val="24"/>
          <w:szCs w:val="24"/>
          <w:highlight w:val="none"/>
          <w:lang w:val="en-US" w:eastAsia="zh-CN"/>
        </w:rPr>
        <w:t>2</w:t>
      </w:r>
      <w:r>
        <w:rPr>
          <w:rFonts w:hint="default" w:ascii="Times New Roman" w:hAnsi="Times New Roman" w:cs="Times New Roman" w:eastAsiaTheme="minorEastAsia"/>
          <w:b/>
          <w:bCs/>
          <w:color w:val="auto"/>
          <w:kern w:val="2"/>
          <w:sz w:val="24"/>
          <w:szCs w:val="24"/>
          <w:highlight w:val="none"/>
          <w:lang w:val="en-US" w:eastAsia="zh-CN" w:bidi="ar-SA"/>
        </w:rPr>
        <w:t>、废水</w:t>
      </w:r>
    </w:p>
    <w:p w14:paraId="661BEDE5">
      <w:pPr>
        <w:pStyle w:val="8"/>
        <w:spacing w:line="360" w:lineRule="auto"/>
        <w:ind w:firstLine="480"/>
        <w:rPr>
          <w:rFonts w:hint="eastAsia" w:cs="Times New Roman" w:eastAsiaTheme="minorEastAsia"/>
          <w:color w:val="auto"/>
          <w:kern w:val="2"/>
          <w:sz w:val="24"/>
          <w:szCs w:val="24"/>
          <w:highlight w:val="none"/>
          <w:lang w:val="en-US" w:eastAsia="zh-CN" w:bidi="ar-SA"/>
        </w:rPr>
      </w:pPr>
      <w:r>
        <w:rPr>
          <w:rFonts w:hint="eastAsia" w:ascii="Times New Roman" w:hAnsi="Times New Roman" w:cs="Times New Roman" w:eastAsiaTheme="minorEastAsia"/>
          <w:color w:val="auto"/>
          <w:kern w:val="2"/>
          <w:sz w:val="24"/>
          <w:szCs w:val="24"/>
          <w:highlight w:val="none"/>
          <w:lang w:val="en-US" w:eastAsia="zh-CN" w:bidi="ar-SA"/>
        </w:rPr>
        <w:t>本项目不新增职工人数，无新增生活污水产生</w:t>
      </w:r>
      <w:r>
        <w:rPr>
          <w:rFonts w:hint="eastAsia" w:cs="Times New Roman" w:eastAsiaTheme="minorEastAsia"/>
          <w:color w:val="auto"/>
          <w:kern w:val="2"/>
          <w:sz w:val="24"/>
          <w:szCs w:val="24"/>
          <w:highlight w:val="none"/>
          <w:lang w:val="en-US" w:eastAsia="zh-CN" w:bidi="ar-SA"/>
        </w:rPr>
        <w:t>。项目废水主要为危废库废气处理设施排水，较现有工程废水排放量减少；本项目危废库废气处理设施废水排放量0.7m</w:t>
      </w:r>
      <w:r>
        <w:rPr>
          <w:rFonts w:hint="eastAsia" w:cs="Times New Roman" w:eastAsiaTheme="minorEastAsia"/>
          <w:color w:val="auto"/>
          <w:kern w:val="2"/>
          <w:sz w:val="24"/>
          <w:szCs w:val="24"/>
          <w:highlight w:val="none"/>
          <w:vertAlign w:val="superscript"/>
          <w:lang w:val="en-US" w:eastAsia="zh-CN" w:bidi="ar-SA"/>
        </w:rPr>
        <w:t>3</w:t>
      </w:r>
      <w:r>
        <w:rPr>
          <w:rFonts w:hint="eastAsia" w:cs="Times New Roman" w:eastAsiaTheme="minorEastAsia"/>
          <w:color w:val="auto"/>
          <w:kern w:val="2"/>
          <w:sz w:val="24"/>
          <w:szCs w:val="24"/>
          <w:highlight w:val="none"/>
          <w:lang w:val="en-US" w:eastAsia="zh-CN" w:bidi="ar-SA"/>
        </w:rPr>
        <w:t>/d，废水中主要污染物PH7~8、COD500mg/L、BOD</w:t>
      </w:r>
      <w:r>
        <w:rPr>
          <w:rFonts w:hint="eastAsia" w:cs="Times New Roman" w:eastAsiaTheme="minorEastAsia"/>
          <w:color w:val="auto"/>
          <w:kern w:val="2"/>
          <w:sz w:val="24"/>
          <w:szCs w:val="24"/>
          <w:highlight w:val="none"/>
          <w:vertAlign w:val="subscript"/>
          <w:lang w:val="en-US" w:eastAsia="zh-CN" w:bidi="ar-SA"/>
        </w:rPr>
        <w:t>5</w:t>
      </w:r>
      <w:r>
        <w:rPr>
          <w:rFonts w:hint="eastAsia" w:cs="Times New Roman" w:eastAsiaTheme="minorEastAsia"/>
          <w:color w:val="auto"/>
          <w:kern w:val="2"/>
          <w:sz w:val="24"/>
          <w:szCs w:val="24"/>
          <w:highlight w:val="none"/>
          <w:lang w:val="en-US" w:eastAsia="zh-CN" w:bidi="ar-SA"/>
        </w:rPr>
        <w:t>200mg/L、SS150mg/L、氨氮15mg/L，采取石家庄东华金龙化工有限公司现有污水处理站处理。石家庄东华金龙化工有限公司现有污水处理站设计处理能力1600m</w:t>
      </w:r>
      <w:r>
        <w:rPr>
          <w:rFonts w:hint="eastAsia" w:cs="Times New Roman" w:eastAsiaTheme="minorEastAsia"/>
          <w:color w:val="auto"/>
          <w:kern w:val="2"/>
          <w:sz w:val="24"/>
          <w:szCs w:val="24"/>
          <w:highlight w:val="none"/>
          <w:vertAlign w:val="superscript"/>
          <w:lang w:val="en-US" w:eastAsia="zh-CN" w:bidi="ar-SA"/>
        </w:rPr>
        <w:t>3</w:t>
      </w:r>
      <w:r>
        <w:rPr>
          <w:rFonts w:hint="eastAsia" w:cs="Times New Roman" w:eastAsiaTheme="minorEastAsia"/>
          <w:color w:val="auto"/>
          <w:kern w:val="2"/>
          <w:sz w:val="24"/>
          <w:szCs w:val="24"/>
          <w:highlight w:val="none"/>
          <w:lang w:val="en-US" w:eastAsia="zh-CN" w:bidi="ar-SA"/>
        </w:rPr>
        <w:t>/d，现状实际最大处理水量1200m</w:t>
      </w:r>
      <w:r>
        <w:rPr>
          <w:rFonts w:hint="eastAsia" w:cs="Times New Roman" w:eastAsiaTheme="minorEastAsia"/>
          <w:color w:val="auto"/>
          <w:kern w:val="2"/>
          <w:sz w:val="24"/>
          <w:szCs w:val="24"/>
          <w:highlight w:val="none"/>
          <w:vertAlign w:val="superscript"/>
          <w:lang w:val="en-US" w:eastAsia="zh-CN" w:bidi="ar-SA"/>
        </w:rPr>
        <w:t>3</w:t>
      </w:r>
      <w:r>
        <w:rPr>
          <w:rFonts w:hint="eastAsia" w:cs="Times New Roman" w:eastAsiaTheme="minorEastAsia"/>
          <w:color w:val="auto"/>
          <w:kern w:val="2"/>
          <w:sz w:val="24"/>
          <w:szCs w:val="24"/>
          <w:highlight w:val="none"/>
          <w:lang w:val="en-US" w:eastAsia="zh-CN" w:bidi="ar-SA"/>
        </w:rPr>
        <w:t>/d，故尚有400m</w:t>
      </w:r>
      <w:r>
        <w:rPr>
          <w:rFonts w:hint="eastAsia" w:cs="Times New Roman" w:eastAsiaTheme="minorEastAsia"/>
          <w:color w:val="auto"/>
          <w:kern w:val="2"/>
          <w:sz w:val="24"/>
          <w:szCs w:val="24"/>
          <w:highlight w:val="none"/>
          <w:vertAlign w:val="superscript"/>
          <w:lang w:val="en-US" w:eastAsia="zh-CN" w:bidi="ar-SA"/>
        </w:rPr>
        <w:t>3</w:t>
      </w:r>
      <w:r>
        <w:rPr>
          <w:rFonts w:hint="eastAsia" w:cs="Times New Roman" w:eastAsiaTheme="minorEastAsia"/>
          <w:color w:val="auto"/>
          <w:kern w:val="2"/>
          <w:sz w:val="24"/>
          <w:szCs w:val="24"/>
          <w:highlight w:val="none"/>
          <w:lang w:val="en-US" w:eastAsia="zh-CN" w:bidi="ar-SA"/>
        </w:rPr>
        <w:t>/d的处理余量，因此满足本次工程所产废水处理需求。厂内污水处理站采用“调节池＋初沉池+水解酸化池＋水解酸化池沉淀池+好氧池+一级沉淀池+二级水解酸化池+二级接触氧化池+二级沉淀池+混凝气浮”处理工艺。</w:t>
      </w:r>
    </w:p>
    <w:p w14:paraId="5773C8E1">
      <w:pPr>
        <w:pStyle w:val="8"/>
        <w:spacing w:line="360" w:lineRule="auto"/>
        <w:ind w:firstLine="480"/>
        <w:rPr>
          <w:rFonts w:hint="eastAsia" w:ascii="Times New Roman" w:hAnsi="Times New Roman" w:cs="Times New Roman" w:eastAsiaTheme="minorEastAsia"/>
          <w:color w:val="auto"/>
          <w:kern w:val="2"/>
          <w:sz w:val="24"/>
          <w:szCs w:val="24"/>
          <w:highlight w:val="none"/>
          <w:lang w:val="en-US" w:eastAsia="zh-CN" w:bidi="ar-SA"/>
        </w:rPr>
      </w:pPr>
      <w:r>
        <w:rPr>
          <w:rFonts w:hint="eastAsia" w:cs="Times New Roman" w:eastAsiaTheme="minorEastAsia"/>
          <w:color w:val="auto"/>
          <w:kern w:val="2"/>
          <w:sz w:val="24"/>
          <w:szCs w:val="24"/>
          <w:highlight w:val="none"/>
          <w:lang w:val="en-US" w:eastAsia="zh-CN" w:bidi="ar-SA"/>
        </w:rPr>
        <w:t>厂内污水处理站设计进水水质：PH7~8、COD5000mg/L、氨氮300mg/L，故满足本项目废水水质处理要求。类比现有污水处理站排口检测数据确定本项目废水经污水站处理后污染物排放浓度分别为PH7.6，SS15mg/L，COD69mg/L，BOD</w:t>
      </w:r>
      <w:r>
        <w:rPr>
          <w:rFonts w:hint="eastAsia" w:cs="Times New Roman" w:eastAsiaTheme="minorEastAsia"/>
          <w:color w:val="auto"/>
          <w:kern w:val="2"/>
          <w:sz w:val="24"/>
          <w:szCs w:val="24"/>
          <w:highlight w:val="none"/>
          <w:vertAlign w:val="subscript"/>
          <w:lang w:val="en-US" w:eastAsia="zh-CN" w:bidi="ar-SA"/>
        </w:rPr>
        <w:t>5</w:t>
      </w:r>
      <w:r>
        <w:rPr>
          <w:rFonts w:hint="eastAsia" w:cs="Times New Roman" w:eastAsiaTheme="minorEastAsia"/>
          <w:color w:val="auto"/>
          <w:kern w:val="2"/>
          <w:sz w:val="24"/>
          <w:szCs w:val="24"/>
          <w:highlight w:val="none"/>
          <w:lang w:val="en-US" w:eastAsia="zh-CN" w:bidi="ar-SA"/>
        </w:rPr>
        <w:t>24mg/L，氨氮7.83mg/L，满足《污水综合排放标准》（GB8978-1996）表4三级标准同时满足与石家庄良村南签订的污水排放协议标准要求。</w:t>
      </w:r>
    </w:p>
    <w:p w14:paraId="7BACB200">
      <w:pPr>
        <w:pStyle w:val="5"/>
        <w:pageBreakBefore w:val="0"/>
        <w:widowControl w:val="0"/>
        <w:kinsoku/>
        <w:wordWrap/>
        <w:overflowPunct/>
        <w:topLinePunct w:val="0"/>
        <w:autoSpaceDE/>
        <w:autoSpaceDN/>
        <w:bidi w:val="0"/>
        <w:adjustRightInd/>
        <w:snapToGrid/>
        <w:spacing w:line="440" w:lineRule="atLeast"/>
        <w:ind w:leftChars="0" w:firstLine="482" w:firstLineChars="200"/>
        <w:jc w:val="both"/>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3、噪声</w:t>
      </w:r>
    </w:p>
    <w:p w14:paraId="7E716AF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eastAsia="宋体" w:cs="Times New Roman"/>
          <w:color w:val="auto"/>
          <w:sz w:val="24"/>
          <w:highlight w:val="none"/>
          <w:lang w:val="en-US" w:eastAsia="zh-CN"/>
        </w:rPr>
      </w:pPr>
      <w:r>
        <w:rPr>
          <w:rFonts w:hint="eastAsia" w:ascii="Times New Roman" w:hAnsi="Times New Roman" w:cs="Times New Roman" w:eastAsiaTheme="minorEastAsia"/>
          <w:color w:val="auto"/>
          <w:spacing w:val="0"/>
          <w:kern w:val="2"/>
          <w:sz w:val="24"/>
          <w:szCs w:val="24"/>
          <w:highlight w:val="none"/>
          <w:lang w:val="en-US" w:eastAsia="zh-CN" w:bidi="ar-SA"/>
        </w:rPr>
        <w:t>本项目噪声污染源主要为危废库废气处理设施配套风机运行过程中产生的设备噪声。</w:t>
      </w:r>
      <w:r>
        <w:rPr>
          <w:rFonts w:hint="eastAsia" w:cs="Times New Roman"/>
          <w:color w:val="auto"/>
          <w:sz w:val="24"/>
          <w:szCs w:val="24"/>
          <w:highlight w:val="none"/>
          <w:lang w:val="en-US" w:eastAsia="zh-CN"/>
        </w:rPr>
        <w:t>本项目叠加噪声现状值之后，昼间预测值</w:t>
      </w:r>
      <w:r>
        <w:rPr>
          <w:rFonts w:hint="default" w:ascii="Times New Roman" w:hAnsi="Times New Roman" w:cs="Times New Roman"/>
          <w:color w:val="auto"/>
          <w:sz w:val="24"/>
          <w:szCs w:val="24"/>
          <w:highlight w:val="none"/>
        </w:rPr>
        <w:t>在</w:t>
      </w:r>
      <w:r>
        <w:rPr>
          <w:rFonts w:hint="eastAsia" w:cs="Times New Roman"/>
          <w:color w:val="auto"/>
          <w:sz w:val="24"/>
          <w:szCs w:val="24"/>
          <w:highlight w:val="none"/>
          <w:lang w:val="en-US" w:eastAsia="zh-CN"/>
        </w:rPr>
        <w:t>60~57</w:t>
      </w:r>
      <w:r>
        <w:rPr>
          <w:rFonts w:hint="default" w:ascii="Times New Roman" w:hAnsi="Times New Roman" w:cs="Times New Roman"/>
          <w:color w:val="auto"/>
          <w:sz w:val="24"/>
          <w:szCs w:val="24"/>
          <w:highlight w:val="none"/>
        </w:rPr>
        <w:t>dB(A)</w:t>
      </w:r>
      <w:r>
        <w:rPr>
          <w:rFonts w:hint="eastAsia" w:cs="Times New Roman"/>
          <w:color w:val="auto"/>
          <w:sz w:val="24"/>
          <w:szCs w:val="24"/>
          <w:highlight w:val="none"/>
          <w:lang w:val="en-US" w:eastAsia="zh-CN"/>
        </w:rPr>
        <w:t>范围</w:t>
      </w:r>
      <w:r>
        <w:rPr>
          <w:rFonts w:hint="default" w:ascii="Times New Roman" w:hAnsi="Times New Roman" w:cs="Times New Roman"/>
          <w:color w:val="auto"/>
          <w:sz w:val="24"/>
          <w:szCs w:val="24"/>
          <w:highlight w:val="none"/>
        </w:rPr>
        <w:t>之间</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夜间预测值</w:t>
      </w:r>
      <w:r>
        <w:rPr>
          <w:rFonts w:hint="default" w:ascii="Times New Roman" w:hAnsi="Times New Roman" w:cs="Times New Roman"/>
          <w:color w:val="auto"/>
          <w:sz w:val="24"/>
          <w:szCs w:val="24"/>
          <w:highlight w:val="none"/>
        </w:rPr>
        <w:t>在</w:t>
      </w:r>
      <w:r>
        <w:rPr>
          <w:rFonts w:hint="eastAsia" w:cs="Times New Roman"/>
          <w:color w:val="auto"/>
          <w:sz w:val="24"/>
          <w:szCs w:val="24"/>
          <w:highlight w:val="none"/>
          <w:lang w:val="en-US" w:eastAsia="zh-CN"/>
        </w:rPr>
        <w:t>50~50.11</w:t>
      </w:r>
      <w:r>
        <w:rPr>
          <w:rFonts w:hint="default" w:ascii="Times New Roman" w:hAnsi="Times New Roman" w:cs="Times New Roman"/>
          <w:color w:val="auto"/>
          <w:sz w:val="24"/>
          <w:szCs w:val="24"/>
          <w:highlight w:val="none"/>
        </w:rPr>
        <w:t>dB(A)</w:t>
      </w:r>
      <w:r>
        <w:rPr>
          <w:rFonts w:hint="eastAsia" w:cs="Times New Roman"/>
          <w:color w:val="auto"/>
          <w:sz w:val="24"/>
          <w:szCs w:val="24"/>
          <w:highlight w:val="none"/>
          <w:lang w:val="en-US" w:eastAsia="zh-CN"/>
        </w:rPr>
        <w:t>范围</w:t>
      </w:r>
      <w:r>
        <w:rPr>
          <w:rFonts w:hint="default" w:ascii="Times New Roman" w:hAnsi="Times New Roman" w:cs="Times New Roman"/>
          <w:color w:val="auto"/>
          <w:sz w:val="24"/>
          <w:szCs w:val="24"/>
          <w:highlight w:val="none"/>
        </w:rPr>
        <w:t>之间</w:t>
      </w:r>
      <w:r>
        <w:rPr>
          <w:rFonts w:hint="eastAsia" w:cs="Times New Roman"/>
          <w:color w:val="auto"/>
          <w:sz w:val="24"/>
          <w:szCs w:val="24"/>
          <w:highlight w:val="none"/>
          <w:lang w:eastAsia="zh-CN"/>
        </w:rPr>
        <w:t>，</w:t>
      </w:r>
      <w:r>
        <w:rPr>
          <w:rFonts w:hint="default" w:ascii="Times New Roman" w:hAnsi="Times New Roman" w:cs="Times New Roman"/>
          <w:color w:val="auto"/>
          <w:sz w:val="24"/>
          <w:szCs w:val="24"/>
          <w:highlight w:val="none"/>
        </w:rPr>
        <w:t>满足《工业企业厂界环境噪声排放标准》（GB12348-2008）</w:t>
      </w:r>
      <w:r>
        <w:rPr>
          <w:rFonts w:hint="eastAsia" w:cs="Times New Roman"/>
          <w:color w:val="auto"/>
          <w:sz w:val="24"/>
          <w:szCs w:val="24"/>
          <w:highlight w:val="none"/>
          <w:lang w:val="en-US" w:eastAsia="zh-CN"/>
        </w:rPr>
        <w:t>3类</w:t>
      </w:r>
      <w:r>
        <w:rPr>
          <w:rFonts w:hint="default" w:ascii="Times New Roman" w:hAnsi="Times New Roman" w:cs="Times New Roman"/>
          <w:color w:val="auto"/>
          <w:sz w:val="24"/>
          <w:szCs w:val="24"/>
          <w:highlight w:val="none"/>
        </w:rPr>
        <w:t>标准的限值</w:t>
      </w:r>
      <w:r>
        <w:rPr>
          <w:rFonts w:hint="eastAsia" w:ascii="Times New Roman" w:hAnsi="Times New Roman" w:cs="Times New Roman"/>
          <w:color w:val="auto"/>
          <w:sz w:val="24"/>
          <w:szCs w:val="24"/>
          <w:highlight w:val="none"/>
          <w:lang w:eastAsia="zh-CN"/>
        </w:rPr>
        <w:t>。</w:t>
      </w:r>
    </w:p>
    <w:p w14:paraId="2B159BFF">
      <w:pPr>
        <w:pStyle w:val="5"/>
        <w:pageBreakBefore w:val="0"/>
        <w:widowControl w:val="0"/>
        <w:kinsoku/>
        <w:wordWrap/>
        <w:overflowPunct/>
        <w:topLinePunct w:val="0"/>
        <w:autoSpaceDE/>
        <w:autoSpaceDN/>
        <w:bidi w:val="0"/>
        <w:adjustRightInd/>
        <w:snapToGrid/>
        <w:spacing w:line="440" w:lineRule="atLeast"/>
        <w:ind w:leftChars="0" w:firstLine="482" w:firstLineChars="200"/>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4、固体废物</w:t>
      </w:r>
    </w:p>
    <w:p w14:paraId="432F4A25">
      <w:pPr>
        <w:pStyle w:val="8"/>
        <w:keepNext w:val="0"/>
        <w:keepLines w:val="0"/>
        <w:pageBreakBefore w:val="0"/>
        <w:widowControl w:val="0"/>
        <w:kinsoku/>
        <w:wordWrap/>
        <w:overflowPunct/>
        <w:topLinePunct w:val="0"/>
        <w:autoSpaceDE/>
        <w:autoSpaceDN/>
        <w:bidi w:val="0"/>
        <w:adjustRightInd/>
        <w:snapToGrid/>
        <w:spacing w:before="0" w:after="0" w:line="420" w:lineRule="exact"/>
        <w:ind w:left="0" w:leftChars="0" w:firstLine="480" w:firstLineChars="200"/>
        <w:jc w:val="left"/>
        <w:textAlignment w:val="auto"/>
        <w:rPr>
          <w:rFonts w:hint="eastAsia" w:cs="Times New Roman"/>
          <w:color w:val="auto"/>
          <w:sz w:val="24"/>
          <w:highlight w:val="none"/>
          <w:lang w:val="en-US" w:eastAsia="zh-CN"/>
        </w:rPr>
      </w:pPr>
      <w:r>
        <w:rPr>
          <w:rFonts w:hint="eastAsia" w:ascii="Times New Roman" w:hAnsi="Times New Roman" w:eastAsia="宋体" w:cs="Times New Roman"/>
          <w:bCs/>
          <w:color w:val="auto"/>
          <w:sz w:val="24"/>
          <w:szCs w:val="24"/>
          <w:highlight w:val="none"/>
          <w:lang w:val="en-US" w:eastAsia="zh-CN"/>
        </w:rPr>
        <w:t>本项目主要进行危化品、危废的暂存，无新增一般固废产生。产生的危废主要为危废库</w:t>
      </w:r>
      <w:r>
        <w:rPr>
          <w:rFonts w:hint="eastAsia" w:cs="Times New Roman"/>
          <w:bCs/>
          <w:color w:val="auto"/>
          <w:sz w:val="24"/>
          <w:szCs w:val="24"/>
          <w:highlight w:val="none"/>
          <w:lang w:val="en-US" w:eastAsia="zh-CN"/>
        </w:rPr>
        <w:t>废气处理设施</w:t>
      </w:r>
      <w:r>
        <w:rPr>
          <w:rFonts w:hint="eastAsia" w:ascii="Times New Roman" w:hAnsi="Times New Roman" w:eastAsia="宋体" w:cs="Times New Roman"/>
          <w:bCs/>
          <w:color w:val="auto"/>
          <w:sz w:val="24"/>
          <w:szCs w:val="24"/>
          <w:highlight w:val="none"/>
          <w:lang w:val="en-US" w:eastAsia="zh-CN"/>
        </w:rPr>
        <w:t>产生的废</w:t>
      </w:r>
      <w:r>
        <w:rPr>
          <w:rFonts w:hint="default" w:ascii="Times New Roman" w:hAnsi="Times New Roman" w:eastAsia="宋体" w:cs="Times New Roman"/>
          <w:bCs/>
          <w:color w:val="auto"/>
          <w:sz w:val="24"/>
          <w:szCs w:val="24"/>
          <w:highlight w:val="none"/>
          <w:lang w:val="en-US" w:eastAsia="zh-CN"/>
        </w:rPr>
        <w:t>活性炭</w:t>
      </w:r>
      <w:r>
        <w:rPr>
          <w:rFonts w:hint="eastAsia" w:cs="Times New Roman"/>
          <w:color w:val="auto"/>
          <w:sz w:val="24"/>
          <w:szCs w:val="24"/>
          <w:highlight w:val="none"/>
          <w:lang w:val="en-US" w:eastAsia="zh-CN"/>
        </w:rPr>
        <w:t>。</w:t>
      </w:r>
      <w:r>
        <w:rPr>
          <w:rFonts w:hint="eastAsia" w:cs="Times New Roman"/>
          <w:color w:val="auto"/>
          <w:sz w:val="24"/>
          <w:highlight w:val="none"/>
          <w:lang w:val="en-US" w:eastAsia="zh-CN"/>
        </w:rPr>
        <w:t>本项目建成后现有危废库停用，拟建项目利用现有危废库废气治理措施进行处理废气，拟建项目危废库与现有危废库存放物质均不变。</w:t>
      </w:r>
    </w:p>
    <w:p w14:paraId="01404082">
      <w:pPr>
        <w:keepNext w:val="0"/>
        <w:keepLines w:val="0"/>
        <w:pageBreakBefore w:val="0"/>
        <w:widowControl w:val="0"/>
        <w:kinsoku/>
        <w:wordWrap/>
        <w:overflowPunct/>
        <w:topLinePunct w:val="0"/>
        <w:autoSpaceDE/>
        <w:autoSpaceDN/>
        <w:bidi w:val="0"/>
        <w:adjustRightInd w:val="0"/>
        <w:snapToGrid/>
        <w:spacing w:line="440" w:lineRule="exact"/>
        <w:ind w:firstLine="480" w:firstLineChars="200"/>
        <w:textAlignment w:val="baseline"/>
        <w:rPr>
          <w:rFonts w:hint="eastAsia" w:cs="Times New Roman"/>
          <w:color w:val="auto"/>
          <w:sz w:val="24"/>
          <w:highlight w:val="none"/>
          <w:lang w:val="en-US" w:eastAsia="zh-CN"/>
        </w:rPr>
      </w:pPr>
      <w:r>
        <w:rPr>
          <w:rFonts w:hint="eastAsia" w:cs="Times New Roman"/>
          <w:bCs/>
          <w:color w:val="auto"/>
          <w:sz w:val="24"/>
          <w:szCs w:val="24"/>
          <w:highlight w:val="none"/>
          <w:lang w:val="en-US" w:eastAsia="zh-CN"/>
        </w:rPr>
        <w:t>现有危废库</w:t>
      </w:r>
      <w:r>
        <w:rPr>
          <w:rFonts w:hint="eastAsia" w:cs="Times New Roman"/>
          <w:color w:val="auto"/>
          <w:sz w:val="24"/>
          <w:highlight w:val="none"/>
          <w:lang w:val="en-US" w:eastAsia="zh-CN"/>
        </w:rPr>
        <w:t>废气采用的处理设施为“活性炭吸附+碱吸收”装置，采用一级活性炭，</w:t>
      </w:r>
      <w:r>
        <w:rPr>
          <w:rFonts w:hint="default" w:ascii="Times New Roman" w:hAnsi="Times New Roman" w:cs="Times New Roman"/>
          <w:color w:val="auto"/>
          <w:sz w:val="24"/>
          <w:highlight w:val="none"/>
          <w:lang w:val="en-US" w:eastAsia="zh-CN"/>
        </w:rPr>
        <w:t>活性炭总装填量为</w:t>
      </w:r>
      <w:r>
        <w:rPr>
          <w:rFonts w:hint="eastAsia" w:cs="Times New Roman"/>
          <w:color w:val="auto"/>
          <w:sz w:val="24"/>
          <w:highlight w:val="none"/>
          <w:lang w:val="en-US" w:eastAsia="zh-CN"/>
        </w:rPr>
        <w:t>0.85</w:t>
      </w:r>
      <w:r>
        <w:rPr>
          <w:rFonts w:hint="default" w:ascii="Times New Roman" w:hAnsi="Times New Roman" w:cs="Times New Roman"/>
          <w:color w:val="auto"/>
          <w:sz w:val="24"/>
          <w:highlight w:val="none"/>
          <w:lang w:val="en-US" w:eastAsia="zh-CN"/>
        </w:rPr>
        <w:t>t</w:t>
      </w:r>
      <w:r>
        <w:rPr>
          <w:rFonts w:hint="eastAsia" w:cs="Times New Roman"/>
          <w:color w:val="auto"/>
          <w:sz w:val="24"/>
          <w:highlight w:val="none"/>
          <w:lang w:val="en-US" w:eastAsia="zh-CN"/>
        </w:rPr>
        <w:t>，根据现有危废库监测数据计算，结合企业实际提供，现有废活性炭产生量约为3.97t/a。本项目建成后现有危废库停用，根据废气章节计算，结合现场实际情况，该项目废气需被活性炭吸附物质量为0.402t/a，现有</w:t>
      </w:r>
      <w:r>
        <w:rPr>
          <w:rFonts w:hint="default" w:ascii="Times New Roman" w:hAnsi="Times New Roman" w:cs="Times New Roman"/>
          <w:color w:val="auto"/>
          <w:sz w:val="24"/>
          <w:highlight w:val="none"/>
          <w:lang w:val="en-US" w:eastAsia="zh-CN"/>
        </w:rPr>
        <w:t>活性炭总装填量为</w:t>
      </w:r>
      <w:r>
        <w:rPr>
          <w:rFonts w:hint="eastAsia" w:cs="Times New Roman"/>
          <w:color w:val="auto"/>
          <w:sz w:val="24"/>
          <w:highlight w:val="none"/>
          <w:lang w:val="en-US" w:eastAsia="zh-CN"/>
        </w:rPr>
        <w:t>0.85</w:t>
      </w:r>
      <w:r>
        <w:rPr>
          <w:rFonts w:hint="default" w:ascii="Times New Roman" w:hAnsi="Times New Roman" w:cs="Times New Roman"/>
          <w:color w:val="auto"/>
          <w:sz w:val="24"/>
          <w:highlight w:val="none"/>
          <w:lang w:val="en-US" w:eastAsia="zh-CN"/>
        </w:rPr>
        <w:t>t</w:t>
      </w:r>
      <w:r>
        <w:rPr>
          <w:rFonts w:hint="eastAsia" w:cs="Times New Roman"/>
          <w:color w:val="auto"/>
          <w:sz w:val="24"/>
          <w:highlight w:val="none"/>
          <w:lang w:val="en-US" w:eastAsia="zh-CN"/>
        </w:rPr>
        <w:t>，根据《活性炭手册》，按1kg活性炭吸附0.2kg有机废气计算，本次废活性炭产生量为2.412t/a，结合企业实际情况，参照现有废活性炭产生量，保证活性炭的有效性以及一定的安全余量，本环评要求按照每年更换4次（废活性炭产生量按照3.802t/a计），</w:t>
      </w:r>
      <w:r>
        <w:rPr>
          <w:rFonts w:hint="default" w:ascii="Times New Roman" w:hAnsi="Times New Roman" w:eastAsia="宋体" w:cs="Times New Roman"/>
          <w:bCs/>
          <w:color w:val="auto"/>
          <w:sz w:val="24"/>
          <w:szCs w:val="24"/>
          <w:highlight w:val="none"/>
          <w:lang w:val="en-US" w:eastAsia="zh-CN"/>
        </w:rPr>
        <w:t>采用密闭容器暂存危废库，定期</w:t>
      </w:r>
      <w:r>
        <w:rPr>
          <w:rFonts w:hint="eastAsia" w:cs="Times New Roman"/>
          <w:bCs/>
          <w:color w:val="auto"/>
          <w:sz w:val="24"/>
          <w:szCs w:val="24"/>
          <w:highlight w:val="none"/>
          <w:lang w:val="en-US" w:eastAsia="zh-CN"/>
        </w:rPr>
        <w:t>由</w:t>
      </w:r>
      <w:r>
        <w:rPr>
          <w:rFonts w:hint="default" w:ascii="Times New Roman" w:hAnsi="Times New Roman" w:eastAsia="宋体" w:cs="Times New Roman"/>
          <w:bCs/>
          <w:color w:val="auto"/>
          <w:sz w:val="24"/>
          <w:szCs w:val="24"/>
          <w:highlight w:val="none"/>
          <w:lang w:val="en-US" w:eastAsia="zh-CN"/>
        </w:rPr>
        <w:t>资质单位</w:t>
      </w:r>
      <w:r>
        <w:rPr>
          <w:rFonts w:hint="eastAsia" w:cs="Times New Roman"/>
          <w:bCs/>
          <w:color w:val="auto"/>
          <w:sz w:val="24"/>
          <w:szCs w:val="24"/>
          <w:highlight w:val="none"/>
          <w:lang w:val="en-US" w:eastAsia="zh-CN"/>
        </w:rPr>
        <w:t>处置</w:t>
      </w:r>
      <w:r>
        <w:rPr>
          <w:rFonts w:hint="eastAsia" w:cs="Times New Roman"/>
          <w:color w:val="auto"/>
          <w:sz w:val="24"/>
          <w:highlight w:val="none"/>
          <w:lang w:val="en-US" w:eastAsia="zh-CN"/>
        </w:rPr>
        <w:t>。</w:t>
      </w:r>
    </w:p>
    <w:p w14:paraId="3B09A5E1">
      <w:pPr>
        <w:pStyle w:val="8"/>
        <w:numPr>
          <w:ilvl w:val="0"/>
          <w:numId w:val="0"/>
        </w:numPr>
        <w:spacing w:before="0" w:after="0" w:line="420" w:lineRule="exact"/>
        <w:ind w:leftChars="200"/>
        <w:jc w:val="left"/>
        <w:rPr>
          <w:rFonts w:hint="default" w:ascii="Times New Roman" w:hAnsi="Times New Roman"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5、</w:t>
      </w:r>
      <w:r>
        <w:rPr>
          <w:rFonts w:hint="default" w:ascii="Times New Roman" w:hAnsi="Times New Roman" w:cs="Times New Roman"/>
          <w:b/>
          <w:bCs/>
          <w:color w:val="auto"/>
          <w:sz w:val="24"/>
          <w:szCs w:val="24"/>
          <w:highlight w:val="none"/>
          <w:lang w:val="en-US" w:eastAsia="zh-CN"/>
        </w:rPr>
        <w:t>地下水、土壤环境影响分析</w:t>
      </w:r>
    </w:p>
    <w:p w14:paraId="1E19DA7A">
      <w:pPr>
        <w:pStyle w:val="8"/>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firstLine="480" w:firstLineChars="200"/>
        <w:jc w:val="left"/>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本项目在运行过程中，包括物料储存和输送过程中，各种污染物有可能发生泄漏（含跑、冒、滴、漏）的风险，如不采取合理的防渗措施，则有毒有害物料和污染物有可能渗漏进入地下水，从而影响地下水环境。</w:t>
      </w:r>
    </w:p>
    <w:p w14:paraId="0591E363">
      <w:pPr>
        <w:pStyle w:val="8"/>
        <w:keepNext w:val="0"/>
        <w:keepLines w:val="0"/>
        <w:pageBreakBefore w:val="0"/>
        <w:widowControl w:val="0"/>
        <w:kinsoku/>
        <w:wordWrap/>
        <w:overflowPunct/>
        <w:topLinePunct w:val="0"/>
        <w:autoSpaceDE/>
        <w:autoSpaceDN/>
        <w:bidi w:val="0"/>
        <w:adjustRightInd/>
        <w:snapToGrid/>
        <w:spacing w:before="0" w:after="0" w:line="360" w:lineRule="auto"/>
        <w:ind w:left="0" w:leftChars="0" w:firstLine="480" w:firstLineChars="200"/>
        <w:jc w:val="left"/>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为了更好地保护土壤和地下水资源，将本项目对地下水的影响降至最低限度，针对本项目新增的仓库建议采取相关保护措施：</w:t>
      </w:r>
    </w:p>
    <w:p w14:paraId="16FA4F5E">
      <w:pPr>
        <w:pStyle w:val="8"/>
        <w:keepNext w:val="0"/>
        <w:keepLines w:val="0"/>
        <w:pageBreakBefore w:val="0"/>
        <w:widowControl w:val="0"/>
        <w:kinsoku/>
        <w:wordWrap/>
        <w:overflowPunct/>
        <w:topLinePunct w:val="0"/>
        <w:autoSpaceDE/>
        <w:autoSpaceDN/>
        <w:bidi w:val="0"/>
        <w:adjustRightInd/>
        <w:snapToGrid/>
        <w:spacing w:before="0" w:after="0" w:line="360" w:lineRule="auto"/>
        <w:ind w:left="0" w:leftChars="0" w:firstLine="480" w:firstLineChars="200"/>
        <w:jc w:val="left"/>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①做好地面硬化，并做到防渗、防漏、防腐蚀；仓库内设有废液收集系统、隔离设施、报警装置，配备消防设备、黄沙等应急物资。参照《石油化工工程防渗技术规范》（GB/T 50934-2013）中的要求，根据场地特性以及项目特征，制定分区防渗。对于危化品仓库、危废库采取重点防渗。危化品仓库、危废库采用耐酸碱环氧树脂地坪作为防渗材料，防渗层厚度不低于250mm，渗漏系数小于等于1.0×10</w:t>
      </w:r>
      <w:r>
        <w:rPr>
          <w:rFonts w:hint="eastAsia" w:cs="Times New Roman"/>
          <w:color w:val="auto"/>
          <w:sz w:val="24"/>
          <w:szCs w:val="24"/>
          <w:highlight w:val="none"/>
          <w:vertAlign w:val="superscript"/>
          <w:lang w:val="en-US" w:eastAsia="zh-CN"/>
        </w:rPr>
        <w:t>-10</w:t>
      </w:r>
      <w:r>
        <w:rPr>
          <w:rFonts w:hint="eastAsia" w:cs="Times New Roman"/>
          <w:color w:val="auto"/>
          <w:sz w:val="24"/>
          <w:szCs w:val="24"/>
          <w:highlight w:val="none"/>
          <w:lang w:val="en-US" w:eastAsia="zh-CN"/>
        </w:rPr>
        <w:t>cm/s。在全面落实分区防渗措施的情况下，物料或污染物的垂直入渗对土壤影响较小。</w:t>
      </w:r>
    </w:p>
    <w:p w14:paraId="18E332EB">
      <w:pPr>
        <w:pStyle w:val="8"/>
        <w:keepNext w:val="0"/>
        <w:keepLines w:val="0"/>
        <w:pageBreakBefore w:val="0"/>
        <w:widowControl w:val="0"/>
        <w:kinsoku/>
        <w:wordWrap/>
        <w:overflowPunct/>
        <w:topLinePunct w:val="0"/>
        <w:autoSpaceDE/>
        <w:autoSpaceDN/>
        <w:bidi w:val="0"/>
        <w:adjustRightInd w:val="0"/>
        <w:snapToGrid/>
        <w:spacing w:before="0" w:after="0" w:line="360" w:lineRule="auto"/>
        <w:ind w:left="0" w:leftChars="0" w:firstLine="480" w:firstLineChars="200"/>
        <w:jc w:val="left"/>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②在贮存、转移、运输过程中避免发生跑、冒、滴、漏现象。固废清运过程中，应做好密闭措施，防止固废抛洒遗漏而导致污染扩散。</w:t>
      </w:r>
    </w:p>
    <w:p w14:paraId="189EA818">
      <w:pPr>
        <w:pStyle w:val="8"/>
        <w:keepNext w:val="0"/>
        <w:keepLines w:val="0"/>
        <w:pageBreakBefore w:val="0"/>
        <w:widowControl w:val="0"/>
        <w:kinsoku/>
        <w:wordWrap/>
        <w:overflowPunct/>
        <w:topLinePunct w:val="0"/>
        <w:autoSpaceDE/>
        <w:autoSpaceDN/>
        <w:bidi w:val="0"/>
        <w:adjustRightInd w:val="0"/>
        <w:snapToGrid/>
        <w:spacing w:before="0" w:after="0" w:line="360" w:lineRule="auto"/>
        <w:ind w:left="0" w:leftChars="0" w:firstLine="480" w:firstLineChars="200"/>
        <w:jc w:val="left"/>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③完善雨水收集系统，雨水均进入雨水管道，一定程度上可减轻污染物进入土壤，对土壤影响较小。</w:t>
      </w:r>
    </w:p>
    <w:p w14:paraId="59079C84">
      <w:pPr>
        <w:pStyle w:val="8"/>
        <w:keepNext w:val="0"/>
        <w:keepLines w:val="0"/>
        <w:pageBreakBefore w:val="0"/>
        <w:widowControl w:val="0"/>
        <w:kinsoku/>
        <w:wordWrap/>
        <w:overflowPunct/>
        <w:topLinePunct w:val="0"/>
        <w:autoSpaceDE/>
        <w:autoSpaceDN/>
        <w:bidi w:val="0"/>
        <w:adjustRightInd w:val="0"/>
        <w:snapToGrid/>
        <w:spacing w:before="0" w:after="0" w:line="360" w:lineRule="auto"/>
        <w:ind w:left="0" w:leftChars="0" w:firstLine="480" w:firstLineChars="200"/>
        <w:jc w:val="left"/>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④运行期严格管理，加强巡检，若发现污染物泄漏及时应对处理。</w:t>
      </w:r>
    </w:p>
    <w:p w14:paraId="521AE079">
      <w:pPr>
        <w:pStyle w:val="8"/>
        <w:keepNext w:val="0"/>
        <w:keepLines w:val="0"/>
        <w:pageBreakBefore w:val="0"/>
        <w:widowControl w:val="0"/>
        <w:kinsoku/>
        <w:wordWrap/>
        <w:overflowPunct/>
        <w:topLinePunct w:val="0"/>
        <w:autoSpaceDE/>
        <w:autoSpaceDN/>
        <w:bidi w:val="0"/>
        <w:adjustRightInd w:val="0"/>
        <w:snapToGrid/>
        <w:spacing w:before="0" w:after="0" w:line="360" w:lineRule="auto"/>
        <w:ind w:left="0" w:leftChars="0" w:firstLine="480" w:firstLineChars="200"/>
        <w:jc w:val="left"/>
        <w:textAlignment w:val="auto"/>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⑤完善突发环境风险事件应急预案，与政府联动，配套足够应急物资，定期演练。在发生突发环境事件时，将对地下水的污染降到最低。在落实以上土壤及地下水防治措施，可有效控制厂区内的物料及污染物下渗现象，避免污染地下水和土壤。</w:t>
      </w:r>
    </w:p>
    <w:p w14:paraId="378A1347">
      <w:pPr>
        <w:pStyle w:val="2"/>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在充分落实以上防渗措施及加强环境管理的前提下，项目建设能够达到保护土壤及地下水环境的目的。</w:t>
      </w:r>
    </w:p>
    <w:p w14:paraId="65C7BBE2">
      <w:pPr>
        <w:pStyle w:val="8"/>
        <w:keepNext w:val="0"/>
        <w:keepLines w:val="0"/>
        <w:pageBreakBefore w:val="0"/>
        <w:widowControl w:val="0"/>
        <w:kinsoku/>
        <w:wordWrap/>
        <w:overflowPunct/>
        <w:topLinePunct w:val="0"/>
        <w:autoSpaceDE/>
        <w:autoSpaceDN/>
        <w:bidi w:val="0"/>
        <w:adjustRightInd w:val="0"/>
        <w:snapToGrid/>
        <w:spacing w:before="0" w:after="0" w:line="360" w:lineRule="auto"/>
        <w:ind w:left="0" w:leftChars="0" w:firstLine="482" w:firstLineChars="200"/>
        <w:jc w:val="left"/>
        <w:textAlignment w:val="auto"/>
        <w:rPr>
          <w:rFonts w:hint="eastAsia" w:cs="Times New Roman"/>
          <w:color w:val="auto"/>
          <w:sz w:val="24"/>
          <w:szCs w:val="24"/>
          <w:highlight w:val="none"/>
          <w:lang w:val="en-US" w:eastAsia="zh-CN"/>
        </w:rPr>
      </w:pPr>
      <w:r>
        <w:rPr>
          <w:rFonts w:hint="default" w:ascii="Times New Roman" w:hAnsi="Times New Roman" w:cs="Times New Roman"/>
          <w:b/>
          <w:bCs/>
          <w:color w:val="auto"/>
          <w:sz w:val="24"/>
          <w:highlight w:val="none"/>
        </w:rPr>
        <w:t>6、环境风险</w:t>
      </w:r>
    </w:p>
    <w:p w14:paraId="1AFA8C99">
      <w:pPr>
        <w:widowControl/>
        <w:spacing w:line="360" w:lineRule="auto"/>
        <w:ind w:firstLine="480" w:firstLineChars="200"/>
        <w:rPr>
          <w:rFonts w:hint="default" w:ascii="Times New Roman" w:hAnsi="Times New Roman" w:cs="Times New Roman"/>
          <w:b w:val="0"/>
          <w:bCs/>
          <w:color w:val="auto"/>
          <w:sz w:val="24"/>
          <w:szCs w:val="24"/>
          <w:highlight w:val="none"/>
          <w:lang w:val="en-US" w:eastAsia="zh-CN"/>
        </w:rPr>
      </w:pPr>
      <w:r>
        <w:rPr>
          <w:color w:val="auto"/>
          <w:sz w:val="24"/>
          <w:highlight w:val="none"/>
        </w:rPr>
        <w:t>本项目涉及的危险物质主要为</w:t>
      </w:r>
      <w:r>
        <w:rPr>
          <w:rFonts w:hint="eastAsia"/>
          <w:color w:val="auto"/>
          <w:sz w:val="24"/>
          <w:highlight w:val="none"/>
          <w:lang w:val="en-US" w:eastAsia="zh-CN"/>
        </w:rPr>
        <w:t>乙炔、氯乙酸及全厂危废等。</w:t>
      </w:r>
      <w:r>
        <w:rPr>
          <w:rFonts w:hint="default" w:ascii="Times New Roman" w:hAnsi="Times New Roman" w:cs="Times New Roman"/>
          <w:b w:val="0"/>
          <w:bCs/>
          <w:color w:val="auto"/>
          <w:sz w:val="24"/>
          <w:szCs w:val="24"/>
          <w:highlight w:val="none"/>
          <w:lang w:val="en-US" w:eastAsia="zh-CN"/>
        </w:rPr>
        <w:t>在建设单位按照要求做好各项风险的预防和应急措施</w:t>
      </w:r>
      <w:r>
        <w:rPr>
          <w:rFonts w:hint="eastAsia" w:cs="Times New Roman"/>
          <w:b w:val="0"/>
          <w:bCs/>
          <w:color w:val="auto"/>
          <w:sz w:val="24"/>
          <w:szCs w:val="24"/>
          <w:highlight w:val="none"/>
          <w:lang w:val="en-US" w:eastAsia="zh-CN"/>
        </w:rPr>
        <w:t>，</w:t>
      </w:r>
      <w:r>
        <w:rPr>
          <w:rFonts w:hint="default" w:ascii="Times New Roman" w:hAnsi="Times New Roman" w:cs="Times New Roman"/>
          <w:b w:val="0"/>
          <w:bCs/>
          <w:color w:val="auto"/>
          <w:sz w:val="24"/>
          <w:szCs w:val="24"/>
          <w:highlight w:val="none"/>
          <w:lang w:val="en-US" w:eastAsia="zh-CN"/>
        </w:rPr>
        <w:t>并不断完善风险事故应急预案</w:t>
      </w:r>
      <w:r>
        <w:rPr>
          <w:rFonts w:hint="eastAsia" w:cs="Times New Roman"/>
          <w:b w:val="0"/>
          <w:bCs/>
          <w:color w:val="auto"/>
          <w:sz w:val="24"/>
          <w:szCs w:val="24"/>
          <w:highlight w:val="none"/>
          <w:lang w:val="en-US" w:eastAsia="zh-CN"/>
        </w:rPr>
        <w:t>，在</w:t>
      </w:r>
      <w:r>
        <w:rPr>
          <w:rFonts w:hint="default" w:ascii="Times New Roman" w:hAnsi="Times New Roman" w:cs="Times New Roman"/>
          <w:b w:val="0"/>
          <w:bCs/>
          <w:color w:val="auto"/>
          <w:sz w:val="24"/>
          <w:szCs w:val="24"/>
          <w:highlight w:val="none"/>
          <w:lang w:val="en-US" w:eastAsia="zh-CN"/>
        </w:rPr>
        <w:t>严格落实应急预案及环评中提出各项措施和要求的前提下，本项目运营期的环境风险在可控范围内。</w:t>
      </w:r>
    </w:p>
    <w:p w14:paraId="5987DCA0">
      <w:pPr>
        <w:pStyle w:val="5"/>
        <w:keepNext w:val="0"/>
        <w:keepLines w:val="0"/>
        <w:pageBreakBefore w:val="0"/>
        <w:widowControl w:val="0"/>
        <w:kinsoku/>
        <w:wordWrap/>
        <w:overflowPunct/>
        <w:topLinePunct w:val="0"/>
        <w:autoSpaceDE/>
        <w:autoSpaceDN/>
        <w:bidi w:val="0"/>
        <w:adjustRightInd/>
        <w:snapToGrid/>
        <w:spacing w:before="157" w:beforeLines="50" w:line="440" w:lineRule="exact"/>
        <w:ind w:firstLine="492" w:firstLineChars="200"/>
        <w:textAlignment w:val="auto"/>
        <w:rPr>
          <w:rFonts w:hint="eastAsia" w:cs="Times New Roman"/>
          <w:color w:val="auto"/>
          <w:sz w:val="24"/>
          <w:szCs w:val="24"/>
          <w:highlight w:val="none"/>
          <w:lang w:val="en-US" w:eastAsia="zh-CN"/>
        </w:rPr>
      </w:pPr>
      <w:r>
        <w:rPr>
          <w:rFonts w:hint="default" w:ascii="Times New Roman" w:hAnsi="Times New Roman" w:eastAsia="宋体" w:cs="Times New Roman"/>
          <w:bCs/>
          <w:color w:val="auto"/>
          <w:spacing w:val="3"/>
          <w:kern w:val="24"/>
          <w:sz w:val="24"/>
          <w:szCs w:val="24"/>
          <w:highlight w:val="none"/>
          <w:lang w:val="en-US" w:eastAsia="zh-CN" w:bidi="ar-SA"/>
        </w:rPr>
        <w:t>综上所述，拟建项目符合国家相关产业政策和安全、环保相关的法律法规</w:t>
      </w:r>
      <w:r>
        <w:rPr>
          <w:rFonts w:hint="eastAsia" w:ascii="Times New Roman" w:hAnsi="Times New Roman" w:eastAsia="宋体" w:cs="Times New Roman"/>
          <w:bCs/>
          <w:color w:val="auto"/>
          <w:spacing w:val="3"/>
          <w:kern w:val="24"/>
          <w:sz w:val="24"/>
          <w:szCs w:val="24"/>
          <w:highlight w:val="none"/>
          <w:lang w:val="en-US" w:eastAsia="zh-CN" w:bidi="ar-SA"/>
        </w:rPr>
        <w:t>，</w:t>
      </w:r>
      <w:r>
        <w:rPr>
          <w:rFonts w:hint="default" w:ascii="Times New Roman" w:hAnsi="Times New Roman" w:eastAsia="宋体" w:cs="Times New Roman"/>
          <w:bCs/>
          <w:color w:val="auto"/>
          <w:spacing w:val="3"/>
          <w:kern w:val="24"/>
          <w:sz w:val="24"/>
          <w:szCs w:val="24"/>
          <w:highlight w:val="none"/>
          <w:lang w:val="en-US" w:eastAsia="zh-CN" w:bidi="ar-SA"/>
        </w:rPr>
        <w:t>在认真落实各项环境风险防范和安全措施后，本项目环境风险可控</w:t>
      </w:r>
      <w:r>
        <w:rPr>
          <w:rFonts w:hint="eastAsia" w:ascii="Times New Roman" w:hAnsi="Times New Roman" w:eastAsia="宋体" w:cs="Times New Roman"/>
          <w:bCs/>
          <w:color w:val="auto"/>
          <w:spacing w:val="3"/>
          <w:kern w:val="24"/>
          <w:sz w:val="24"/>
          <w:szCs w:val="24"/>
          <w:highlight w:val="none"/>
          <w:lang w:val="en-US" w:eastAsia="zh-CN" w:bidi="ar-SA"/>
        </w:rPr>
        <w:t>；</w:t>
      </w:r>
      <w:r>
        <w:rPr>
          <w:rFonts w:hint="default" w:ascii="Times New Roman" w:hAnsi="Times New Roman" w:eastAsia="宋体" w:cs="Times New Roman"/>
          <w:bCs/>
          <w:color w:val="auto"/>
          <w:spacing w:val="3"/>
          <w:kern w:val="24"/>
          <w:sz w:val="24"/>
          <w:szCs w:val="24"/>
          <w:highlight w:val="none"/>
          <w:lang w:val="en-US" w:eastAsia="zh-CN" w:bidi="ar-SA"/>
        </w:rPr>
        <w:t>项目建设后对周围环境的影响是可以接受的，不会改变项目周围地区当前的大气、水、声环境质量的现有功能要求。建设单位应加强管理，使环境影响评价中提出的各项措施得到落实和实施。从环境保护的角度上来说，</w:t>
      </w:r>
      <w:r>
        <w:rPr>
          <w:rFonts w:hint="eastAsia" w:cs="Times New Roman"/>
          <w:bCs/>
          <w:color w:val="auto"/>
          <w:spacing w:val="3"/>
          <w:kern w:val="24"/>
          <w:sz w:val="24"/>
          <w:szCs w:val="24"/>
          <w:highlight w:val="none"/>
          <w:lang w:val="en-US" w:eastAsia="zh-CN" w:bidi="ar-SA"/>
        </w:rPr>
        <w:t>本</w:t>
      </w:r>
      <w:r>
        <w:rPr>
          <w:rFonts w:hint="default" w:ascii="Times New Roman" w:hAnsi="Times New Roman" w:eastAsia="宋体" w:cs="Times New Roman"/>
          <w:bCs/>
          <w:color w:val="auto"/>
          <w:spacing w:val="3"/>
          <w:kern w:val="24"/>
          <w:sz w:val="24"/>
          <w:szCs w:val="24"/>
          <w:highlight w:val="none"/>
          <w:lang w:val="en-US" w:eastAsia="zh-CN" w:bidi="ar-SA"/>
        </w:rPr>
        <w:t>项目建设具有环境可行性。</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auto"/>
    <w:pitch w:val="default"/>
    <w:sig w:usb0="E4002EFF" w:usb1="C200247B" w:usb2="00000009" w:usb3="00000000" w:csb0="200001FF" w:csb1="00000000"/>
  </w:font>
  <w:font w:name="Segoe UI Emoji">
    <w:panose1 w:val="020B0502040204020203"/>
    <w:charset w:val="00"/>
    <w:family w:val="auto"/>
    <w:pitch w:val="default"/>
    <w:sig w:usb0="00000001" w:usb1="02000000" w:usb2="08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1AE8D3"/>
    <w:multiLevelType w:val="singleLevel"/>
    <w:tmpl w:val="6F1AE8D3"/>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7952E8"/>
    <w:rsid w:val="546C7338"/>
    <w:rsid w:val="5D3431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qFormat/>
    <w:uiPriority w:val="9"/>
    <w:pPr>
      <w:spacing w:line="440" w:lineRule="exact"/>
      <w:ind w:firstLine="200" w:firstLineChars="200"/>
      <w:outlineLvl w:val="2"/>
    </w:pPr>
    <w:rPr>
      <w:rFonts w:ascii="Times New Roman" w:hAnsi="Times New Roman" w:eastAsia="宋体" w:cs="Times New Roman"/>
      <w:b/>
      <w:bCs/>
      <w:kern w:val="2"/>
      <w:sz w:val="24"/>
      <w:szCs w:val="22"/>
      <w:lang w:val="en-US" w:eastAsia="zh-CN" w:bidi="ar-SA"/>
    </w:rPr>
  </w:style>
  <w:style w:type="paragraph" w:styleId="4">
    <w:name w:val="heading 4"/>
    <w:basedOn w:val="1"/>
    <w:next w:val="1"/>
    <w:qFormat/>
    <w:uiPriority w:val="9"/>
    <w:pPr>
      <w:keepNext/>
      <w:keepLines/>
      <w:ind w:firstLine="200"/>
      <w:outlineLvl w:val="3"/>
    </w:pPr>
    <w:rPr>
      <w:rFonts w:ascii="Calibri Light" w:hAnsi="Calibri Light"/>
      <w:bCs/>
      <w:szCs w:val="28"/>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书正文"/>
    <w:basedOn w:val="1"/>
    <w:autoRedefine/>
    <w:qFormat/>
    <w:uiPriority w:val="0"/>
    <w:pPr>
      <w:spacing w:line="500" w:lineRule="exact"/>
      <w:ind w:firstLine="640" w:firstLineChars="200"/>
    </w:pPr>
  </w:style>
  <w:style w:type="paragraph" w:styleId="5">
    <w:name w:val="Normal Indent"/>
    <w:basedOn w:val="1"/>
    <w:next w:val="4"/>
    <w:qFormat/>
    <w:uiPriority w:val="0"/>
  </w:style>
  <w:style w:type="paragraph" w:customStyle="1" w:styleId="8">
    <w:name w:val="表"/>
    <w:basedOn w:val="9"/>
    <w:autoRedefine/>
    <w:qFormat/>
    <w:uiPriority w:val="99"/>
    <w:pPr>
      <w:spacing w:line="440" w:lineRule="exact"/>
      <w:ind w:firstLine="200" w:firstLineChars="200"/>
      <w:jc w:val="both"/>
    </w:pPr>
    <w:rPr>
      <w:rFonts w:ascii="Times New Roman" w:hAnsi="Times New Roman" w:eastAsia="宋体" w:cs="Times New Roman"/>
      <w:sz w:val="24"/>
      <w:lang w:val="en-US" w:eastAsia="zh-CN" w:bidi="ar-SA"/>
    </w:rPr>
  </w:style>
  <w:style w:type="paragraph" w:customStyle="1" w:styleId="9">
    <w:name w:val=" Char Char Char Char"/>
    <w:basedOn w:val="1"/>
    <w:autoRedefine/>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2026-02-09T08:08:24Z</dcterms:created>
  <dc:creator>X.L.Schillor</dc:creator>
  <cp:lastModifiedBy>席绍添</cp:lastModifiedBy>
  <dcterms:modified xsi:type="dcterms:W3CDTF">2026-02-09T08:19:14Z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eyJoZGlkIjoiNjRkODU1MDMwNjdhNTM4YTAzMzliOGJiZmY0YTI3YjgiLCJ1c2VySWQiOiIxNzEwNjc5MTU1In0=</vt:lpwstr>
  </property>
  <property fmtid="{D5CDD505-2E9C-101B-9397-08002B2CF9AE}" pid="4" name="ICV">
    <vt:lpwstr>4335D23CD91243339E496C0148F8A702_12</vt:lpwstr>
  </property>
</Properties>
</file>