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A9AFB2">
      <w:pPr>
        <w:spacing w:line="600" w:lineRule="exact"/>
        <w:jc w:val="center"/>
        <w:rPr>
          <w:rFonts w:hint="eastAsia" w:ascii="宋体" w:hAnsi="宋体" w:cs="宋体"/>
          <w:b/>
          <w:sz w:val="44"/>
          <w:szCs w:val="44"/>
          <w:lang w:eastAsia="zh-CN"/>
        </w:rPr>
      </w:pPr>
      <w:r>
        <w:rPr>
          <w:rFonts w:hint="eastAsia" w:ascii="宋体" w:hAnsi="宋体" w:eastAsia="宋体" w:cs="宋体"/>
          <w:b/>
          <w:sz w:val="44"/>
          <w:szCs w:val="44"/>
        </w:rPr>
        <w:t>拟批准</w:t>
      </w:r>
      <w:r>
        <w:rPr>
          <w:rFonts w:hint="eastAsia" w:ascii="宋体" w:hAnsi="宋体" w:cs="宋体"/>
          <w:b/>
          <w:sz w:val="44"/>
          <w:szCs w:val="44"/>
          <w:lang w:eastAsia="zh-CN"/>
        </w:rPr>
        <w:t>石家庄高新生物创服科技有限公司石家庄高新区生物医药中央创新区项目</w:t>
      </w:r>
    </w:p>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0A461BF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石家庄高新生物创服科技有限公司石家庄高新区生物医药中央创新区项目位于石家庄高新区太行大街769号京石协作创新示范园一期A5栋。项目总投资4089万元，其中环保投资50万元。项目主要建设内容：本项目提升改造面积约7508.18㎡。购置LED显示屏、梯度PCR仪、超高效液相色谱仪、高速冷冻离心机、超声波细胞破碎仪、超微粉碎机、蛋白电泳仪等50余台（套）设备，将A5栋一层提升改造为中央创新区展示、企业产品展区等；二层提升改造为设备机房，会议、办公、多功能培训等；三层提升改造为共享实验室，包含：检测平台、样品交接及配置区、生物检测实验室、色谱检测区、质谱检测实验室、试剂室、气瓶室、医疗器械检测区、普通仪器检测室、UPS/IT 机房区等；五层提升改造为定制共享实验创新区等。</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03ECCF9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 xml:space="preserve">1、非甲烷总烃有组织排放执行《工业企业挥发性有机物排放控制标准》（DB13/2322-2025）表1其他行业大气污染物浓度限值；甲醇、丙酮参照执行《工业企业挥发性有机物排放控制标准》（DB13/2322-2025）表1医药制造行业污染物浓度限值；硫酸雾、氯化氢有组织排放执行《大气污染物第综合排放标准》（GB16297-1996）表2新污染源大气污染物排放限值。 </w:t>
      </w:r>
    </w:p>
    <w:p w14:paraId="7C55E46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无组织厂区内非甲烷总烃排放执行《工业企业挥发性有机物排放控制标准》（DB13/2322-2025）表2厂区内挥发性有机物无组织排放限值要求；无组织厂界氯化氢、硫酸雾排放执行《大气污染物综合排放标准》（GB16297-1996）表2无组织排放监控浓度限值；丙酮、甲醇排放执行《工业企业挥发性有机物排放控制标准》（DB13/2322-2025）表3企业边界挥发性有机物浓度限值中其他企业标准。</w:t>
      </w:r>
    </w:p>
    <w:p w14:paraId="3C2E7D7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w:t>
      </w:r>
      <w:bookmarkStart w:id="0" w:name="OLE_LINK3"/>
      <w:bookmarkStart w:id="1" w:name="OLE_LINK2"/>
      <w:r>
        <w:rPr>
          <w:rFonts w:hint="eastAsia" w:ascii="仿宋_GB2312" w:hAnsi="Times New Roman" w:eastAsia="仿宋_GB2312" w:cs="Times New Roman"/>
          <w:kern w:val="2"/>
          <w:sz w:val="32"/>
          <w:szCs w:val="32"/>
          <w:lang w:val="en-US" w:eastAsia="zh-CN" w:bidi="ar-SA"/>
        </w:rPr>
        <w:t>废水排放执行《污水综合排放标准》（GB8978-1996）表4三级标准、《生物工程类制药工业水污染物排放标准》（GB21907-2008）表3水污染物特别排放限值及石家庄高新污水处理服务有限公司（石家庄高新第一污水处理厂）污水接纳协议中标准要求。</w:t>
      </w:r>
      <w:bookmarkEnd w:id="0"/>
    </w:p>
    <w:bookmarkEnd w:id="1"/>
    <w:p w14:paraId="1EE869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3、厂界噪声满足《工业企业厂界环境噪声排放标准》（GB12348-2008）3类标准。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暂存执行《危险废物贮存污染控制标准》（GB18597-2023）中要求。一般工业固体废物暂存执行《一般工业固体废物贮存和填埋污染控制标准》（GB18599-2020）要求。生活垃圾参照执行《河北省固体废物污染环境防治条例》（2022年12月1日）“第四章生活垃圾”中相关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0EB4478E">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1、检测工艺过程中产生的实验废气由高温灭菌+集气罩/通风橱收集后经“干式酸雾净化器+两级活性炭吸附装置”处理，通过1根45m高排气筒（DA001）排放。</w:t>
      </w:r>
    </w:p>
    <w:p w14:paraId="46EAFDF8">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实验室器具首次清洗废水作为危废处置；全楼层地面清洁废水、实验器具非首次清洗废水、纯水制备用水排入京石协作创新示范园污水处理站（设计处理规模：90m3/d，采用“水解酸化+A/O+絮凝沉淀+消毒”工艺）处理达标后与经化粪池处理后的生活污水经高新区市政污水管网排入石家庄高新污水处理服务有限公司（石家庄高新第一污水处理厂）进一步处理。</w:t>
      </w:r>
    </w:p>
    <w:p w14:paraId="4C11B984">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本项目运营期噪声主要来自风机等设备噪声，采取选用低噪声设备、基础减振、厂房隔声等降噪措施</w:t>
      </w:r>
      <w:r>
        <w:rPr>
          <w:rFonts w:hint="eastAsia" w:ascii="仿宋_GB2312" w:hAnsi="Times New Roman" w:eastAsia="仿宋_GB2312" w:cs="Times New Roman"/>
          <w:sz w:val="32"/>
          <w:szCs w:val="32"/>
        </w:rPr>
        <w:t>。</w:t>
      </w:r>
    </w:p>
    <w:p w14:paraId="72EDA797">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4、固废</w:t>
      </w:r>
    </w:p>
    <w:p w14:paraId="219C5903">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 xml:space="preserve">未含有或沾染毒性的废试剂瓶和废包装暂存于一般工业固体废物暂存间，统一收集后外售。废展牌暂存于固废间， </w:t>
      </w:r>
    </w:p>
    <w:p w14:paraId="5843D522">
      <w:pPr>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 xml:space="preserve">收集后外售统一处理。生活垃圾统一收集后由环卫部门统一清运。含有或沾染毒性的废试剂瓶和废包装 采用专用密闭容器收集，暂存于危险废物暂存间，定期交有资质单位处理。实验室废物暂存于危废间内，定期交有资质单位处理。灭活的培养基暂存于危废间，定期交有资质单位处理。实验废液（含实验器具首次清洗废水）收集后暂存于危废间，定期交有资质单位处理。 废活性炭 炭采用专用容器包装，暂存至危废间，定期交由有资质的单位处置。废吸附剂收集后暂存于危险废物暂存间，定期交资质单位处置。废铅蓄电池采用专用密闭容器收集，暂存于危废间，定期交由有资质单位处理。废过滤器材暂存于危废间，定期交由有资质单位处理。 </w:t>
      </w:r>
    </w:p>
    <w:p w14:paraId="30D08D3C">
      <w:pPr>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废过滤膜由设备厂家定期更换回收，不暂存。</w:t>
      </w:r>
      <w:bookmarkStart w:id="2" w:name="_GoBack"/>
      <w:bookmarkEnd w:id="2"/>
    </w:p>
    <w:p w14:paraId="45789843">
      <w:pPr>
        <w:rPr>
          <w:rFonts w:hint="eastAsia" w:ascii="仿宋_GB2312" w:eastAsia="仿宋_GB2312" w:cs="Times New Roman"/>
          <w:sz w:val="32"/>
          <w:szCs w:val="32"/>
          <w:lang w:val="en-US" w:eastAsia="zh-CN"/>
        </w:rPr>
      </w:pPr>
    </w:p>
    <w:p w14:paraId="6521D436">
      <w:pPr>
        <w:rPr>
          <w:rFonts w:hint="eastAsia" w:ascii="仿宋_GB2312" w:eastAsia="仿宋_GB2312" w:cs="Times New Roman"/>
          <w:sz w:val="32"/>
          <w:szCs w:val="32"/>
          <w:lang w:val="en-US" w:eastAsia="zh-CN"/>
        </w:rPr>
      </w:pPr>
    </w:p>
    <w:p w14:paraId="3E97EBE6">
      <w:pPr>
        <w:ind w:firstLine="640" w:firstLineChars="200"/>
        <w:rPr>
          <w:rFonts w:hint="eastAsia" w:ascii="仿宋_GB2312" w:eastAsia="仿宋_GB2312" w:cs="Times New Roman"/>
          <w:sz w:val="32"/>
          <w:szCs w:val="32"/>
          <w:lang w:val="en-US" w:eastAsia="zh-CN"/>
        </w:rPr>
      </w:pPr>
    </w:p>
    <w:p w14:paraId="5C5DA062">
      <w:pPr>
        <w:ind w:firstLine="640" w:firstLineChars="200"/>
        <w:rPr>
          <w:rFonts w:hint="eastAsia" w:ascii="仿宋_GB2312" w:eastAsia="仿宋_GB2312" w:cs="Times New Roman"/>
          <w:sz w:val="32"/>
          <w:szCs w:val="32"/>
          <w:lang w:val="en-US" w:eastAsia="zh-CN"/>
        </w:rPr>
      </w:pPr>
    </w:p>
    <w:p w14:paraId="15432501">
      <w:pPr>
        <w:ind w:firstLine="640" w:firstLineChars="200"/>
        <w:rPr>
          <w:rFonts w:hint="eastAsia" w:ascii="仿宋_GB2312" w:eastAsia="仿宋_GB2312" w:cs="Times New Roman"/>
          <w:sz w:val="32"/>
          <w:szCs w:val="32"/>
          <w:lang w:val="en-US" w:eastAsia="zh-CN"/>
        </w:rPr>
      </w:pPr>
    </w:p>
    <w:p w14:paraId="60EBDA16">
      <w:pPr>
        <w:ind w:firstLine="640" w:firstLineChars="200"/>
        <w:rPr>
          <w:rFonts w:hint="eastAsia" w:ascii="仿宋_GB2312" w:eastAsia="仿宋_GB2312" w:cs="Times New Roman"/>
          <w:sz w:val="32"/>
          <w:szCs w:val="32"/>
          <w:lang w:val="en-US" w:eastAsia="zh-CN"/>
        </w:rPr>
      </w:pPr>
    </w:p>
    <w:p w14:paraId="2E5AE39B">
      <w:pPr>
        <w:ind w:firstLine="640" w:firstLineChars="200"/>
        <w:rPr>
          <w:rFonts w:hint="eastAsia" w:ascii="仿宋_GB2312" w:eastAsia="仿宋_GB2312" w:cs="Times New Roman"/>
          <w:sz w:val="32"/>
          <w:szCs w:val="32"/>
          <w:lang w:val="en-US" w:eastAsia="zh-CN"/>
        </w:rPr>
      </w:pPr>
    </w:p>
    <w:p w14:paraId="5D27E0C1">
      <w:pPr>
        <w:ind w:firstLine="640" w:firstLineChars="200"/>
        <w:rPr>
          <w:rFonts w:hint="eastAsia" w:ascii="仿宋_GB2312" w:eastAsia="仿宋_GB2312" w:cs="Times New Roman"/>
          <w:sz w:val="32"/>
          <w:szCs w:val="32"/>
          <w:lang w:val="en-US" w:eastAsia="zh-CN"/>
        </w:rPr>
      </w:pPr>
    </w:p>
    <w:p w14:paraId="3DE1A0BB">
      <w:pPr>
        <w:rPr>
          <w:rFonts w:hint="eastAsia" w:ascii="仿宋_GB2312" w:eastAsia="仿宋_GB2312" w:cs="Times New Roman"/>
          <w:sz w:val="32"/>
          <w:szCs w:val="32"/>
          <w:lang w:val="en-US" w:eastAsia="zh-CN"/>
        </w:rPr>
      </w:pPr>
    </w:p>
    <w:p w14:paraId="4F350B0C">
      <w:pPr>
        <w:ind w:firstLine="640" w:firstLineChars="200"/>
        <w:rPr>
          <w:rFonts w:hint="eastAsia" w:ascii="仿宋_GB2312" w:eastAsia="仿宋_GB2312" w:cs="Times New Roman"/>
          <w:sz w:val="32"/>
          <w:szCs w:val="32"/>
          <w:lang w:val="en-US" w:eastAsia="zh-CN"/>
        </w:rPr>
      </w:pPr>
    </w:p>
    <w:p w14:paraId="6C8345F1">
      <w:pPr>
        <w:pStyle w:val="3"/>
        <w:numPr>
          <w:ilvl w:val="0"/>
          <w:numId w:val="0"/>
        </w:numPr>
        <w:ind w:firstLine="640" w:firstLineChars="200"/>
        <w:jc w:val="both"/>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DA3535"/>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3C9033D"/>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13553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89E7B3A"/>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0D4685"/>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B1462A"/>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9106A"/>
    <w:rsid w:val="6E6C2864"/>
    <w:rsid w:val="6EAD142D"/>
    <w:rsid w:val="6EE22D4E"/>
    <w:rsid w:val="6F1D1AF9"/>
    <w:rsid w:val="6F6C7A2E"/>
    <w:rsid w:val="70940320"/>
    <w:rsid w:val="70A83C51"/>
    <w:rsid w:val="714123C2"/>
    <w:rsid w:val="717D44A9"/>
    <w:rsid w:val="71E340F8"/>
    <w:rsid w:val="71F53485"/>
    <w:rsid w:val="72253E83"/>
    <w:rsid w:val="726D7F49"/>
    <w:rsid w:val="73265B6C"/>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AC75CB"/>
    <w:rsid w:val="7ABE23D6"/>
    <w:rsid w:val="7ABF1C82"/>
    <w:rsid w:val="7AEE0661"/>
    <w:rsid w:val="7B053770"/>
    <w:rsid w:val="7B5467AB"/>
    <w:rsid w:val="7B7C6467"/>
    <w:rsid w:val="7B8A15B0"/>
    <w:rsid w:val="7CDD44D5"/>
    <w:rsid w:val="7CED5108"/>
    <w:rsid w:val="7D4D0564"/>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1146</Words>
  <Characters>1316</Characters>
  <Lines>41</Lines>
  <Paragraphs>11</Paragraphs>
  <TotalTime>4</TotalTime>
  <ScaleCrop>false</ScaleCrop>
  <LinksUpToDate>false</LinksUpToDate>
  <CharactersWithSpaces>5937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2026-03-16T01:44:28Z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