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91A0F">
      <w:pPr>
        <w:spacing w:line="600" w:lineRule="exact"/>
        <w:jc w:val="center"/>
        <w:rPr>
          <w:rFonts w:hint="eastAsia" w:ascii="宋体" w:hAnsi="宋体" w:eastAsia="宋体" w:cs="宋体"/>
          <w:b/>
          <w:sz w:val="44"/>
          <w:szCs w:val="44"/>
          <w:lang w:eastAsia="zh-CN"/>
        </w:rPr>
      </w:pPr>
      <w:r>
        <w:rPr>
          <w:rFonts w:hint="eastAsia" w:ascii="宋体" w:hAnsi="宋体" w:eastAsia="宋体" w:cs="宋体"/>
          <w:b/>
          <w:sz w:val="44"/>
          <w:szCs w:val="44"/>
        </w:rPr>
        <w:t>拟批准</w:t>
      </w:r>
      <w:r>
        <w:rPr>
          <w:rFonts w:hint="eastAsia" w:ascii="宋体" w:hAnsi="宋体" w:eastAsia="宋体" w:cs="宋体"/>
          <w:b/>
          <w:sz w:val="44"/>
          <w:szCs w:val="44"/>
          <w:lang w:eastAsia="zh-CN"/>
        </w:rPr>
        <w:t>河北美臻生物科技有限公司</w:t>
      </w:r>
    </w:p>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lang w:eastAsia="zh-CN"/>
        </w:rPr>
        <w:t>化妆品、诊断试剂、健康食品研发实验室项目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4BDCE6BD">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河北美臻生物科技有限公司化妆品、诊断试剂、健康食品研发实验室项目</w:t>
      </w:r>
      <w:r>
        <w:rPr>
          <w:rFonts w:hint="eastAsia" w:ascii="仿宋_GB2312" w:hAnsi="Times New Roman" w:eastAsia="仿宋_GB2312" w:cs="Times New Roman"/>
          <w:sz w:val="32"/>
          <w:szCs w:val="32"/>
        </w:rPr>
        <w:t>位于</w:t>
      </w:r>
      <w:r>
        <w:rPr>
          <w:rFonts w:hint="eastAsia" w:ascii="仿宋_GB2312" w:hAnsi="Times New Roman" w:eastAsia="仿宋_GB2312" w:cs="Times New Roman"/>
          <w:sz w:val="32"/>
          <w:szCs w:val="32"/>
          <w:lang w:val="en-US" w:eastAsia="zh-CN"/>
        </w:rPr>
        <w:t>石家庄高新区太行南大街769号京津冀协同创新示范园201#（A7）304-1号房</w:t>
      </w:r>
      <w:r>
        <w:rPr>
          <w:rFonts w:hint="eastAsia" w:ascii="仿宋_GB2312" w:hAnsi="Times New Roman" w:eastAsia="仿宋_GB2312" w:cs="Times New Roman"/>
          <w:sz w:val="32"/>
          <w:szCs w:val="32"/>
        </w:rPr>
        <w:t>。项目总投资</w:t>
      </w:r>
      <w:r>
        <w:rPr>
          <w:rFonts w:hint="eastAsia" w:ascii="仿宋_GB2312" w:hAnsi="Times New Roman" w:eastAsia="仿宋_GB2312" w:cs="Times New Roman"/>
          <w:sz w:val="32"/>
          <w:szCs w:val="32"/>
          <w:lang w:val="en-US" w:eastAsia="zh-CN"/>
        </w:rPr>
        <w:t>1500</w:t>
      </w:r>
      <w:r>
        <w:rPr>
          <w:rFonts w:hint="eastAsia" w:ascii="仿宋_GB2312" w:hAnsi="Times New Roman" w:eastAsia="仿宋_GB2312" w:cs="Times New Roman"/>
          <w:sz w:val="32"/>
          <w:szCs w:val="32"/>
        </w:rPr>
        <w:t>万元</w:t>
      </w:r>
      <w:r>
        <w:rPr>
          <w:rFonts w:hint="eastAsia" w:ascii="仿宋_GB2312" w:hAnsi="Times New Roman" w:eastAsia="仿宋_GB2312" w:cs="Times New Roman"/>
          <w:sz w:val="32"/>
          <w:szCs w:val="32"/>
          <w:lang w:val="en-US" w:eastAsia="zh-CN"/>
        </w:rPr>
        <w:t>，</w:t>
      </w:r>
      <w:r>
        <w:rPr>
          <w:rFonts w:hint="eastAsia" w:ascii="仿宋_GB2312" w:hAnsi="Times New Roman" w:eastAsia="仿宋_GB2312" w:cs="Times New Roman"/>
          <w:sz w:val="32"/>
          <w:szCs w:val="32"/>
        </w:rPr>
        <w:t>其中环保投资</w:t>
      </w:r>
      <w:r>
        <w:rPr>
          <w:rFonts w:hint="eastAsia" w:ascii="仿宋_GB2312" w:hAnsi="Times New Roman" w:eastAsia="仿宋_GB2312" w:cs="Times New Roman"/>
          <w:sz w:val="32"/>
          <w:szCs w:val="32"/>
          <w:lang w:val="en-US" w:eastAsia="zh-CN"/>
        </w:rPr>
        <w:t>20</w:t>
      </w:r>
      <w:r>
        <w:rPr>
          <w:rFonts w:hint="eastAsia" w:ascii="仿宋_GB2312" w:hAnsi="Times New Roman" w:eastAsia="仿宋_GB2312" w:cs="Times New Roman"/>
          <w:sz w:val="32"/>
          <w:szCs w:val="32"/>
        </w:rPr>
        <w:t>万元。项目主要建设内容</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lang w:val="en-US" w:eastAsia="zh-CN"/>
        </w:rPr>
        <w:t>项目租用河北省石家庄高新区太行南大街769号京津冀协同创新示范园201#厂房（A7）304-1号房，建筑面积278.25平米。设立生物酶催化及化学合成试验室。包括，多肽合成室、酶催化室、诊断试剂原料及合成室、洁净区、化妆品配方研发室、仓库、危废间、检测室、办公室几个单元。项目建成后，年研发量为30个产品。多肽类研发产品主要用于医美化妆品、卫生材料及医药用品；酶催化与化学合成类产品用于功能性保健食品。</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0F4F3A4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有组织：颗粒物、TVOC、HCl执行《制药工业大气污染物排放标准》（GB37823-2019）表2大气污染物特别排放限值；非甲烷总烃、甲醇排放执行《工业企业挥发性有机物排放控制标准》（DB13/2322-2025）表1医药制造行业标准；酚类排放执行《大气污染物综合排放标准》（GB16297-1996）表2二级大气污染物排放限值；臭气浓度执行《恶臭污染物排放标准》（GB14554-93）表2标准。</w:t>
      </w:r>
    </w:p>
    <w:p w14:paraId="7C55E4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无组织：厂区内非甲烷总烃排放执行《工业企业挥发性有机物排放控制标准》（DB13/2322-2025）表2厂区内挥发性有机物无组织排放限值；厂界酚类、甲醇污染物排放执行《工业企业挥发性有机物排放控制标准》（DB13/2322-2025）表3企业边界挥发性有机物浓度限值；厂界非甲烷总烃、HCl、颗粒物排放执行《大气污染物综合排放标准》（GB16297-1996）表2 中无组织排放监控浓度限值。臭气浓度排放执行《恶臭污染物排放标准》（GB14554-93）表1二级新扩改建项目污染物边界标准值。</w:t>
      </w:r>
    </w:p>
    <w:p w14:paraId="1BBAA96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2、废水排放执行《污水综合排放标准》（GB8978-1996）表4三级标准及石家庄高新污水处理服务有限公司（石家庄高新第一污水处理厂）签订的污水协议标准要求。</w:t>
      </w:r>
    </w:p>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处置执行《河北省固体废物污染环境防治条例》要求进行管理。</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0EB4478E">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1、称量、溶液配置、实验分析过程产生的废气经通风橱/万向罩收集，试剂柜、危废间废气经管道收集，收集后的废气一并经“布袋除尘器+SDG脱酸+二级活性炭吸附”处理，通过1根25m高排气筒（DA001）排放。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生活污水、实验服清洗废水、去离子水制备浓水、最后一次实验器具清洗废水经管道排入京津冀协同创新示范园污水处理站（设计处理规模90m3/d，采用“格栅+调节池+水解酸化池+A/O池+混凝沉淀+消毒”处理工艺）处理后进入石家庄高新污水处理服务有限公司（石家庄高新第一污水处理厂）进一步处理。</w:t>
      </w:r>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本项目运营期噪声主要来自实验研发及辅助设备噪声，采取设备安装弹性减振橡胶垫、厂房隔声等降噪措施</w:t>
      </w:r>
      <w:r>
        <w:rPr>
          <w:rFonts w:hint="eastAsia" w:ascii="仿宋_GB2312" w:hAnsi="Times New Roman" w:eastAsia="仿宋_GB2312" w:cs="Times New Roman"/>
          <w:sz w:val="32"/>
          <w:szCs w:val="32"/>
        </w:rPr>
        <w:t>。</w:t>
      </w:r>
    </w:p>
    <w:p w14:paraId="72EDA797">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w:t>
      </w:r>
    </w:p>
    <w:p w14:paraId="4837A0C2">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废离子交换树脂、废RO膜集中收集后交原厂家回收；废外包装材料由环卫部门定期清运。</w:t>
      </w:r>
    </w:p>
    <w:p w14:paraId="5D27E0C1">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实验室废物（废称量纸、废树脂、废滤纸、废药品、废内包装材料）、实验室废液（离心废液、纯化废液、浓缩废液、分离废液、蒸馏废液、过滤废液、超滤废液、萃取废液、提纯废液、实验器具前两次清洗水、废溶剂）、废过滤棉、废活性炭、废SDG吸附剂、除尘灰暂存于危废间，定期委托有资质单位处置。生活垃圾由环卫部门定期清运。</w:t>
      </w:r>
    </w:p>
    <w:p w14:paraId="3DE1A0BB">
      <w:pPr>
        <w:rPr>
          <w:rFonts w:hint="eastAsia" w:ascii="仿宋_GB2312" w:eastAsia="仿宋_GB2312" w:cs="Times New Roman"/>
          <w:sz w:val="32"/>
          <w:szCs w:val="32"/>
          <w:lang w:val="en-US" w:eastAsia="zh-CN"/>
        </w:rPr>
      </w:pPr>
    </w:p>
    <w:p w14:paraId="6C8345F1">
      <w:pPr>
        <w:ind w:firstLine="640" w:firstLineChars="200"/>
        <w:rPr>
          <w:rFonts w:hint="default" w:ascii="仿宋_GB2312" w:eastAsia="仿宋_GB2312" w:cs="Times New Roman"/>
          <w:sz w:val="32"/>
          <w:szCs w:val="32"/>
          <w:lang w:val="en-US" w:eastAsia="zh-CN"/>
        </w:rPr>
      </w:pPr>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7E7891"/>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BA1ED7"/>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1530</Words>
  <Characters>1724</Characters>
  <Lines>41</Lines>
  <Paragraphs>11</Paragraphs>
  <TotalTime>3</TotalTime>
  <ScaleCrop>false</ScaleCrop>
  <LinksUpToDate>false</LinksUpToDate>
  <CharactersWithSpaces>6346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2026-03-17T02:09:01Z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