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bookmarkStart w:id="0" w:name="_GoBack"/>
      <w:r>
        <w:rPr>
          <w:rFonts w:hint="eastAsia" w:ascii="宋体" w:hAnsi="宋体" w:cs="宋体"/>
          <w:b/>
          <w:sz w:val="44"/>
          <w:szCs w:val="44"/>
          <w:lang w:eastAsia="zh-CN"/>
        </w:rPr>
        <w:t>河北丙梵生物科技有限公司医药研发中心迁建项目</w:t>
      </w:r>
      <w:bookmarkEnd w:id="0"/>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4B804333">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河北丙梵生物科技有限公司医药研发中心迁建项目</w:t>
      </w:r>
      <w:r>
        <w:rPr>
          <w:rFonts w:hint="eastAsia" w:ascii="仿宋_GB2312" w:hAnsi="Times New Roman" w:eastAsia="仿宋_GB2312" w:cs="Times New Roman"/>
          <w:sz w:val="32"/>
          <w:szCs w:val="32"/>
        </w:rPr>
        <w:t>位于</w:t>
      </w:r>
      <w:r>
        <w:rPr>
          <w:rFonts w:hint="eastAsia" w:ascii="仿宋_GB2312" w:hAnsi="Times New Roman" w:eastAsia="仿宋_GB2312" w:cs="Times New Roman"/>
          <w:sz w:val="32"/>
          <w:szCs w:val="32"/>
          <w:lang w:val="en-US" w:eastAsia="zh-CN"/>
        </w:rPr>
        <w:t>石家庄高新区太行南大街769号京津冀协同创新示范园201厂房A8栋205号</w:t>
      </w:r>
      <w:r>
        <w:rPr>
          <w:rFonts w:hint="eastAsia" w:ascii="仿宋_GB2312" w:hAnsi="Times New Roman" w:eastAsia="仿宋_GB2312" w:cs="Times New Roman"/>
          <w:sz w:val="32"/>
          <w:szCs w:val="32"/>
        </w:rPr>
        <w:t>。项目总投资</w:t>
      </w:r>
      <w:r>
        <w:rPr>
          <w:rFonts w:hint="eastAsia" w:ascii="仿宋_GB2312" w:hAnsi="Times New Roman" w:eastAsia="仿宋_GB2312" w:cs="Times New Roman"/>
          <w:sz w:val="32"/>
          <w:szCs w:val="32"/>
          <w:lang w:val="en-US" w:eastAsia="zh-CN"/>
        </w:rPr>
        <w:t>200</w:t>
      </w:r>
      <w:r>
        <w:rPr>
          <w:rFonts w:hint="eastAsia" w:ascii="仿宋_GB2312" w:hAnsi="Times New Roman" w:eastAsia="仿宋_GB2312" w:cs="Times New Roman"/>
          <w:sz w:val="32"/>
          <w:szCs w:val="32"/>
        </w:rPr>
        <w:t>万元</w:t>
      </w:r>
      <w:r>
        <w:rPr>
          <w:rFonts w:hint="eastAsia" w:ascii="仿宋_GB2312" w:hAnsi="Times New Roman" w:eastAsia="仿宋_GB2312" w:cs="Times New Roman"/>
          <w:sz w:val="32"/>
          <w:szCs w:val="32"/>
          <w:lang w:val="en-US" w:eastAsia="zh-CN"/>
        </w:rPr>
        <w:t>，</w:t>
      </w:r>
      <w:r>
        <w:rPr>
          <w:rFonts w:hint="eastAsia" w:ascii="仿宋_GB2312" w:hAnsi="Times New Roman" w:eastAsia="仿宋_GB2312" w:cs="Times New Roman"/>
          <w:sz w:val="32"/>
          <w:szCs w:val="32"/>
        </w:rPr>
        <w:t>其中环保投资</w:t>
      </w:r>
      <w:r>
        <w:rPr>
          <w:rFonts w:hint="eastAsia" w:ascii="仿宋_GB2312" w:hAnsi="Times New Roman" w:eastAsia="仿宋_GB2312" w:cs="Times New Roman"/>
          <w:sz w:val="32"/>
          <w:szCs w:val="32"/>
          <w:lang w:val="en-US" w:eastAsia="zh-CN"/>
        </w:rPr>
        <w:t>20</w:t>
      </w:r>
      <w:r>
        <w:rPr>
          <w:rFonts w:hint="eastAsia" w:ascii="仿宋_GB2312" w:hAnsi="Times New Roman" w:eastAsia="仿宋_GB2312" w:cs="Times New Roman"/>
          <w:sz w:val="32"/>
          <w:szCs w:val="32"/>
        </w:rPr>
        <w:t>万元。项目主要建设内容</w:t>
      </w:r>
      <w:r>
        <w:rPr>
          <w:rFonts w:hint="eastAsia" w:ascii="仿宋_GB2312" w:hAnsi="Times New Roman" w:eastAsia="仿宋_GB2312" w:cs="Times New Roman"/>
          <w:sz w:val="32"/>
          <w:szCs w:val="32"/>
          <w:lang w:eastAsia="zh-CN"/>
        </w:rPr>
        <w:t>：租用现有厂房1190.43平方米，在现有仪器设备基础上，新增旋转蒸发仪、分液釜、平板离心机、高效液相色谱仪等设备设施，同时依据最新平面布局同步优化环保治理设施。项目建成后主要进行日化原料及医药中间体的工艺研发流程、技术服务及工艺优化等</w:t>
      </w:r>
      <w:r>
        <w:rPr>
          <w:rFonts w:hint="eastAsia" w:ascii="仿宋_GB2312" w:hAnsi="Times New Roman" w:eastAsia="仿宋_GB2312" w:cs="Times New Roman"/>
          <w:sz w:val="32"/>
          <w:szCs w:val="32"/>
          <w:lang w:val="en-US" w:eastAsia="zh-CN"/>
        </w:rPr>
        <w:t>。</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052FABC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有组织非甲烷总烃排放执行《工业企业挥发性有机物排放控制标准》（DB13/2322-2025）表1“医药制造-药物研发机构”大气污染物浓度限值；TVOC排放执行《制药工业大气污染物排放标准》（GB37823-2019）表2大气污染物特别排放限值；甲醇排放执行《工业企业挥发性有机物排放控制标准》（DB13/2322-2025）表1“医药制造-药物研发机构”大气污染物浓度限值；臭气浓度执行《恶臭污染物排放标准》（GB14554-93）表2恶臭污染物排放标准值。</w:t>
      </w:r>
    </w:p>
    <w:p w14:paraId="0F4F3A4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无组织非甲烷总烃排放执行《工业企业挥发性有机物排放控制标准》（DB13/2322-2025）表2厂区内挥发性有机物无组织排放限值、《大气污染物综合排放标准》（GB16297-1996）表2标准；厂界甲醇排放执行《工业企业挥发性有机物排放控制标准》（DB13/2322-2025）表3企业边界挥发性有机物浓度限值；臭气浓度排放执行《恶臭污染物排放标准》（GB14554-93）表1新扩改建二级标准。</w:t>
      </w:r>
    </w:p>
    <w:p w14:paraId="1BBAA96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2、废水排放执行《污水综合排放标准》（GB8978-1996）表4三级标准及石家庄高新污水处理服务有限公司（石家庄高新第一污水处理厂）污水排放协议中标准要求。</w:t>
      </w:r>
    </w:p>
    <w:p w14:paraId="1EE8699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w:t>
      </w:r>
      <w:r>
        <w:rPr>
          <w:rFonts w:hint="eastAsia" w:ascii="仿宋_GB2312" w:eastAsia="仿宋_GB2312"/>
          <w:sz w:val="32"/>
          <w:szCs w:val="32"/>
          <w:lang w:val="en-US" w:eastAsia="zh-CN"/>
        </w:rPr>
        <w:t>厂界噪声满足《工业企业厂界环境噪声排放标准》（GB12348-2008）中3类标准要求。</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参照执行《河北省固体废物污染环境防治条例》“第四章 生活垃圾”中相关要求。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5999FE34">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区域一（实验室1、实验室2、分析室、检测室、干燥间、操作间）废气分别经集气罩/通风室/通风橱收集，由通风管道引至1套二级活性炭吸附设备处理后，通过1根27m高排气筒（DA001）排放；区域二（实验室3、实验室4、药品室、危废间）废气分别经集气罩/通风橱收集，由通风管道引至1套二级活性炭吸附设备处理后，通过1根27m高排气筒（DA002）排放。</w:t>
      </w:r>
    </w:p>
    <w:p w14:paraId="3DE1A0BB">
      <w:pPr>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sz w:val="32"/>
          <w:szCs w:val="32"/>
          <w:lang w:val="en-US" w:eastAsia="zh-CN"/>
        </w:rPr>
        <w:t>2、实验过程废液和前两次实验器材清洗废水作为危废处置。水浴加热排水、抽真空设备排水、实验器材清洗废水（除前两次清洗废水）、间接冷却排水排水京石协作创新示范园污水处理站（采用“水解酸化+A/O+絮凝沉淀+消毒”处理工艺）处理，再与经京石协作创新示范园化粪池处理的生活污水一并通过市政管网排入石家庄高新污水处理服务有限公司（石家庄高新第一污水处理厂）进一步处理</w:t>
      </w:r>
      <w:r>
        <w:rPr>
          <w:rFonts w:hint="eastAsia" w:ascii="仿宋_GB2312" w:eastAsia="仿宋_GB2312" w:cs="Times New Roman"/>
          <w:sz w:val="32"/>
          <w:szCs w:val="32"/>
          <w:lang w:val="en-US" w:eastAsia="zh-CN"/>
        </w:rPr>
        <w:t>。</w:t>
      </w:r>
    </w:p>
    <w:p w14:paraId="23B1A7FE">
      <w:pPr>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3、运营期噪声主要来自实验设备、泵和风机等设备噪声。采取选用低噪声设备，基础减振，合理布局，加强设备维护、保养等措施。</w:t>
      </w:r>
    </w:p>
    <w:p w14:paraId="6BDA15DD">
      <w:pPr>
        <w:numPr>
          <w:ilvl w:val="0"/>
          <w:numId w:val="3"/>
        </w:numPr>
        <w:ind w:firstLine="640" w:firstLineChars="200"/>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未沾染药剂的废包装暂存于一般固体废物暂存区，收集后外售处理。前两次实验器材清洗废水、实验废液、沾染药剂的废包装、废过滤材料及废滤渣、废活性炭、其他沾染药剂的废物暂存于危废暂存间，委托有资质的单位处理。</w:t>
      </w:r>
    </w:p>
    <w:p w14:paraId="6C8345F1">
      <w:pPr>
        <w:ind w:firstLine="640" w:firstLineChars="200"/>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abstractNum w:abstractNumId="2">
    <w:nsid w:val="6C83AB30"/>
    <w:multiLevelType w:val="singleLevel"/>
    <w:tmpl w:val="6C83AB30"/>
    <w:lvl w:ilvl="0" w:tentative="0">
      <w:start w:val="4"/>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8D5EAE"/>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7E7891"/>
    <w:rsid w:val="52C91A68"/>
    <w:rsid w:val="52CA1EB9"/>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044A5"/>
    <w:rsid w:val="6E49106A"/>
    <w:rsid w:val="6E6C2864"/>
    <w:rsid w:val="6E775D3B"/>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BA1ED7"/>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1947</Words>
  <Characters>2082</Characters>
  <Lines>41</Lines>
  <Paragraphs>11</Paragraphs>
  <TotalTime>4</TotalTime>
  <ScaleCrop>false</ScaleCrop>
  <LinksUpToDate>false</LinksUpToDate>
  <CharactersWithSpaces>6704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2026-04-22T02:26:38Z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