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F6F29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高新区社会发展局</w:t>
      </w:r>
    </w:p>
    <w:p w14:paraId="534CC17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涉企行政检查频次上限</w:t>
      </w:r>
    </w:p>
    <w:p w14:paraId="1A8E067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Theme="majorEastAsia" w:hAnsiTheme="majorEastAsia" w:eastAsiaTheme="majorEastAsia" w:cstheme="majorEastAsia"/>
          <w:b/>
          <w:bCs/>
          <w:sz w:val="44"/>
          <w:szCs w:val="44"/>
          <w:lang w:val="en-US" w:eastAsia="zh-CN"/>
        </w:rPr>
      </w:pPr>
    </w:p>
    <w:p w14:paraId="5CF48D35">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both"/>
        <w:textAlignment w:val="auto"/>
        <w:rPr>
          <w:rFonts w:hint="eastAsia" w:ascii="国标黑体" w:hAnsi="国标黑体" w:eastAsia="国标黑体" w:cs="国标黑体"/>
          <w:sz w:val="32"/>
          <w:szCs w:val="32"/>
          <w:lang w:val="en-US" w:eastAsia="zh-CN"/>
        </w:rPr>
      </w:pPr>
      <w:r>
        <w:rPr>
          <w:rFonts w:hint="eastAsia" w:ascii="国标黑体" w:hAnsi="国标黑体" w:eastAsia="国标黑体" w:cs="国标黑体"/>
          <w:sz w:val="32"/>
          <w:szCs w:val="32"/>
          <w:lang w:val="en-US" w:eastAsia="zh-CN"/>
        </w:rPr>
        <w:t>卫生健康领域</w:t>
      </w:r>
    </w:p>
    <w:p w14:paraId="07A1FF4A">
      <w:pPr>
        <w:pStyle w:val="2"/>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高新区</w:t>
      </w:r>
      <w:r>
        <w:rPr>
          <w:rFonts w:hint="eastAsia" w:ascii="仿宋_GB2312" w:hAnsi="仿宋_GB2312" w:eastAsia="仿宋_GB2312" w:cs="仿宋_GB2312"/>
          <w:sz w:val="32"/>
          <w:szCs w:val="32"/>
        </w:rPr>
        <w:t>卫生健康领域同一行政机关对同一企业实施行政检查的年度频次上限为4次。投诉举报、转办交办、数据监测等线索确需实施行政检查，或者应企业申请实施行政检查的，不受频次上限限制。</w:t>
      </w:r>
    </w:p>
    <w:p w14:paraId="6E93266D">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rPr>
          <w:rFonts w:hint="eastAsia" w:ascii="国标黑体" w:hAnsi="国标黑体" w:eastAsia="国标黑体" w:cs="国标黑体"/>
          <w:sz w:val="32"/>
          <w:szCs w:val="32"/>
          <w:lang w:eastAsia="zh-CN"/>
        </w:rPr>
      </w:pPr>
      <w:r>
        <w:rPr>
          <w:rFonts w:hint="eastAsia" w:ascii="国标黑体" w:hAnsi="国标黑体" w:eastAsia="国标黑体" w:cs="国标黑体"/>
          <w:sz w:val="32"/>
          <w:szCs w:val="32"/>
          <w:lang w:eastAsia="zh-CN"/>
        </w:rPr>
        <w:t>民政领域</w:t>
      </w:r>
    </w:p>
    <w:p w14:paraId="473939A1">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同一民政部门对同一养老机构实施行政检查频次一年内（自然年）不超过4次（不含监督复查、专项检查，不含根据投诉举报、转办交办、数据监测等线索确需实施的行政检查，不含应机构申请实施的行政检查），抽查时间间隔至少三个月。</w:t>
      </w:r>
    </w:p>
    <w:p w14:paraId="6B95585B">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_GB2312" w:hAnsi="仿宋_GB2312" w:eastAsia="仿宋_GB2312" w:cs="仿宋_GB2312"/>
          <w:sz w:val="32"/>
          <w:szCs w:val="32"/>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国标黑体">
    <w:panose1 w:val="020005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7E84AD"/>
    <w:multiLevelType w:val="singleLevel"/>
    <w:tmpl w:val="5B7E84A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525A04"/>
    <w:rsid w:val="150B39A5"/>
    <w:rsid w:val="53ED126F"/>
    <w:rsid w:val="60DB1C73"/>
    <w:rsid w:val="6EF57254"/>
    <w:rsid w:val="BFB60D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2025-05-27T07:18:00Z</dcterms:created>
  <dc:creator>Administrator</dc:creator>
  <cp:lastModifiedBy>hll</cp:lastModifiedBy>
  <dcterms:modified xsi:type="dcterms:W3CDTF">2026-04-13T09:34:21Z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56B7350456C40F1307A0D869DBAD1987_43</vt:lpwstr>
  </property>
</Properties>
</file>