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BD9A3F8">
      <w:pPr>
        <w:rPr>
          <w:rFonts w:hint="eastAsia"/>
          <w:lang w:val="en-US" w:eastAsia="zh-CN"/>
        </w:rPr>
      </w:pPr>
      <w:r>
        <w:rPr>
          <w:rFonts w:hint="eastAsia"/>
        </w:rPr>
        <w:t>石家庄天壕新能源有限公司天壕新能源多能互补分布式能源中心项目</w:t>
      </w:r>
      <w:r>
        <w:rPr>
          <w:rFonts w:hint="eastAsia"/>
          <w:lang w:val="en-US" w:eastAsia="zh-CN"/>
        </w:rPr>
        <w:t>基本情况</w:t>
      </w:r>
    </w:p>
    <w:p w14:paraId="02A2D0A1">
      <w:pPr>
        <w:rPr>
          <w:rFonts w:hint="eastAsia"/>
          <w:lang w:val="en-US" w:eastAsia="zh-CN"/>
        </w:rPr>
      </w:pPr>
    </w:p>
    <w:p w14:paraId="22A83642">
      <w:pPr>
        <w:pStyle w:val="7"/>
        <w:spacing w:line="500" w:lineRule="exact"/>
        <w:ind w:firstLine="480"/>
        <w:rPr>
          <w:color w:val="EE0000"/>
        </w:rPr>
      </w:pPr>
      <w:r>
        <w:rPr>
          <w:color w:val="EE0000"/>
        </w:rPr>
        <w:t>为满足石家庄高新区循环化工园区新增供电、供热需求，石家庄天壕新能源有限公司拟投资75569.59万元在石家庄市高新区循环化工园区工业大街和化工南路交口东南角建设天壕新能源多能互补分布式能源中心项目。</w:t>
      </w:r>
    </w:p>
    <w:p w14:paraId="1AC343D4">
      <w:pPr>
        <w:pStyle w:val="7"/>
        <w:spacing w:line="500" w:lineRule="exact"/>
        <w:ind w:firstLine="480"/>
        <w:rPr>
          <w:color w:val="EE0000"/>
        </w:rPr>
      </w:pPr>
      <w:r>
        <w:rPr>
          <w:color w:val="EE0000"/>
        </w:rPr>
        <w:t>根据《国民经济行业分类》（GB/T4754-2017），项目行业类别为“D4417生物质能发电”。生物质能发电指主要利用农业、林业和工业废弃物、甚至城市垃圾为原料，采取直接燃烧或气化等方式的发电活动。包括下列生物质能发电活动：农林废弃物直接燃烧发电；垃圾发电；沼气发电。农林废弃物直接燃烧发电(以农林剩余物、畜禽粪便、城镇生活垃圾、工业有机废液、污水污泥等生物质资源为主要原料，根据当地市场需求灵活配置发电、供热、制冷、燃气供应等多种形式能源产品的高效、环保、分布式能源站；其他生物质能发电。）。</w:t>
      </w:r>
    </w:p>
    <w:p w14:paraId="6C03DE65">
      <w:pPr>
        <w:pStyle w:val="7"/>
        <w:spacing w:line="500" w:lineRule="exact"/>
        <w:ind w:firstLine="480"/>
        <w:rPr>
          <w:color w:val="EE0000"/>
        </w:rPr>
      </w:pPr>
      <w:r>
        <w:rPr>
          <w:color w:val="EE0000"/>
        </w:rPr>
        <w:t>根据《中华人民共和国环境保护法》、《中华人民共和国环境影响评价法》以及《建设项目环境保护管理条例》，项目需要进行环境影响评价。项目属于《建设项目环境影响评价分类管理名录》中的“四十一、电力、热力生产和供应业 89.生物质能发电-利用农林生物质、沼气、垃圾填埋气发电的”，应编制环境影响报告表。石家庄天壕新能源有限公司委托我单位承担该项目的环境影响报告表的编制工作，接受委托后，我单位立即开展了现场踏勘、资料收集等工作，并按照环境影响评价技术导则规定编制完成了该项目环境影响报告表。</w:t>
      </w:r>
    </w:p>
    <w:p w14:paraId="06944D4D">
      <w:pPr>
        <w:pStyle w:val="7"/>
        <w:spacing w:line="500" w:lineRule="exact"/>
        <w:ind w:firstLine="480"/>
        <w:rPr>
          <w:color w:val="000000" w:themeColor="text1"/>
          <w14:textFill>
            <w14:solidFill>
              <w14:schemeClr w14:val="tx1"/>
            </w14:solidFill>
          </w14:textFill>
        </w:rPr>
      </w:pPr>
      <w:r>
        <w:rPr>
          <w:color w:val="000000" w:themeColor="text1"/>
          <w14:textFill>
            <w14:solidFill>
              <w14:schemeClr w14:val="tx1"/>
            </w14:solidFill>
          </w14:textFill>
        </w:rPr>
        <w:t>1、项目基本情况</w:t>
      </w:r>
    </w:p>
    <w:p w14:paraId="026638DA">
      <w:pPr>
        <w:pStyle w:val="7"/>
        <w:spacing w:line="500" w:lineRule="exact"/>
        <w:ind w:firstLine="480"/>
        <w:rPr>
          <w:color w:val="000000" w:themeColor="text1"/>
          <w14:textFill>
            <w14:solidFill>
              <w14:schemeClr w14:val="tx1"/>
            </w14:solidFill>
          </w14:textFill>
        </w:rPr>
      </w:pPr>
      <w:r>
        <w:rPr>
          <w:color w:val="000000" w:themeColor="text1"/>
          <w14:textFill>
            <w14:solidFill>
              <w14:schemeClr w14:val="tx1"/>
            </w14:solidFill>
          </w14:textFill>
        </w:rPr>
        <w:t>（1）项目名称：天壕新能源多能互补分布式能源中心项目</w:t>
      </w:r>
    </w:p>
    <w:p w14:paraId="269FA750">
      <w:pPr>
        <w:pStyle w:val="7"/>
        <w:spacing w:line="500" w:lineRule="exact"/>
        <w:ind w:firstLine="480"/>
        <w:rPr>
          <w:color w:val="000000" w:themeColor="text1"/>
          <w14:textFill>
            <w14:solidFill>
              <w14:schemeClr w14:val="tx1"/>
            </w14:solidFill>
          </w14:textFill>
        </w:rPr>
      </w:pPr>
      <w:r>
        <w:rPr>
          <w:color w:val="000000" w:themeColor="text1"/>
          <w14:textFill>
            <w14:solidFill>
              <w14:schemeClr w14:val="tx1"/>
            </w14:solidFill>
          </w14:textFill>
        </w:rPr>
        <w:t>（2）建设单位：</w:t>
      </w:r>
      <w:bookmarkStart w:id="0" w:name="OLE_LINK14"/>
      <w:r>
        <w:rPr>
          <w:color w:val="000000" w:themeColor="text1"/>
          <w14:textFill>
            <w14:solidFill>
              <w14:schemeClr w14:val="tx1"/>
            </w14:solidFill>
          </w14:textFill>
        </w:rPr>
        <w:t>石家庄天壕新能源有限公司</w:t>
      </w:r>
      <w:bookmarkEnd w:id="0"/>
    </w:p>
    <w:p w14:paraId="55E270AB">
      <w:pPr>
        <w:pStyle w:val="7"/>
        <w:spacing w:line="500" w:lineRule="exact"/>
        <w:ind w:firstLine="480"/>
        <w:rPr>
          <w:color w:val="000000" w:themeColor="text1"/>
          <w14:textFill>
            <w14:solidFill>
              <w14:schemeClr w14:val="tx1"/>
            </w14:solidFill>
          </w14:textFill>
        </w:rPr>
      </w:pPr>
      <w:r>
        <w:rPr>
          <w:color w:val="000000" w:themeColor="text1"/>
          <w14:textFill>
            <w14:solidFill>
              <w14:schemeClr w14:val="tx1"/>
            </w14:solidFill>
          </w14:textFill>
        </w:rPr>
        <w:t>（3）建设性质：新建</w:t>
      </w:r>
    </w:p>
    <w:p w14:paraId="6B094156">
      <w:pPr>
        <w:pStyle w:val="7"/>
        <w:spacing w:line="500" w:lineRule="exact"/>
        <w:ind w:firstLine="480"/>
        <w:rPr>
          <w:color w:val="000000" w:themeColor="text1"/>
          <w14:textFill>
            <w14:solidFill>
              <w14:schemeClr w14:val="tx1"/>
            </w14:solidFill>
          </w14:textFill>
        </w:rPr>
      </w:pPr>
      <w:r>
        <w:rPr>
          <w:color w:val="000000" w:themeColor="text1"/>
          <w14:textFill>
            <w14:solidFill>
              <w14:schemeClr w14:val="tx1"/>
            </w14:solidFill>
          </w14:textFill>
        </w:rPr>
        <w:t>（4）项目投资：项目投资75569.59万元，环保投资为5600万元，占总投资的7.4%。</w:t>
      </w:r>
    </w:p>
    <w:p w14:paraId="5D1C6BB0">
      <w:pPr>
        <w:pStyle w:val="7"/>
        <w:spacing w:line="500" w:lineRule="exact"/>
        <w:ind w:firstLine="480"/>
        <w:rPr>
          <w:color w:val="000000" w:themeColor="text1"/>
          <w14:textFill>
            <w14:solidFill>
              <w14:schemeClr w14:val="tx1"/>
            </w14:solidFill>
          </w14:textFill>
        </w:rPr>
      </w:pPr>
      <w:r>
        <w:rPr>
          <w:color w:val="000000" w:themeColor="text1"/>
          <w14:textFill>
            <w14:solidFill>
              <w14:schemeClr w14:val="tx1"/>
            </w14:solidFill>
          </w14:textFill>
        </w:rPr>
        <w:t>（5）建设地点及四邻关系：本项目位于石家庄市高新区循环化工园区工业大街和化工南路交口东南角，厂区中心地理坐标为东经114度41分13.122秒，北纬37度57分21.225秒。本项目南侧为小路，隔路为空地，东南侧为国家管网集团北京管道公司循化园区分输站。距本项目最近敏感点为项目西侧1450m处任家庄村</w:t>
      </w:r>
      <w:bookmarkStart w:id="1" w:name="OLE_LINK61"/>
      <w:r>
        <w:rPr>
          <w:color w:val="000000" w:themeColor="text1"/>
          <w14:textFill>
            <w14:solidFill>
              <w14:schemeClr w14:val="tx1"/>
            </w14:solidFill>
          </w14:textFill>
        </w:rPr>
        <w:t>。</w:t>
      </w:r>
      <w:bookmarkEnd w:id="1"/>
      <w:r>
        <w:rPr>
          <w:color w:val="000000" w:themeColor="text1"/>
          <w14:textFill>
            <w14:solidFill>
              <w14:schemeClr w14:val="tx1"/>
            </w14:solidFill>
          </w14:textFill>
        </w:rPr>
        <w:t>项目所在地周围没有自然保护区、风景名胜区、生活饮用水水源地等敏感目标，地理位置图见附图1，周边关系图见附图2。</w:t>
      </w:r>
    </w:p>
    <w:p w14:paraId="265C2B10">
      <w:pPr>
        <w:pStyle w:val="7"/>
        <w:spacing w:line="500" w:lineRule="exact"/>
        <w:ind w:firstLine="480"/>
        <w:rPr>
          <w:color w:val="000000" w:themeColor="text1"/>
          <w14:textFill>
            <w14:solidFill>
              <w14:schemeClr w14:val="tx1"/>
            </w14:solidFill>
          </w14:textFill>
        </w:rPr>
      </w:pPr>
      <w:r>
        <w:rPr>
          <w:color w:val="000000" w:themeColor="text1"/>
          <w14:textFill>
            <w14:solidFill>
              <w14:schemeClr w14:val="tx1"/>
            </w14:solidFill>
          </w14:textFill>
        </w:rPr>
        <w:t>（6）建设内容及建设规模：</w:t>
      </w:r>
      <w:bookmarkStart w:id="2" w:name="OLE_LINK63"/>
      <w:r>
        <w:rPr>
          <w:color w:val="000000" w:themeColor="text1"/>
          <w14:textFill>
            <w14:solidFill>
              <w14:schemeClr w14:val="tx1"/>
            </w14:solidFill>
          </w14:textFill>
        </w:rPr>
        <w:t>项目主要建设内容为2×130t/h</w:t>
      </w:r>
      <w:bookmarkStart w:id="3" w:name="OLE_LINK4"/>
      <w:r>
        <w:rPr>
          <w:color w:val="000000" w:themeColor="text1"/>
          <w14:textFill>
            <w14:solidFill>
              <w14:schemeClr w14:val="tx1"/>
            </w14:solidFill>
          </w14:textFill>
        </w:rPr>
        <w:t>高温超高压</w:t>
      </w:r>
      <w:bookmarkEnd w:id="3"/>
      <w:r>
        <w:rPr>
          <w:color w:val="000000" w:themeColor="text1"/>
          <w14:textFill>
            <w14:solidFill>
              <w14:schemeClr w14:val="tx1"/>
            </w14:solidFill>
          </w14:textFill>
        </w:rPr>
        <w:t>生物质循环流化床锅炉+1×25MW抽汽背压式汽轮发电机组+1×130t/h高温超高压天然气锅炉（备用），建设升压站、综合水泵房、冷却塔、烟囱、料棚和上料系统、汽机房、化水车间、灰渣处理系统、废气处理系统、天然气调压站、集中控制室、中控楼及其他附属设施，总建筑面积135329.47m</w:t>
      </w:r>
      <w:r>
        <w:rPr>
          <w:color w:val="000000" w:themeColor="text1"/>
          <w:vertAlign w:val="superscript"/>
          <w14:textFill>
            <w14:solidFill>
              <w14:schemeClr w14:val="tx1"/>
            </w14:solidFill>
          </w14:textFill>
        </w:rPr>
        <w:t>2</w:t>
      </w:r>
      <w:r>
        <w:rPr>
          <w:color w:val="000000" w:themeColor="text1"/>
          <w14:textFill>
            <w14:solidFill>
              <w14:schemeClr w14:val="tx1"/>
            </w14:solidFill>
          </w14:textFill>
        </w:rPr>
        <w:t>。购置生物质循环流化床锅炉、燃气锅炉、汽轮机、发电机、袋式除尘器、天然气调压站、主变压器、过滤器、电动机等设备共计369台（套）。项目建成后，年最大工业供热量约</w:t>
      </w:r>
      <w:bookmarkStart w:id="4" w:name="OLE_LINK208"/>
      <w:r>
        <w:rPr>
          <w:color w:val="000000" w:themeColor="text1"/>
          <w14:textFill>
            <w14:solidFill>
              <w14:schemeClr w14:val="tx1"/>
            </w14:solidFill>
          </w14:textFill>
        </w:rPr>
        <w:t>164.7×10</w:t>
      </w:r>
      <w:r>
        <w:rPr>
          <w:color w:val="000000" w:themeColor="text1"/>
          <w:vertAlign w:val="superscript"/>
          <w14:textFill>
            <w14:solidFill>
              <w14:schemeClr w14:val="tx1"/>
            </w14:solidFill>
          </w14:textFill>
        </w:rPr>
        <w:t>4</w:t>
      </w:r>
      <w:r>
        <w:rPr>
          <w:color w:val="000000" w:themeColor="text1"/>
          <w14:textFill>
            <w14:solidFill>
              <w14:schemeClr w14:val="tx1"/>
            </w14:solidFill>
          </w14:textFill>
        </w:rPr>
        <w:t>吨</w:t>
      </w:r>
      <w:bookmarkEnd w:id="4"/>
      <w:r>
        <w:rPr>
          <w:color w:val="000000" w:themeColor="text1"/>
          <w14:textFill>
            <w14:solidFill>
              <w14:schemeClr w14:val="tx1"/>
            </w14:solidFill>
          </w14:textFill>
        </w:rPr>
        <w:t>蒸汽，年最大发电量约1.992×10</w:t>
      </w:r>
      <w:r>
        <w:rPr>
          <w:color w:val="000000" w:themeColor="text1"/>
          <w:vertAlign w:val="superscript"/>
          <w14:textFill>
            <w14:solidFill>
              <w14:schemeClr w14:val="tx1"/>
            </w14:solidFill>
          </w14:textFill>
        </w:rPr>
        <w:t>8</w:t>
      </w:r>
      <w:r>
        <w:rPr>
          <w:color w:val="000000" w:themeColor="text1"/>
          <w14:textFill>
            <w14:solidFill>
              <w14:schemeClr w14:val="tx1"/>
            </w14:solidFill>
          </w14:textFill>
        </w:rPr>
        <w:t>KWh。</w:t>
      </w:r>
    </w:p>
    <w:bookmarkEnd w:id="2"/>
    <w:p w14:paraId="132E6371">
      <w:pPr>
        <w:rPr>
          <w:color w:val="000000" w:themeColor="text1"/>
          <w14:textFill>
            <w14:solidFill>
              <w14:schemeClr w14:val="tx1"/>
            </w14:solidFill>
          </w14:textFill>
        </w:rPr>
      </w:pPr>
      <w:r>
        <w:rPr>
          <w:color w:val="000000" w:themeColor="text1"/>
          <w14:textFill>
            <w14:solidFill>
              <w14:schemeClr w14:val="tx1"/>
            </w14:solidFill>
          </w14:textFill>
        </w:rPr>
        <w:t>（7）项目劳动定员及工作制度：本项目劳动定员110人，实行4班3运转，每班生产8h，年运行时间365d，其中生物质锅炉定期检修，检修时保证1台运行，单台运行时间7500h/a，备用天然气锅炉在生物质锅炉非检修期突发故障时启用，预计运行时间720h/a，发电机组运行时间8000h/a。</w:t>
      </w:r>
    </w:p>
    <w:p w14:paraId="0889336B">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5、主要原辅材料及能源消耗</w:t>
      </w:r>
    </w:p>
    <w:p w14:paraId="128633FD">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（1）燃料来源及成分</w:t>
      </w:r>
    </w:p>
    <w:p w14:paraId="41853984">
      <w:pPr>
        <w:pStyle w:val="7"/>
        <w:ind w:firstLine="480"/>
        <w:rPr>
          <w:color w:val="000000" w:themeColor="text1"/>
          <w14:textFill>
            <w14:solidFill>
              <w14:schemeClr w14:val="tx1"/>
            </w14:solidFill>
          </w14:textFill>
        </w:rPr>
      </w:pPr>
      <w:r>
        <w:rPr>
          <w:rFonts w:ascii="Cambria Math" w:hAnsi="Cambria Math" w:cs="Cambria Math"/>
          <w:color w:val="000000" w:themeColor="text1"/>
          <w14:textFill>
            <w14:solidFill>
              <w14:schemeClr w14:val="tx1"/>
            </w14:solidFill>
          </w14:textFill>
        </w:rPr>
        <w:t>①</w:t>
      </w:r>
      <w:r>
        <w:rPr>
          <w:color w:val="000000" w:themeColor="text1"/>
          <w14:textFill>
            <w14:solidFill>
              <w14:schemeClr w14:val="tx1"/>
            </w14:solidFill>
          </w14:textFill>
        </w:rPr>
        <w:t>生物质燃料质量要求</w:t>
      </w:r>
    </w:p>
    <w:p w14:paraId="05B7CC4D">
      <w:pPr>
        <w:rPr>
          <w:rFonts w:hint="eastAsia"/>
          <w:color w:val="000000" w:themeColor="text1"/>
          <w:lang w:eastAsia="zh-CN"/>
          <w14:textFill>
            <w14:solidFill>
              <w14:schemeClr w14:val="tx1"/>
            </w14:solidFill>
          </w14:textFill>
        </w:rPr>
      </w:pPr>
      <w:r>
        <w:rPr>
          <w:color w:val="000000" w:themeColor="text1"/>
          <w14:textFill>
            <w14:solidFill>
              <w14:schemeClr w14:val="tx1"/>
            </w14:solidFill>
          </w14:textFill>
        </w:rPr>
        <w:t>项目生物质燃料主要为</w:t>
      </w:r>
      <w:bookmarkStart w:id="5" w:name="OLE_LINK184"/>
      <w:r>
        <w:rPr>
          <w:color w:val="000000" w:themeColor="text1"/>
          <w14:textFill>
            <w14:solidFill>
              <w14:schemeClr w14:val="tx1"/>
            </w14:solidFill>
          </w14:textFill>
        </w:rPr>
        <w:t>芦草秸秆、</w:t>
      </w:r>
      <w:bookmarkEnd w:id="5"/>
      <w:r>
        <w:rPr>
          <w:color w:val="000000" w:themeColor="text1"/>
          <w14:textFill>
            <w14:solidFill>
              <w14:schemeClr w14:val="tx1"/>
            </w14:solidFill>
          </w14:textFill>
        </w:rPr>
        <w:t>干木板、树木枝丫、树皮等生物质散料。参照《生物质锅炉技术规范》（GB/T44906-2024）并结合本项目锅炉相关要求</w:t>
      </w:r>
      <w:r>
        <w:rPr>
          <w:rFonts w:hint="eastAsia"/>
          <w:color w:val="000000" w:themeColor="text1"/>
          <w:lang w:eastAsia="zh-CN"/>
          <w14:textFill>
            <w14:solidFill>
              <w14:schemeClr w14:val="tx1"/>
            </w14:solidFill>
          </w14:textFill>
        </w:rPr>
        <w:t>。</w:t>
      </w:r>
    </w:p>
    <w:p w14:paraId="742A7915">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5、公用工程</w:t>
      </w:r>
    </w:p>
    <w:p w14:paraId="1C74082D">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（1）给水工程</w:t>
      </w:r>
    </w:p>
    <w:p w14:paraId="2A6A6F68">
      <w:pPr>
        <w:pStyle w:val="7"/>
        <w:ind w:firstLine="480"/>
        <w:rPr>
          <w:color w:val="000000" w:themeColor="text1"/>
          <w14:textFill>
            <w14:solidFill>
              <w14:schemeClr w14:val="tx1"/>
            </w14:solidFill>
          </w14:textFill>
        </w:rPr>
      </w:pPr>
      <w:r>
        <w:rPr>
          <w:rFonts w:ascii="Cambria Math" w:hAnsi="Cambria Math" w:cs="Cambria Math"/>
          <w:color w:val="000000" w:themeColor="text1"/>
          <w14:textFill>
            <w14:solidFill>
              <w14:schemeClr w14:val="tx1"/>
            </w14:solidFill>
          </w14:textFill>
        </w:rPr>
        <w:t>①</w:t>
      </w:r>
      <w:r>
        <w:rPr>
          <w:color w:val="000000" w:themeColor="text1"/>
          <w14:textFill>
            <w14:solidFill>
              <w14:schemeClr w14:val="tx1"/>
            </w14:solidFill>
          </w14:textFill>
        </w:rPr>
        <w:t>给水</w:t>
      </w:r>
    </w:p>
    <w:p w14:paraId="7F070C1C">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项目生产用水全部使用中水，园区中水项目预计2026年底建设完成，本项目预计投产时间2027年12月，故能够满足本项目中水使用需求。若本项目投产时，园区中水项目未如期建设完成，本项目使用备用水源-新鲜水，待中水项目建成后使用中水。</w:t>
      </w:r>
    </w:p>
    <w:p w14:paraId="4ED39A4C">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本项目生活用水使用新鲜水，总用水量5.5m</w:t>
      </w:r>
      <w:r>
        <w:rPr>
          <w:color w:val="000000" w:themeColor="text1"/>
          <w:vertAlign w:val="superscript"/>
          <w14:textFill>
            <w14:solidFill>
              <w14:schemeClr w14:val="tx1"/>
            </w14:solidFill>
          </w14:textFill>
        </w:rPr>
        <w:t>3</w:t>
      </w:r>
      <w:r>
        <w:rPr>
          <w:color w:val="000000" w:themeColor="text1"/>
          <w14:textFill>
            <w14:solidFill>
              <w14:schemeClr w14:val="tx1"/>
            </w14:solidFill>
          </w14:textFill>
        </w:rPr>
        <w:t>/d（2007.5m</w:t>
      </w:r>
      <w:r>
        <w:rPr>
          <w:color w:val="000000" w:themeColor="text1"/>
          <w:vertAlign w:val="superscript"/>
          <w14:textFill>
            <w14:solidFill>
              <w14:schemeClr w14:val="tx1"/>
            </w14:solidFill>
          </w14:textFill>
        </w:rPr>
        <w:t>3</w:t>
      </w:r>
      <w:r>
        <w:rPr>
          <w:color w:val="000000" w:themeColor="text1"/>
          <w14:textFill>
            <w14:solidFill>
              <w14:schemeClr w14:val="tx1"/>
            </w14:solidFill>
          </w14:textFill>
        </w:rPr>
        <w:t>/a），包括职工日常生活用水和食堂用水。</w:t>
      </w:r>
    </w:p>
    <w:p w14:paraId="4F4FE736">
      <w:pPr>
        <w:rPr>
          <w:color w:val="000000" w:themeColor="text1"/>
          <w14:textFill>
            <w14:solidFill>
              <w14:schemeClr w14:val="tx1"/>
            </w14:solidFill>
          </w14:textFill>
        </w:rPr>
      </w:pPr>
      <w:r>
        <w:rPr>
          <w:color w:val="000000" w:themeColor="text1"/>
          <w14:textFill>
            <w14:solidFill>
              <w14:schemeClr w14:val="tx1"/>
            </w14:solidFill>
          </w14:textFill>
        </w:rPr>
        <w:t>本项目生产用水全部使用中水，中水由园区中水管网提供</w:t>
      </w:r>
      <w:bookmarkStart w:id="6" w:name="OLE_LINK65"/>
      <w:r>
        <w:rPr>
          <w:color w:val="000000" w:themeColor="text1"/>
          <w14:textFill>
            <w14:solidFill>
              <w14:schemeClr w14:val="tx1"/>
            </w14:solidFill>
          </w14:textFill>
        </w:rPr>
        <w:t>，中水用量夏季3</w:t>
      </w:r>
      <w:r>
        <w:rPr>
          <w:rFonts w:hint="eastAsia"/>
          <w:color w:val="000000" w:themeColor="text1"/>
          <w14:textFill>
            <w14:solidFill>
              <w14:schemeClr w14:val="tx1"/>
            </w14:solidFill>
          </w14:textFill>
        </w:rPr>
        <w:t>738</w:t>
      </w:r>
      <w:r>
        <w:rPr>
          <w:color w:val="000000" w:themeColor="text1"/>
          <w14:textFill>
            <w14:solidFill>
              <w14:schemeClr w14:val="tx1"/>
            </w14:solidFill>
          </w14:textFill>
        </w:rPr>
        <w:t>.</w:t>
      </w:r>
      <w:r>
        <w:rPr>
          <w:rFonts w:hint="eastAsia"/>
          <w:color w:val="000000" w:themeColor="text1"/>
          <w14:textFill>
            <w14:solidFill>
              <w14:schemeClr w14:val="tx1"/>
            </w14:solidFill>
          </w14:textFill>
        </w:rPr>
        <w:t>3</w:t>
      </w:r>
      <w:r>
        <w:rPr>
          <w:color w:val="000000" w:themeColor="text1"/>
          <w14:textFill>
            <w14:solidFill>
              <w14:schemeClr w14:val="tx1"/>
            </w14:solidFill>
          </w14:textFill>
        </w:rPr>
        <w:t>6m</w:t>
      </w:r>
      <w:r>
        <w:rPr>
          <w:color w:val="000000" w:themeColor="text1"/>
          <w:vertAlign w:val="superscript"/>
          <w14:textFill>
            <w14:solidFill>
              <w14:schemeClr w14:val="tx1"/>
            </w14:solidFill>
          </w14:textFill>
        </w:rPr>
        <w:t>3</w:t>
      </w:r>
      <w:r>
        <w:rPr>
          <w:color w:val="000000" w:themeColor="text1"/>
          <w14:textFill>
            <w14:solidFill>
              <w14:schemeClr w14:val="tx1"/>
            </w14:solidFill>
          </w14:textFill>
        </w:rPr>
        <w:t>/d，夏季按245d计，冬季37</w:t>
      </w:r>
      <w:r>
        <w:rPr>
          <w:rFonts w:hint="eastAsia"/>
          <w:color w:val="000000" w:themeColor="text1"/>
          <w14:textFill>
            <w14:solidFill>
              <w14:schemeClr w14:val="tx1"/>
            </w14:solidFill>
          </w14:textFill>
        </w:rPr>
        <w:t>16</w:t>
      </w:r>
      <w:r>
        <w:rPr>
          <w:color w:val="000000" w:themeColor="text1"/>
          <w14:textFill>
            <w14:solidFill>
              <w14:schemeClr w14:val="tx1"/>
            </w14:solidFill>
          </w14:textFill>
        </w:rPr>
        <w:t>.2m</w:t>
      </w:r>
      <w:r>
        <w:rPr>
          <w:color w:val="000000" w:themeColor="text1"/>
          <w:vertAlign w:val="superscript"/>
          <w14:textFill>
            <w14:solidFill>
              <w14:schemeClr w14:val="tx1"/>
            </w14:solidFill>
          </w14:textFill>
        </w:rPr>
        <w:t>3</w:t>
      </w:r>
      <w:r>
        <w:rPr>
          <w:color w:val="000000" w:themeColor="text1"/>
          <w14:textFill>
            <w14:solidFill>
              <w14:schemeClr w14:val="tx1"/>
            </w14:solidFill>
          </w14:textFill>
        </w:rPr>
        <w:t>/d，冬季按120d计，则项目中水用量</w:t>
      </w:r>
      <w:bookmarkStart w:id="7" w:name="OLE_LINK191"/>
      <w:bookmarkStart w:id="8" w:name="OLE_LINK112"/>
      <w:r>
        <w:rPr>
          <w:color w:val="000000" w:themeColor="text1"/>
          <w14:textFill>
            <w14:solidFill>
              <w14:schemeClr w14:val="tx1"/>
            </w14:solidFill>
          </w14:textFill>
        </w:rPr>
        <w:t>13</w:t>
      </w:r>
      <w:bookmarkEnd w:id="7"/>
      <w:r>
        <w:rPr>
          <w:rFonts w:hint="eastAsia"/>
          <w:color w:val="000000" w:themeColor="text1"/>
          <w14:textFill>
            <w14:solidFill>
              <w14:schemeClr w14:val="tx1"/>
            </w14:solidFill>
          </w14:textFill>
        </w:rPr>
        <w:t>6</w:t>
      </w:r>
      <w:bookmarkEnd w:id="8"/>
      <w:r>
        <w:rPr>
          <w:rFonts w:hint="eastAsia"/>
          <w:color w:val="000000" w:themeColor="text1"/>
          <w14:textFill>
            <w14:solidFill>
              <w14:schemeClr w14:val="tx1"/>
            </w14:solidFill>
          </w14:textFill>
        </w:rPr>
        <w:t>1940.2</w:t>
      </w:r>
      <w:r>
        <w:rPr>
          <w:color w:val="000000" w:themeColor="text1"/>
          <w14:textFill>
            <w14:solidFill>
              <w14:schemeClr w14:val="tx1"/>
            </w14:solidFill>
          </w14:textFill>
        </w:rPr>
        <w:t>m</w:t>
      </w:r>
      <w:r>
        <w:rPr>
          <w:color w:val="000000" w:themeColor="text1"/>
          <w:vertAlign w:val="superscript"/>
          <w14:textFill>
            <w14:solidFill>
              <w14:schemeClr w14:val="tx1"/>
            </w14:solidFill>
          </w14:textFill>
        </w:rPr>
        <w:t>3</w:t>
      </w:r>
      <w:r>
        <w:rPr>
          <w:color w:val="000000" w:themeColor="text1"/>
          <w14:textFill>
            <w14:solidFill>
              <w14:schemeClr w14:val="tx1"/>
            </w14:solidFill>
          </w14:textFill>
        </w:rPr>
        <w:t>/a。</w:t>
      </w:r>
      <w:bookmarkEnd w:id="6"/>
    </w:p>
    <w:p w14:paraId="50957BA8">
      <w:pPr>
        <w:pStyle w:val="7"/>
        <w:spacing w:line="440" w:lineRule="exact"/>
        <w:ind w:firstLine="480"/>
        <w:rPr>
          <w:color w:val="000000" w:themeColor="text1"/>
          <w14:textFill>
            <w14:solidFill>
              <w14:schemeClr w14:val="tx1"/>
            </w14:solidFill>
          </w14:textFill>
        </w:rPr>
      </w:pPr>
      <w:r>
        <w:rPr>
          <w:rFonts w:ascii="Cambria Math" w:hAnsi="Cambria Math" w:cs="Cambria Math"/>
          <w:color w:val="000000" w:themeColor="text1"/>
          <w14:textFill>
            <w14:solidFill>
              <w14:schemeClr w14:val="tx1"/>
            </w14:solidFill>
          </w14:textFill>
        </w:rPr>
        <w:t>②</w:t>
      </w:r>
      <w:r>
        <w:rPr>
          <w:color w:val="000000" w:themeColor="text1"/>
          <w14:textFill>
            <w14:solidFill>
              <w14:schemeClr w14:val="tx1"/>
            </w14:solidFill>
          </w14:textFill>
        </w:rPr>
        <w:t>排水</w:t>
      </w:r>
    </w:p>
    <w:p w14:paraId="36864396">
      <w:pPr>
        <w:rPr>
          <w:color w:val="000000" w:themeColor="text1"/>
          <w14:textFill>
            <w14:solidFill>
              <w14:schemeClr w14:val="tx1"/>
            </w14:solidFill>
          </w14:textFill>
        </w:rPr>
      </w:pPr>
      <w:r>
        <w:rPr>
          <w:color w:val="000000" w:themeColor="text1"/>
          <w14:textFill>
            <w14:solidFill>
              <w14:schemeClr w14:val="tx1"/>
            </w14:solidFill>
          </w14:textFill>
        </w:rPr>
        <w:t>本项目</w:t>
      </w:r>
      <w:bookmarkStart w:id="9" w:name="OLE_LINK206"/>
      <w:r>
        <w:rPr>
          <w:color w:val="000000" w:themeColor="text1"/>
          <w14:textFill>
            <w14:solidFill>
              <w14:schemeClr w14:val="tx1"/>
            </w14:solidFill>
          </w14:textFill>
        </w:rPr>
        <w:t>化学水处理系统废水</w:t>
      </w:r>
      <w:bookmarkEnd w:id="9"/>
      <w:r>
        <w:rPr>
          <w:color w:val="000000" w:themeColor="text1"/>
          <w14:textFill>
            <w14:solidFill>
              <w14:schemeClr w14:val="tx1"/>
            </w14:solidFill>
          </w14:textFill>
        </w:rPr>
        <w:t>产生量856.4</w:t>
      </w:r>
      <w:bookmarkStart w:id="10" w:name="OLE_LINK201"/>
      <w:bookmarkStart w:id="11" w:name="OLE_LINK205"/>
      <w:r>
        <w:rPr>
          <w:color w:val="000000" w:themeColor="text1"/>
          <w14:textFill>
            <w14:solidFill>
              <w14:schemeClr w14:val="tx1"/>
            </w14:solidFill>
          </w14:textFill>
        </w:rPr>
        <w:t>m</w:t>
      </w:r>
      <w:r>
        <w:rPr>
          <w:color w:val="000000" w:themeColor="text1"/>
          <w:vertAlign w:val="superscript"/>
          <w14:textFill>
            <w14:solidFill>
              <w14:schemeClr w14:val="tx1"/>
            </w14:solidFill>
          </w14:textFill>
        </w:rPr>
        <w:t>3</w:t>
      </w:r>
      <w:r>
        <w:rPr>
          <w:color w:val="000000" w:themeColor="text1"/>
          <w14:textFill>
            <w14:solidFill>
              <w14:schemeClr w14:val="tx1"/>
            </w14:solidFill>
          </w14:textFill>
        </w:rPr>
        <w:t>/d</w:t>
      </w:r>
      <w:bookmarkEnd w:id="10"/>
      <w:bookmarkEnd w:id="11"/>
      <w:r>
        <w:rPr>
          <w:color w:val="000000" w:themeColor="text1"/>
          <w14:textFill>
            <w14:solidFill>
              <w14:schemeClr w14:val="tx1"/>
            </w14:solidFill>
          </w14:textFill>
        </w:rPr>
        <w:t>，锅炉排污水15m</w:t>
      </w:r>
      <w:r>
        <w:rPr>
          <w:color w:val="000000" w:themeColor="text1"/>
          <w:vertAlign w:val="superscript"/>
          <w14:textFill>
            <w14:solidFill>
              <w14:schemeClr w14:val="tx1"/>
            </w14:solidFill>
          </w14:textFill>
        </w:rPr>
        <w:t>3</w:t>
      </w:r>
      <w:r>
        <w:rPr>
          <w:color w:val="000000" w:themeColor="text1"/>
          <w14:textFill>
            <w14:solidFill>
              <w14:schemeClr w14:val="tx1"/>
            </w14:solidFill>
          </w14:textFill>
        </w:rPr>
        <w:t>/d；循环冷却塔排水60.22（54.7）m</w:t>
      </w:r>
      <w:r>
        <w:rPr>
          <w:color w:val="000000" w:themeColor="text1"/>
          <w:vertAlign w:val="superscript"/>
          <w14:textFill>
            <w14:solidFill>
              <w14:schemeClr w14:val="tx1"/>
            </w14:solidFill>
          </w14:textFill>
        </w:rPr>
        <w:t>3</w:t>
      </w:r>
      <w:r>
        <w:rPr>
          <w:color w:val="000000" w:themeColor="text1"/>
          <w14:textFill>
            <w14:solidFill>
              <w14:schemeClr w14:val="tx1"/>
            </w14:solidFill>
          </w14:textFill>
        </w:rPr>
        <w:t>/d，职工生活污水和食堂废水排水量4.4</w:t>
      </w:r>
      <w:r>
        <w:rPr>
          <w:color w:val="000000" w:themeColor="text1"/>
          <w:sz w:val="21"/>
          <w:szCs w:val="24"/>
          <w14:textFill>
            <w14:solidFill>
              <w14:schemeClr w14:val="tx1"/>
            </w14:solidFill>
          </w14:textFill>
        </w:rPr>
        <w:t xml:space="preserve"> </w:t>
      </w:r>
      <w:r>
        <w:rPr>
          <w:color w:val="000000" w:themeColor="text1"/>
          <w14:textFill>
            <w14:solidFill>
              <w14:schemeClr w14:val="tx1"/>
            </w14:solidFill>
          </w14:textFill>
        </w:rPr>
        <w:t>m</w:t>
      </w:r>
      <w:r>
        <w:rPr>
          <w:color w:val="000000" w:themeColor="text1"/>
          <w:vertAlign w:val="superscript"/>
          <w14:textFill>
            <w14:solidFill>
              <w14:schemeClr w14:val="tx1"/>
            </w14:solidFill>
          </w14:textFill>
        </w:rPr>
        <w:t>3</w:t>
      </w:r>
      <w:r>
        <w:rPr>
          <w:color w:val="000000" w:themeColor="text1"/>
          <w14:textFill>
            <w14:solidFill>
              <w14:schemeClr w14:val="tx1"/>
            </w14:solidFill>
          </w14:textFill>
        </w:rPr>
        <w:t>/d。食堂废水经隔油池处理后与职工生活污水经化粪池处理然后与循环冷却塔排水、锅炉排污水、化学水处理系统废水通过厂区总排口排入石家庄良村南污水处理厂，夏季废水排放量为936.02m</w:t>
      </w:r>
      <w:r>
        <w:rPr>
          <w:color w:val="000000" w:themeColor="text1"/>
          <w:vertAlign w:val="superscript"/>
          <w14:textFill>
            <w14:solidFill>
              <w14:schemeClr w14:val="tx1"/>
            </w14:solidFill>
          </w14:textFill>
        </w:rPr>
        <w:t>3</w:t>
      </w:r>
      <w:r>
        <w:rPr>
          <w:color w:val="000000" w:themeColor="text1"/>
          <w14:textFill>
            <w14:solidFill>
              <w14:schemeClr w14:val="tx1"/>
            </w14:solidFill>
          </w14:textFill>
        </w:rPr>
        <w:t>/d，冬季废水排放量为930.5m</w:t>
      </w:r>
      <w:r>
        <w:rPr>
          <w:color w:val="000000" w:themeColor="text1"/>
          <w:vertAlign w:val="superscript"/>
          <w14:textFill>
            <w14:solidFill>
              <w14:schemeClr w14:val="tx1"/>
            </w14:solidFill>
          </w14:textFill>
        </w:rPr>
        <w:t>3</w:t>
      </w:r>
      <w:r>
        <w:rPr>
          <w:color w:val="000000" w:themeColor="text1"/>
          <w14:textFill>
            <w14:solidFill>
              <w14:schemeClr w14:val="tx1"/>
            </w14:solidFill>
          </w14:textFill>
        </w:rPr>
        <w:t>/d，废水总排放量为340984.9m</w:t>
      </w:r>
      <w:r>
        <w:rPr>
          <w:color w:val="000000" w:themeColor="text1"/>
          <w:vertAlign w:val="superscript"/>
          <w14:textFill>
            <w14:solidFill>
              <w14:schemeClr w14:val="tx1"/>
            </w14:solidFill>
          </w14:textFill>
        </w:rPr>
        <w:t>3</w:t>
      </w:r>
      <w:r>
        <w:rPr>
          <w:color w:val="000000" w:themeColor="text1"/>
          <w14:textFill>
            <w14:solidFill>
              <w14:schemeClr w14:val="tx1"/>
            </w14:solidFill>
          </w14:textFill>
        </w:rPr>
        <w:t>/a。</w:t>
      </w:r>
    </w:p>
    <w:p w14:paraId="2C26D9FC">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（2）供电</w:t>
      </w:r>
    </w:p>
    <w:p w14:paraId="698565A5">
      <w:pPr>
        <w:pStyle w:val="7"/>
        <w:ind w:firstLine="480"/>
        <w:rPr>
          <w:color w:val="000000" w:themeColor="text1"/>
          <w14:textFill>
            <w14:solidFill>
              <w14:schemeClr w14:val="tx1"/>
            </w14:solidFill>
          </w14:textFill>
        </w:rPr>
      </w:pPr>
      <w:bookmarkStart w:id="12" w:name="OLE_LINK67"/>
      <w:r>
        <w:rPr>
          <w:color w:val="000000" w:themeColor="text1"/>
          <w14:textFill>
            <w14:solidFill>
              <w14:schemeClr w14:val="tx1"/>
            </w14:solidFill>
          </w14:textFill>
        </w:rPr>
        <w:t>项目总用电量约为</w:t>
      </w:r>
      <w:bookmarkStart w:id="13" w:name="OLE_LINK10"/>
      <w:r>
        <w:rPr>
          <w:color w:val="000000" w:themeColor="text1"/>
          <w14:textFill>
            <w14:solidFill>
              <w14:schemeClr w14:val="tx1"/>
            </w14:solidFill>
          </w14:textFill>
        </w:rPr>
        <w:t>3615万kWh/a</w:t>
      </w:r>
      <w:bookmarkEnd w:id="13"/>
      <w:r>
        <w:rPr>
          <w:color w:val="000000" w:themeColor="text1"/>
          <w14:textFill>
            <w14:solidFill>
              <w14:schemeClr w14:val="tx1"/>
            </w14:solidFill>
          </w14:textFill>
        </w:rPr>
        <w:t>。项目用电由本项目发电机组提供，能够满足项目需要。</w:t>
      </w:r>
    </w:p>
    <w:bookmarkEnd w:id="12"/>
    <w:p w14:paraId="3D99679F">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（3）供热</w:t>
      </w:r>
    </w:p>
    <w:p w14:paraId="1A4E97EA">
      <w:pPr>
        <w:rPr>
          <w:color w:val="000000" w:themeColor="text1"/>
          <w14:textFill>
            <w14:solidFill>
              <w14:schemeClr w14:val="tx1"/>
            </w14:solidFill>
          </w14:textFill>
        </w:rPr>
      </w:pPr>
      <w:bookmarkStart w:id="14" w:name="OLE_LINK68"/>
      <w:r>
        <w:rPr>
          <w:color w:val="000000" w:themeColor="text1"/>
          <w14:textFill>
            <w14:solidFill>
              <w14:schemeClr w14:val="tx1"/>
            </w14:solidFill>
          </w14:textFill>
        </w:rPr>
        <w:t>本项目冬季办公采暖由本项目锅炉提供。</w:t>
      </w:r>
      <w:bookmarkEnd w:id="14"/>
    </w:p>
    <w:p w14:paraId="1B795334">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本项目总量控制指标如下：COD：13.639t/a；NH</w:t>
      </w:r>
      <w:r>
        <w:rPr>
          <w:color w:val="000000" w:themeColor="text1"/>
          <w:vertAlign w:val="subscript"/>
          <w14:textFill>
            <w14:solidFill>
              <w14:schemeClr w14:val="tx1"/>
            </w14:solidFill>
          </w14:textFill>
        </w:rPr>
        <w:t>3</w:t>
      </w:r>
      <w:r>
        <w:rPr>
          <w:color w:val="000000" w:themeColor="text1"/>
          <w14:textFill>
            <w14:solidFill>
              <w14:schemeClr w14:val="tx1"/>
            </w14:solidFill>
          </w14:textFill>
        </w:rPr>
        <w:t>-N：0.682t/a；SO</w:t>
      </w:r>
      <w:r>
        <w:rPr>
          <w:color w:val="000000" w:themeColor="text1"/>
          <w:vertAlign w:val="subscript"/>
          <w14:textFill>
            <w14:solidFill>
              <w14:schemeClr w14:val="tx1"/>
            </w14:solidFill>
          </w14:textFill>
        </w:rPr>
        <w:t xml:space="preserve">2 </w:t>
      </w:r>
      <w:r>
        <w:rPr>
          <w:color w:val="000000" w:themeColor="text1"/>
          <w14:textFill>
            <w14:solidFill>
              <w14:schemeClr w14:val="tx1"/>
            </w14:solidFill>
          </w14:textFill>
        </w:rPr>
        <w:t>21.741t/a、NO</w:t>
      </w:r>
      <w:r>
        <w:rPr>
          <w:color w:val="000000" w:themeColor="text1"/>
          <w:vertAlign w:val="subscript"/>
          <w14:textFill>
            <w14:solidFill>
              <w14:schemeClr w14:val="tx1"/>
            </w14:solidFill>
          </w14:textFill>
        </w:rPr>
        <w:t>X</w:t>
      </w:r>
      <w:r>
        <w:rPr>
          <w:color w:val="000000" w:themeColor="text1"/>
          <w14:textFill>
            <w14:solidFill>
              <w14:schemeClr w14:val="tx1"/>
            </w14:solidFill>
          </w14:textFill>
        </w:rPr>
        <w:t>65.223t/a、颗粒物14.063t/a。</w:t>
      </w:r>
    </w:p>
    <w:p w14:paraId="36CFE183">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根据工程建设内容分析，施工期的环境影响具有短期、可恢复和局地性质，主要体现在施工扬尘和机械产生的噪声、固体废物、施工废水、振动等，以及对生态的环境影响。</w:t>
      </w:r>
    </w:p>
    <w:p w14:paraId="600B1D01">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1、施工扬尘</w:t>
      </w:r>
    </w:p>
    <w:p w14:paraId="256494F8">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为有效控制扬尘污染，本评价要求项目建设及施工单位严格执行《河北省扬尘污染防治办法》（河北省人民政府令〔2020〕第1号）、《施工场地扬尘排放标准》（DB13/2934-2019）、《河北省大气污染防治条例》（2016年1月13日）、《关于印发&lt;河北省建筑施工扬尘治理方案&gt;的通知》（冀建安[2017]9号）、《中共河北省委河北省人民政府关于强化推进大气污染综合治理的意见》（冀发[2017]7号）、《河北省建筑施工扬尘防治强化措施18条》等文件及石家庄市建筑工地扬尘管控实现“七个百分百”、“两个全覆盖”，在施工中必须采取如下措施，来减轻二次扬尘对周围环境的影响：严格落实建筑工地“七个百分之百”，即施工现场100%封闭围挡，砂、石100%覆盖，工地路面100%硬化，施工过程100%洒水，出工地运输车辆100%冲净车轮车身且密闭无洒漏，暂不开发的场地100%绿化，外脚手架安全立网100%；“两个全覆盖”即扬尘在线监控、视频监控安装百分之百。同时，在施工期间需采取以下严格的措施：</w:t>
      </w:r>
    </w:p>
    <w:p w14:paraId="1EB3AD43">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（1）施工现场必须设置硬质围挡，严禁围挡不严或敞开式施工。围挡高度不低于1.8米。</w:t>
      </w:r>
    </w:p>
    <w:p w14:paraId="6E0A9B89">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（2）施工现场出入口和场内主要道路、加工区、办公区、生活区必须混凝土硬化，硬化后的地面应清扫整洁无浮土、积土，严禁使用其他软质材料铺设。</w:t>
      </w:r>
    </w:p>
    <w:p w14:paraId="27FDB974">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（3）施工现场出入口必须配备车辆冲洗设施，建立冲洗制度并设专人管理，严禁车辆带泥上路。</w:t>
      </w:r>
    </w:p>
    <w:p w14:paraId="4BC05328">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（4）施工现场集中堆放的土方和裸露场地必须采取覆盖、固化或绿化等降尘措施，严禁裸露。</w:t>
      </w:r>
    </w:p>
    <w:p w14:paraId="2C431254">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（5）施工现场运送土方、渣土的车辆必须封闭或遮盖严密，严禁使用未办理相关手续的渣土等运输车辆，严禁沿路遗撒和随意倾倒。</w:t>
      </w:r>
    </w:p>
    <w:p w14:paraId="2422F077">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（6）施工现场的建筑垃圾必须设置垃圾存放点，集中堆放并严密覆盖，及时清运。生活垃圾应用封闭式容器存放，日产日清，严禁随意丢弃。</w:t>
      </w:r>
    </w:p>
    <w:p w14:paraId="6B6FD7CD">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7）施工现场内的土堆、砂石料等应使用密目安全网等材料进行覆盖，确保封闭严密，固定牢靠。水泥、石灰等易产生扬尘的材料必须入库入罐存放。砂浆搅拌机等机械设备必须搭设安全防护棚，使用密目网进行有效围挡，最大限度地减少粉尘污染。现场要设置喷水降尘设施，遇到干旱季节和大风天气时，要安排专人定时喷水降尘，保持路面清洁湿润。</w:t>
      </w:r>
    </w:p>
    <w:p w14:paraId="3CB6B3C2">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（8）建筑物内清扫垃圾时要洒水抑尘，施工层建筑垃圾必须采用封闭式管道或装袋用垂直升降机械清运，严禁凌空抛掷和焚烧垃圾。</w:t>
      </w:r>
    </w:p>
    <w:p w14:paraId="481ADCB0">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（9）施工企业必须在施工现场安装视频监控系统，对施工扬尘实时监控。</w:t>
      </w:r>
    </w:p>
    <w:p w14:paraId="49912327">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（10）施工现场必须建立洒水清扫抑尘制度，配备洒水设备。每天洒水不少于2次，并有专人负责。重污染天气时相应增加洒水频次。</w:t>
      </w:r>
    </w:p>
    <w:p w14:paraId="5FFE797D">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（11）建筑工程临边防护应用密目式安全立网全封闭，并保持整洁、牢固、无破损。</w:t>
      </w:r>
    </w:p>
    <w:p w14:paraId="4087A6F2">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（12）施工现场必须使用商品混凝土、预拌砂浆，严禁现场搅拌。</w:t>
      </w:r>
    </w:p>
    <w:p w14:paraId="2F1C7964">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（13）施工装修阶段，楼层内的建筑垃圾等物料，必须采用相应容器垂直清运或管道清运，严禁凌空抛掷和乱倒乱卸；外脚手架拆除时应当采取洒水等防尘措施，禁止拍抖密目网造成扬尘。</w:t>
      </w:r>
    </w:p>
    <w:p w14:paraId="7269C53F">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（14）使用的非道路移动机械，必须加装符合环保要求的尾气净化装置。</w:t>
      </w:r>
    </w:p>
    <w:p w14:paraId="5EC0EC82">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同时，为保障项目粉尘防治工作的严格实行，企业应采取以下保障措施，即施工现场必须建立洒水清扫制度，配备洒水设备，并有专人负责；建设单位必须全额拨付安全文明措施费用，施工单位必须专款专用，严格落实施工扬尘治理的各项措施。保证施工期施工场地扬尘排放满足河北省地方标准《施工场地扬尘排放标准》（DB13/2934-2019）表1限值。</w:t>
      </w:r>
    </w:p>
    <w:p w14:paraId="2A3E235A">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通过采取以上抑尘措施后，可最大限度的降低施工扬尘对周围环境的影响，施工期扬尘能满足河北省《施工场地扬尘排放标准》（DB13/2934-2019）表1扬尘排放浓度限值，对周围居民不会产生明显影响。随着施工期的结束以及场区地面的硬化和绿化，施工扬尘影响也将结束。</w:t>
      </w:r>
    </w:p>
    <w:p w14:paraId="2CDEEB4B">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2、施工废水</w:t>
      </w:r>
    </w:p>
    <w:p w14:paraId="7EF56D8A">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项目施工期废水主要为施工人员盥洗废水、施工机械设备及车辆冲洗废水。</w:t>
      </w:r>
    </w:p>
    <w:p w14:paraId="28784A69">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施工人员生活盥洗废水，主要污染物为COD、BOD</w:t>
      </w:r>
      <w:r>
        <w:rPr>
          <w:color w:val="000000" w:themeColor="text1"/>
          <w:vertAlign w:val="subscript"/>
          <w14:textFill>
            <w14:solidFill>
              <w14:schemeClr w14:val="tx1"/>
            </w14:solidFill>
          </w14:textFill>
        </w:rPr>
        <w:t>5</w:t>
      </w:r>
      <w:r>
        <w:rPr>
          <w:color w:val="000000" w:themeColor="text1"/>
          <w14:textFill>
            <w14:solidFill>
              <w14:schemeClr w14:val="tx1"/>
            </w14:solidFill>
          </w14:textFill>
        </w:rPr>
        <w:t>、氨氮、SS等，施工人员生活盥洗废水用于施工场地及道路泼洒抑尘；机械设备及输送车辆的冲洗废水，其主要污染物为SS、石油类，经临时沉淀池沉淀后，用于施工场地、道路泼洒抑尘。</w:t>
      </w:r>
    </w:p>
    <w:p w14:paraId="2C4CB032">
      <w:pPr>
        <w:rPr>
          <w:color w:val="000000" w:themeColor="text1"/>
          <w14:textFill>
            <w14:solidFill>
              <w14:schemeClr w14:val="tx1"/>
            </w14:solidFill>
          </w14:textFill>
        </w:rPr>
      </w:pPr>
      <w:r>
        <w:rPr>
          <w:color w:val="000000" w:themeColor="text1"/>
          <w14:textFill>
            <w14:solidFill>
              <w14:schemeClr w14:val="tx1"/>
            </w14:solidFill>
          </w14:textFill>
        </w:rPr>
        <w:t>综上，本项目施工期人员生活盥洗和机械设备车辆冲洗废水全部用于用于施工场地及道路泼洒抑尘。</w:t>
      </w:r>
    </w:p>
    <w:p w14:paraId="796002E9">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3、施工期噪声</w:t>
      </w:r>
    </w:p>
    <w:p w14:paraId="3935EEF7">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噪声源主要来自施工作业机械，本项目均采用低噪声施工机械，经过类比调查和资料分析，本项目昼间施工噪声距施工机械10m外满足《建筑施工噪声排放标准》（GB12523-2025）标准，夜间施工噪声距施工机械</w:t>
      </w:r>
      <w:r>
        <w:rPr>
          <w:color w:val="000000" w:themeColor="text1"/>
          <w:spacing w:val="-55"/>
          <w14:textFill>
            <w14:solidFill>
              <w14:schemeClr w14:val="tx1"/>
            </w14:solidFill>
          </w14:textFill>
        </w:rPr>
        <w:t xml:space="preserve"> </w:t>
      </w:r>
      <w:r>
        <w:rPr>
          <w:rFonts w:eastAsia="Times New Roman"/>
          <w:color w:val="000000" w:themeColor="text1"/>
          <w14:textFill>
            <w14:solidFill>
              <w14:schemeClr w14:val="tx1"/>
            </w14:solidFill>
          </w14:textFill>
        </w:rPr>
        <w:t>30m</w:t>
      </w:r>
      <w:r>
        <w:rPr>
          <w:color w:val="000000" w:themeColor="text1"/>
          <w14:textFill>
            <w14:solidFill>
              <w14:schemeClr w14:val="tx1"/>
            </w14:solidFill>
          </w14:textFill>
        </w:rPr>
        <w:t>外满足《建筑施工噪声排放标准》（GB12523-2025）</w:t>
      </w:r>
      <w:r>
        <w:rPr>
          <w:color w:val="000000" w:themeColor="text1"/>
          <w:spacing w:val="-1"/>
          <w14:textFill>
            <w14:solidFill>
              <w14:schemeClr w14:val="tx1"/>
            </w14:solidFill>
          </w14:textFill>
        </w:rPr>
        <w:t>标准要求。</w:t>
      </w:r>
      <w:bookmarkStart w:id="15" w:name="OLE_LINK121"/>
      <w:r>
        <w:rPr>
          <w:color w:val="000000" w:themeColor="text1"/>
          <w14:textFill>
            <w14:solidFill>
              <w14:schemeClr w14:val="tx1"/>
            </w14:solidFill>
          </w14:textFill>
        </w:rPr>
        <w:t>为减轻项目施工期间噪声对周边环境敏感点的影响，本项目提出如下噪声污染防治措施</w:t>
      </w:r>
      <w:bookmarkEnd w:id="15"/>
      <w:r>
        <w:rPr>
          <w:color w:val="000000" w:themeColor="text1"/>
          <w14:textFill>
            <w14:solidFill>
              <w14:schemeClr w14:val="tx1"/>
            </w14:solidFill>
          </w14:textFill>
        </w:rPr>
        <w:t>：</w:t>
      </w:r>
    </w:p>
    <w:p w14:paraId="651D422F">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（1）强噪声机械的降噪措施：如改变垂直振打式为螺旋、静压、喷注式打桩机新技术，施工机械设备与基础或连接部位之间采用弹簧减振、橡胶减振、管道减振、阻尼减振技术等。</w:t>
      </w:r>
    </w:p>
    <w:p w14:paraId="2E80F7B7">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（2）控制作业时间：禁止在12:00-14:00、22:00-次日6:00期间作业；如因连续浇筑和特殊需要必须连续作业的需在施工前三日内到石家庄市生态环境局高新区分局备案，经生态环境主管部门同意后方可施工。</w:t>
      </w:r>
    </w:p>
    <w:p w14:paraId="24ABFDE0">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（3）人为噪声控制：提倡文明施工，建立健全控制人为噪声的管理制度，增强施工人员 的环保意识，提高防止噪声扰民的自觉性，减少人为噪声污染。</w:t>
      </w:r>
    </w:p>
    <w:p w14:paraId="75373E68">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4）加强生态环境管理部门的管理、监督作用：施工单位必须在开工15天前向生态环境局申报该工程的项目名称、施工场所、占地面积、施工总期限，在各施工期（土石方阶段、结构阶段、装修阶段）可能产生的噪声污染范围和污染程度，以及采取防治环境污染的措施，经过生态环境局审查备案后方可开工。</w:t>
      </w:r>
    </w:p>
    <w:p w14:paraId="63621949">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（5）建立“公众参与”的监督制度。</w:t>
      </w:r>
    </w:p>
    <w:p w14:paraId="4570E8F3">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（6）合理布设施工场地及设备，高噪声设备应远离居住区进行布置，确保施工场界噪声达标。</w:t>
      </w:r>
    </w:p>
    <w:p w14:paraId="17A58D8B">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施工期的噪声影响是暂时的，随着施工的结束而结束，所以本项目对周围声环境影响较小。</w:t>
      </w:r>
    </w:p>
    <w:p w14:paraId="4F659CDB">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4、施工期固体废物</w:t>
      </w:r>
    </w:p>
    <w:p w14:paraId="4533CA1D">
      <w:pPr>
        <w:pStyle w:val="7"/>
        <w:ind w:firstLine="480"/>
        <w:rPr>
          <w:color w:val="000000" w:themeColor="text1"/>
          <w14:textFill>
            <w14:solidFill>
              <w14:schemeClr w14:val="tx1"/>
            </w14:solidFill>
          </w14:textFill>
        </w:rPr>
      </w:pPr>
      <w:r>
        <w:rPr>
          <w:color w:val="EE0000"/>
        </w:rPr>
        <w:t>本项目建设施工过程中产生建筑垃圾，应由车辆运输至城建部门指定地点处理，严禁乱倒乱放</w:t>
      </w:r>
      <w:r>
        <w:rPr>
          <w:color w:val="000000" w:themeColor="text1"/>
          <w14:textFill>
            <w14:solidFill>
              <w14:schemeClr w14:val="tx1"/>
            </w14:solidFill>
          </w14:textFill>
        </w:rPr>
        <w:t>；弃土用于回填和绿化覆土；施工人员产生的少量生活垃圾由环卫部门清运，不会对周围环境产生影响。</w:t>
      </w:r>
    </w:p>
    <w:p w14:paraId="49FB0A90">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5、施工期振动</w:t>
      </w:r>
    </w:p>
    <w:p w14:paraId="0A9DA21B">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本项目施工期主要振源包括：基坑支护桩施工、大型设备基础开挖、重型机械作业（挖掘机、推土机、混凝土泵车）及物料运输车辆。为减轻项目施工期间振动的影响，本项目提出如下振动污染防治措施：</w:t>
      </w:r>
    </w:p>
    <w:p w14:paraId="2C0AA0BE">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（1）桩基施工采用静压桩工艺，严禁锤击桩；设备基础开挖优先选用液压破碎锤替代风镐。</w:t>
      </w:r>
    </w:p>
    <w:p w14:paraId="43478C64">
      <w:pPr>
        <w:pStyle w:val="7"/>
        <w:ind w:left="420" w:leftChars="200" w:firstLine="0" w:firstLineChars="0"/>
        <w:rPr>
          <w:color w:val="000000" w:themeColor="text1"/>
          <w14:textFill>
            <w14:solidFill>
              <w14:schemeClr w14:val="tx1"/>
            </w14:solidFill>
          </w14:textFill>
        </w:rPr>
      </w:pPr>
      <w:r>
        <w:rPr>
          <w:color w:val="000000" w:themeColor="text1"/>
          <w14:textFill>
            <w14:solidFill>
              <w14:schemeClr w14:val="tx1"/>
            </w14:solidFill>
          </w14:textFill>
        </w:rPr>
        <w:t>（2）混凝土浇筑采用低振动泵送设备，避免高频振捣棒长时间连续作业。</w:t>
      </w:r>
    </w:p>
    <w:p w14:paraId="6299B0BF">
      <w:pPr>
        <w:pStyle w:val="7"/>
        <w:ind w:left="420" w:leftChars="200" w:firstLine="0" w:firstLineChars="0"/>
        <w:rPr>
          <w:color w:val="000000" w:themeColor="text1"/>
          <w14:textFill>
            <w14:solidFill>
              <w14:schemeClr w14:val="tx1"/>
            </w14:solidFill>
          </w14:textFill>
        </w:rPr>
      </w:pPr>
      <w:r>
        <w:rPr>
          <w:color w:val="000000" w:themeColor="text1"/>
          <w14:textFill>
            <w14:solidFill>
              <w14:schemeClr w14:val="tx1"/>
            </w14:solidFill>
          </w14:textFill>
        </w:rPr>
        <w:t>（3）所有重型机械加装橡胶减振垫（厚度≥20mm），定期校准设备平衡性。</w:t>
      </w:r>
    </w:p>
    <w:p w14:paraId="702B9E70">
      <w:pPr>
        <w:pStyle w:val="7"/>
        <w:ind w:left="420" w:leftChars="200" w:firstLine="0" w:firstLineChars="0"/>
        <w:rPr>
          <w:color w:val="000000" w:themeColor="text1"/>
          <w14:textFill>
            <w14:solidFill>
              <w14:schemeClr w14:val="tx1"/>
            </w14:solidFill>
          </w14:textFill>
        </w:rPr>
      </w:pPr>
      <w:r>
        <w:rPr>
          <w:color w:val="000000" w:themeColor="text1"/>
          <w14:textFill>
            <w14:solidFill>
              <w14:schemeClr w14:val="tx1"/>
            </w14:solidFill>
          </w14:textFill>
        </w:rPr>
        <w:t>（4）运输车辆场内限速10km/h，轮胎气压符合规范，减少颠簸振动。</w:t>
      </w:r>
    </w:p>
    <w:p w14:paraId="2DA917D0">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（5）作业时段管控：夜间（22:00–6:00）禁止一切打桩、破碎作业。</w:t>
      </w:r>
    </w:p>
    <w:p w14:paraId="00835510">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（6）编制《施工期振动环境管理方案》，纳入施工合同，由监理单位核查。</w:t>
      </w:r>
    </w:p>
    <w:p w14:paraId="54DE788E">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项目周边无环境保护目标，且施工期的振动影响是暂时的，随着施工的结束而结束，所以本项目振动对周围环境影响较小。</w:t>
      </w:r>
    </w:p>
    <w:p w14:paraId="0128544F">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 xml:space="preserve">6、施工期生态 </w:t>
      </w:r>
    </w:p>
    <w:p w14:paraId="6EDD9259">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本项目位于石家庄高新区循环化工园区，用地属于规划的工业用地。经调查了解工程所在区域没有受到国家重点保护的动植物资源。施工过程，厂区地面的平整会破坏植被，随着本项目的实施，厂址占地的土地利用功能将发生改变，对生态环境产生一定程度的影响。另外，施工过程造成挖土、填方等行为使裸露的土壤结构发生变化，土层松动，开挖土石方的堆存，在雨天遭到雨水的冲刷后均可能造成水土流失，对区域生态环境造成一定的负面 影响。因此，本项目在施工过程中应采取有效的生态防护措施：</w:t>
      </w:r>
    </w:p>
    <w:p w14:paraId="45445C0A">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（1）在项目设计中应尽量做到“挖填平衡”，利用挖方作填方，避免产生弃土；将施工活 动严格控制在拟建工程占地范围内，避免对周围较大范围产生影响；</w:t>
      </w:r>
    </w:p>
    <w:p w14:paraId="6A8BC146">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 xml:space="preserve">（2）合理安排施工计划，避免在雨季施工； </w:t>
      </w:r>
    </w:p>
    <w:p w14:paraId="0E828BE0">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（3）合理划分场地施工分区，避免同时大面积的工程土石方开挖，造成场地大面积表层土的松动，及时碾压夯实施工完毕的厂址区域；对施工材料、土方堆存，在雨季要采取防护堤挡护措施，避免水土流失；</w:t>
      </w:r>
    </w:p>
    <w:p w14:paraId="413CC400">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（4）厂区平整，土方开挖造成土坡须采用直线形削坡，使得厂区上下坡度减缓；</w:t>
      </w:r>
    </w:p>
    <w:p w14:paraId="5338139C">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 xml:space="preserve">（5）施工结束后，要及时清理现场，对边坡进行永久性固化处理； </w:t>
      </w:r>
    </w:p>
    <w:p w14:paraId="295518D2">
      <w:pPr>
        <w:pStyle w:val="7"/>
        <w:ind w:firstLine="480"/>
        <w:rPr>
          <w:color w:val="000000" w:themeColor="text1"/>
          <w14:textFill>
            <w14:solidFill>
              <w14:schemeClr w14:val="tx1"/>
            </w14:solidFill>
          </w14:textFill>
        </w:rPr>
      </w:pPr>
      <w:r>
        <w:rPr>
          <w:color w:val="000000" w:themeColor="text1"/>
          <w14:textFill>
            <w14:solidFill>
              <w14:schemeClr w14:val="tx1"/>
            </w14:solidFill>
          </w14:textFill>
        </w:rPr>
        <w:t xml:space="preserve">（6）要加强场区和厂界周围的植树绿化工作，尽快恢复植被，保持水土，缓解生态破坏。 </w:t>
      </w:r>
    </w:p>
    <w:p w14:paraId="0CBCACA6">
      <w:pPr>
        <w:rPr>
          <w:color w:val="000000" w:themeColor="text1"/>
          <w14:textFill>
            <w14:solidFill>
              <w14:schemeClr w14:val="tx1"/>
            </w14:solidFill>
          </w14:textFill>
        </w:rPr>
      </w:pPr>
      <w:r>
        <w:rPr>
          <w:color w:val="000000" w:themeColor="text1"/>
          <w14:textFill>
            <w14:solidFill>
              <w14:schemeClr w14:val="tx1"/>
            </w14:solidFill>
          </w14:textFill>
        </w:rPr>
        <w:t>在落实本评价提出的以上防范措施后，可在一定程度上使工程建设对生态环境的影响起到一定的补偿作用。 综上所述，以上影响均为短期影响，将随着施工期的结束而消除，在落实以上污染防治措施后不会对周围环境产生明显影响。</w:t>
      </w:r>
    </w:p>
    <w:p w14:paraId="4D1B7DDE">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1．废气</w:t>
      </w:r>
    </w:p>
    <w:p w14:paraId="32B885FD">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1.1大气污染物产生及排放情况</w:t>
      </w:r>
    </w:p>
    <w:p w14:paraId="2FD0DBCE">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（1）生物质燃料破碎废气</w:t>
      </w:r>
    </w:p>
    <w:p w14:paraId="2785424F">
      <w:pPr>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废气收集后经袋式除尘器处理后通过1根15m高排气筒DA001排放，风机风量20000m</w:t>
      </w:r>
      <w:r>
        <w:rPr>
          <w:color w:val="000000" w:themeColor="text1"/>
          <w:sz w:val="24"/>
          <w:szCs w:val="21"/>
          <w:vertAlign w:val="superscript"/>
          <w14:textFill>
            <w14:solidFill>
              <w14:schemeClr w14:val="tx1"/>
            </w14:solidFill>
          </w14:textFill>
        </w:rPr>
        <w:t>3</w:t>
      </w:r>
      <w:r>
        <w:rPr>
          <w:color w:val="000000" w:themeColor="text1"/>
          <w:sz w:val="24"/>
          <w:szCs w:val="21"/>
          <w14:textFill>
            <w14:solidFill>
              <w14:schemeClr w14:val="tx1"/>
            </w14:solidFill>
          </w14:textFill>
        </w:rPr>
        <w:t>/h，则收集浓度423.4mg/m</w:t>
      </w:r>
      <w:r>
        <w:rPr>
          <w:color w:val="000000" w:themeColor="text1"/>
          <w:sz w:val="24"/>
          <w:szCs w:val="21"/>
          <w:vertAlign w:val="superscript"/>
          <w14:textFill>
            <w14:solidFill>
              <w14:schemeClr w14:val="tx1"/>
            </w14:solidFill>
          </w14:textFill>
        </w:rPr>
        <w:t>3</w:t>
      </w:r>
      <w:r>
        <w:rPr>
          <w:color w:val="000000" w:themeColor="text1"/>
          <w:sz w:val="24"/>
          <w:szCs w:val="21"/>
          <w14:textFill>
            <w14:solidFill>
              <w14:schemeClr w14:val="tx1"/>
            </w14:solidFill>
          </w14:textFill>
        </w:rPr>
        <w:t>，袋式除尘器除尘效率99.9%计，则破碎颗粒物排放量0.339t/a，排放浓度4.2mg/m</w:t>
      </w:r>
      <w:r>
        <w:rPr>
          <w:color w:val="000000" w:themeColor="text1"/>
          <w:sz w:val="24"/>
          <w:szCs w:val="21"/>
          <w:vertAlign w:val="superscript"/>
          <w14:textFill>
            <w14:solidFill>
              <w14:schemeClr w14:val="tx1"/>
            </w14:solidFill>
          </w14:textFill>
        </w:rPr>
        <w:t>3</w:t>
      </w:r>
      <w:r>
        <w:rPr>
          <w:color w:val="000000" w:themeColor="text1"/>
          <w:sz w:val="24"/>
          <w:szCs w:val="21"/>
          <w14:textFill>
            <w14:solidFill>
              <w14:schemeClr w14:val="tx1"/>
            </w14:solidFill>
          </w14:textFill>
        </w:rPr>
        <w:t>，颗粒物排放浓度符合《火电厂大气污染物排放标准》（DB13/2209-2025）表1燃料破碎、输送及其他生产工序或设施标准限值（颗粒物10mg/m</w:t>
      </w:r>
      <w:r>
        <w:rPr>
          <w:color w:val="000000" w:themeColor="text1"/>
          <w:sz w:val="24"/>
          <w:szCs w:val="21"/>
          <w:vertAlign w:val="superscript"/>
          <w14:textFill>
            <w14:solidFill>
              <w14:schemeClr w14:val="tx1"/>
            </w14:solidFill>
          </w14:textFill>
        </w:rPr>
        <w:t>3</w:t>
      </w:r>
      <w:r>
        <w:rPr>
          <w:color w:val="000000" w:themeColor="text1"/>
          <w:sz w:val="24"/>
          <w:szCs w:val="21"/>
          <w14:textFill>
            <w14:solidFill>
              <w14:schemeClr w14:val="tx1"/>
            </w14:solidFill>
          </w14:textFill>
        </w:rPr>
        <w:t>）。</w:t>
      </w:r>
    </w:p>
    <w:p w14:paraId="5121CD7F">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（2）生物质料坑落料废气</w:t>
      </w:r>
    </w:p>
    <w:p w14:paraId="69A38182">
      <w:pPr>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2个落料点均经集气罩收集后共用1套袋式除尘器处理后通过1根15m高排气筒DA002排放，风机风量5000m</w:t>
      </w:r>
      <w:r>
        <w:rPr>
          <w:color w:val="000000" w:themeColor="text1"/>
          <w:sz w:val="24"/>
          <w:szCs w:val="21"/>
          <w:vertAlign w:val="superscript"/>
          <w14:textFill>
            <w14:solidFill>
              <w14:schemeClr w14:val="tx1"/>
            </w14:solidFill>
          </w14:textFill>
        </w:rPr>
        <w:t>3</w:t>
      </w:r>
      <w:r>
        <w:rPr>
          <w:color w:val="000000" w:themeColor="text1"/>
          <w:sz w:val="24"/>
          <w:szCs w:val="21"/>
          <w14:textFill>
            <w14:solidFill>
              <w14:schemeClr w14:val="tx1"/>
            </w14:solidFill>
          </w14:textFill>
        </w:rPr>
        <w:t>/h，收集效率90%，则收集量4.327t/a，收集速率1.082kg/h，收集浓度216.3mg/m</w:t>
      </w:r>
      <w:r>
        <w:rPr>
          <w:color w:val="000000" w:themeColor="text1"/>
          <w:sz w:val="24"/>
          <w:szCs w:val="21"/>
          <w:vertAlign w:val="superscript"/>
          <w14:textFill>
            <w14:solidFill>
              <w14:schemeClr w14:val="tx1"/>
            </w14:solidFill>
          </w14:textFill>
        </w:rPr>
        <w:t>3</w:t>
      </w:r>
      <w:r>
        <w:rPr>
          <w:color w:val="000000" w:themeColor="text1"/>
          <w:sz w:val="24"/>
          <w:szCs w:val="21"/>
          <w14:textFill>
            <w14:solidFill>
              <w14:schemeClr w14:val="tx1"/>
            </w14:solidFill>
          </w14:textFill>
        </w:rPr>
        <w:t>，除尘效率按99%计，则颗粒物排放量0.043t/a，排放速率0.001kg/h，排放浓度2.2mg/m</w:t>
      </w:r>
      <w:r>
        <w:rPr>
          <w:color w:val="000000" w:themeColor="text1"/>
          <w:sz w:val="24"/>
          <w:szCs w:val="21"/>
          <w:vertAlign w:val="superscript"/>
          <w14:textFill>
            <w14:solidFill>
              <w14:schemeClr w14:val="tx1"/>
            </w14:solidFill>
          </w14:textFill>
        </w:rPr>
        <w:t>3</w:t>
      </w:r>
      <w:r>
        <w:rPr>
          <w:color w:val="000000" w:themeColor="text1"/>
          <w:sz w:val="24"/>
          <w:szCs w:val="21"/>
          <w14:textFill>
            <w14:solidFill>
              <w14:schemeClr w14:val="tx1"/>
            </w14:solidFill>
          </w14:textFill>
        </w:rPr>
        <w:t>，落料颗粒物排放浓度符合《火电厂大气污染物排放标准》（DB13/2209-2025）表1燃料破碎、输送及其他生产工序或设施标准限值（颗粒物10mg/m</w:t>
      </w:r>
      <w:r>
        <w:rPr>
          <w:color w:val="000000" w:themeColor="text1"/>
          <w:sz w:val="24"/>
          <w:szCs w:val="21"/>
          <w:vertAlign w:val="superscript"/>
          <w14:textFill>
            <w14:solidFill>
              <w14:schemeClr w14:val="tx1"/>
            </w14:solidFill>
          </w14:textFill>
        </w:rPr>
        <w:t>3</w:t>
      </w:r>
      <w:r>
        <w:rPr>
          <w:color w:val="000000" w:themeColor="text1"/>
          <w:sz w:val="24"/>
          <w:szCs w:val="21"/>
          <w14:textFill>
            <w14:solidFill>
              <w14:schemeClr w14:val="tx1"/>
            </w14:solidFill>
          </w14:textFill>
        </w:rPr>
        <w:t>）。</w:t>
      </w:r>
    </w:p>
    <w:p w14:paraId="3C4F1CB0">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（3）生物质炉前料仓废气</w:t>
      </w:r>
    </w:p>
    <w:p w14:paraId="40A9F572">
      <w:pPr>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项目每台生物质锅炉设置1个炉前料仓，炉前料仓生物质落料废气参考料坑落料废气，项目生物质燃料转运总量约56.25万t/a，则颗粒物产生量为4.808t/a，运行时间4000h/a，2个料仓废气负压密闭收集分别经各自1套袋式除尘器处理后通过2根15m高排气筒DA003、DA004排放，每套除尘器风机风量2000m</w:t>
      </w:r>
      <w:r>
        <w:rPr>
          <w:color w:val="000000" w:themeColor="text1"/>
          <w:sz w:val="24"/>
          <w:szCs w:val="21"/>
          <w:vertAlign w:val="superscript"/>
          <w14:textFill>
            <w14:solidFill>
              <w14:schemeClr w14:val="tx1"/>
            </w14:solidFill>
          </w14:textFill>
        </w:rPr>
        <w:t>3</w:t>
      </w:r>
      <w:r>
        <w:rPr>
          <w:color w:val="000000" w:themeColor="text1"/>
          <w:sz w:val="24"/>
          <w:szCs w:val="21"/>
          <w14:textFill>
            <w14:solidFill>
              <w14:schemeClr w14:val="tx1"/>
            </w14:solidFill>
          </w14:textFill>
        </w:rPr>
        <w:t>/h，收集效率100%，则每个料仓颗粒物收集量2.404t/a，收集速率0.601kg/h，收集浓度300mg/m</w:t>
      </w:r>
      <w:r>
        <w:rPr>
          <w:color w:val="000000" w:themeColor="text1"/>
          <w:sz w:val="24"/>
          <w:szCs w:val="21"/>
          <w:vertAlign w:val="superscript"/>
          <w14:textFill>
            <w14:solidFill>
              <w14:schemeClr w14:val="tx1"/>
            </w14:solidFill>
          </w14:textFill>
        </w:rPr>
        <w:t>3</w:t>
      </w:r>
      <w:r>
        <w:rPr>
          <w:color w:val="000000" w:themeColor="text1"/>
          <w:sz w:val="24"/>
          <w:szCs w:val="21"/>
          <w14:textFill>
            <w14:solidFill>
              <w14:schemeClr w14:val="tx1"/>
            </w14:solidFill>
          </w14:textFill>
        </w:rPr>
        <w:t>，除尘效率按99%计，则颗粒物排放量0.024t/a，排放速率0.006kg/h，排放浓度3mg/m</w:t>
      </w:r>
      <w:r>
        <w:rPr>
          <w:color w:val="000000" w:themeColor="text1"/>
          <w:sz w:val="24"/>
          <w:szCs w:val="21"/>
          <w:vertAlign w:val="superscript"/>
          <w14:textFill>
            <w14:solidFill>
              <w14:schemeClr w14:val="tx1"/>
            </w14:solidFill>
          </w14:textFill>
        </w:rPr>
        <w:t>3</w:t>
      </w:r>
      <w:r>
        <w:rPr>
          <w:color w:val="000000" w:themeColor="text1"/>
          <w:sz w:val="24"/>
          <w:szCs w:val="21"/>
          <w14:textFill>
            <w14:solidFill>
              <w14:schemeClr w14:val="tx1"/>
            </w14:solidFill>
          </w14:textFill>
        </w:rPr>
        <w:t>，2个料仓颗粒物排放浓度均符合《火电厂大气污染物排放标准》（DB13/2209-2025）表1燃料破碎、输送及其他生产工序或设施标准限值（颗粒物10mg/m</w:t>
      </w:r>
      <w:r>
        <w:rPr>
          <w:color w:val="000000" w:themeColor="text1"/>
          <w:sz w:val="24"/>
          <w:szCs w:val="21"/>
          <w:vertAlign w:val="superscript"/>
          <w14:textFill>
            <w14:solidFill>
              <w14:schemeClr w14:val="tx1"/>
            </w14:solidFill>
          </w14:textFill>
        </w:rPr>
        <w:t>3</w:t>
      </w:r>
      <w:r>
        <w:rPr>
          <w:color w:val="000000" w:themeColor="text1"/>
          <w:sz w:val="24"/>
          <w:szCs w:val="21"/>
          <w14:textFill>
            <w14:solidFill>
              <w14:schemeClr w14:val="tx1"/>
            </w14:solidFill>
          </w14:textFill>
        </w:rPr>
        <w:t>）。</w:t>
      </w:r>
    </w:p>
    <w:p w14:paraId="4E80F134">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（4）130t/h生物质锅炉燃烧烟气</w:t>
      </w:r>
    </w:p>
    <w:p w14:paraId="04E1F281">
      <w:pPr>
        <w:adjustRightInd w:val="0"/>
        <w:spacing w:line="44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每台生物质锅炉采用1套“低氮燃烧+石灰石干法脱硫+SNCR脱硝+ SCR脱硝+小苏打干法脱硫+旋风除尘+袋式除尘”装置处理，2套废气处理装置处理后废气共用1根100m高排气筒DA005排放。生物质锅炉废气各污染物排放浓度满足</w:t>
      </w:r>
      <w:bookmarkStart w:id="16" w:name="OLE_LINK50"/>
      <w:r>
        <w:rPr>
          <w:color w:val="000000" w:themeColor="text1"/>
          <w:sz w:val="24"/>
          <w:szCs w:val="21"/>
          <w14:textFill>
            <w14:solidFill>
              <w14:schemeClr w14:val="tx1"/>
            </w14:solidFill>
          </w14:textFill>
        </w:rPr>
        <w:t>《火电厂大气污染物排放标准》（DB13/2209-2025）表1标准及《河北省重点行业环保绩效A级标准火电行业（试行）》绩效A级标准（颗粒物5mg/m</w:t>
      </w:r>
      <w:r>
        <w:rPr>
          <w:color w:val="000000" w:themeColor="text1"/>
          <w:sz w:val="24"/>
          <w:szCs w:val="21"/>
          <w:vertAlign w:val="superscript"/>
          <w14:textFill>
            <w14:solidFill>
              <w14:schemeClr w14:val="tx1"/>
            </w14:solidFill>
          </w14:textFill>
        </w:rPr>
        <w:t>3</w:t>
      </w:r>
      <w:r>
        <w:rPr>
          <w:color w:val="000000" w:themeColor="text1"/>
          <w:sz w:val="24"/>
          <w:szCs w:val="21"/>
          <w14:textFill>
            <w14:solidFill>
              <w14:schemeClr w14:val="tx1"/>
            </w14:solidFill>
          </w14:textFill>
        </w:rPr>
        <w:t>、二氧化硫10mg/m</w:t>
      </w:r>
      <w:r>
        <w:rPr>
          <w:color w:val="000000" w:themeColor="text1"/>
          <w:sz w:val="24"/>
          <w:szCs w:val="21"/>
          <w:vertAlign w:val="superscript"/>
          <w14:textFill>
            <w14:solidFill>
              <w14:schemeClr w14:val="tx1"/>
            </w14:solidFill>
          </w14:textFill>
        </w:rPr>
        <w:t>3</w:t>
      </w:r>
      <w:r>
        <w:rPr>
          <w:color w:val="000000" w:themeColor="text1"/>
          <w:sz w:val="24"/>
          <w:szCs w:val="21"/>
          <w14:textFill>
            <w14:solidFill>
              <w14:schemeClr w14:val="tx1"/>
            </w14:solidFill>
          </w14:textFill>
        </w:rPr>
        <w:t>、氮氧化物30mg/m</w:t>
      </w:r>
      <w:r>
        <w:rPr>
          <w:color w:val="000000" w:themeColor="text1"/>
          <w:sz w:val="24"/>
          <w:szCs w:val="21"/>
          <w:vertAlign w:val="superscript"/>
          <w14:textFill>
            <w14:solidFill>
              <w14:schemeClr w14:val="tx1"/>
            </w14:solidFill>
          </w14:textFill>
        </w:rPr>
        <w:t>3</w:t>
      </w:r>
      <w:r>
        <w:rPr>
          <w:color w:val="000000" w:themeColor="text1"/>
          <w:sz w:val="24"/>
          <w:szCs w:val="21"/>
          <w14:textFill>
            <w14:solidFill>
              <w14:schemeClr w14:val="tx1"/>
            </w14:solidFill>
          </w14:textFill>
        </w:rPr>
        <w:t>、汞及其化合物0.01mg/m</w:t>
      </w:r>
      <w:r>
        <w:rPr>
          <w:color w:val="000000" w:themeColor="text1"/>
          <w:sz w:val="24"/>
          <w:szCs w:val="21"/>
          <w:vertAlign w:val="superscript"/>
          <w14:textFill>
            <w14:solidFill>
              <w14:schemeClr w14:val="tx1"/>
            </w14:solidFill>
          </w14:textFill>
        </w:rPr>
        <w:t>3</w:t>
      </w:r>
      <w:r>
        <w:rPr>
          <w:color w:val="000000" w:themeColor="text1"/>
          <w:sz w:val="24"/>
          <w:szCs w:val="21"/>
          <w14:textFill>
            <w14:solidFill>
              <w14:schemeClr w14:val="tx1"/>
            </w14:solidFill>
          </w14:textFill>
        </w:rPr>
        <w:t>、氨2.3mg/m</w:t>
      </w:r>
      <w:r>
        <w:rPr>
          <w:color w:val="000000" w:themeColor="text1"/>
          <w:sz w:val="24"/>
          <w:szCs w:val="21"/>
          <w:vertAlign w:val="superscript"/>
          <w14:textFill>
            <w14:solidFill>
              <w14:schemeClr w14:val="tx1"/>
            </w14:solidFill>
          </w14:textFill>
        </w:rPr>
        <w:t>3</w:t>
      </w:r>
      <w:r>
        <w:rPr>
          <w:color w:val="000000" w:themeColor="text1"/>
          <w:sz w:val="24"/>
          <w:szCs w:val="21"/>
          <w14:textFill>
            <w14:solidFill>
              <w14:schemeClr w14:val="tx1"/>
            </w14:solidFill>
          </w14:textFill>
        </w:rPr>
        <w:t>、烟气黑度1级）。</w:t>
      </w:r>
      <w:bookmarkEnd w:id="16"/>
    </w:p>
    <w:p w14:paraId="61CA32B7">
      <w:pPr>
        <w:adjustRightInd w:val="0"/>
        <w:spacing w:line="44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（5）130t/h天然气锅炉燃烧烟气</w:t>
      </w:r>
    </w:p>
    <w:p w14:paraId="5C9A7FE8">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天然气锅炉安装低氮燃烧装置，燃烧烟气经SCR脱硝处理后通过1根45m高排气筒DA006排放。废气污染物排放满足《火电厂大气污染物排放标准》（DB13/2209-2025）表1天然气发电锅炉标准限值（颗粒物≤5.0mg/m</w:t>
      </w:r>
      <w:r>
        <w:rPr>
          <w:color w:val="000000" w:themeColor="text1"/>
          <w:sz w:val="24"/>
          <w:szCs w:val="21"/>
          <w:vertAlign w:val="superscript"/>
          <w14:textFill>
            <w14:solidFill>
              <w14:schemeClr w14:val="tx1"/>
            </w14:solidFill>
          </w14:textFill>
        </w:rPr>
        <w:t>3</w:t>
      </w:r>
      <w:r>
        <w:rPr>
          <w:color w:val="000000" w:themeColor="text1"/>
          <w:sz w:val="24"/>
          <w:szCs w:val="21"/>
          <w14:textFill>
            <w14:solidFill>
              <w14:schemeClr w14:val="tx1"/>
            </w14:solidFill>
          </w14:textFill>
        </w:rPr>
        <w:t>、二氧化硫≤10mg/m</w:t>
      </w:r>
      <w:r>
        <w:rPr>
          <w:color w:val="000000" w:themeColor="text1"/>
          <w:sz w:val="24"/>
          <w:szCs w:val="21"/>
          <w:vertAlign w:val="superscript"/>
          <w14:textFill>
            <w14:solidFill>
              <w14:schemeClr w14:val="tx1"/>
            </w14:solidFill>
          </w14:textFill>
        </w:rPr>
        <w:t>3</w:t>
      </w:r>
      <w:r>
        <w:rPr>
          <w:color w:val="000000" w:themeColor="text1"/>
          <w:sz w:val="24"/>
          <w:szCs w:val="21"/>
          <w14:textFill>
            <w14:solidFill>
              <w14:schemeClr w14:val="tx1"/>
            </w14:solidFill>
          </w14:textFill>
        </w:rPr>
        <w:t>、氮氧化物≤30mg/m</w:t>
      </w:r>
      <w:r>
        <w:rPr>
          <w:color w:val="000000" w:themeColor="text1"/>
          <w:sz w:val="24"/>
          <w:szCs w:val="21"/>
          <w:vertAlign w:val="superscript"/>
          <w14:textFill>
            <w14:solidFill>
              <w14:schemeClr w14:val="tx1"/>
            </w14:solidFill>
          </w14:textFill>
        </w:rPr>
        <w:t>3</w:t>
      </w:r>
      <w:r>
        <w:rPr>
          <w:color w:val="000000" w:themeColor="text1"/>
          <w:sz w:val="24"/>
          <w:szCs w:val="21"/>
          <w14:textFill>
            <w14:solidFill>
              <w14:schemeClr w14:val="tx1"/>
            </w14:solidFill>
          </w14:textFill>
        </w:rPr>
        <w:t>、氨≤2.5mg/m</w:t>
      </w:r>
      <w:r>
        <w:rPr>
          <w:color w:val="000000" w:themeColor="text1"/>
          <w:sz w:val="24"/>
          <w:szCs w:val="21"/>
          <w:vertAlign w:val="superscript"/>
          <w14:textFill>
            <w14:solidFill>
              <w14:schemeClr w14:val="tx1"/>
            </w14:solidFill>
          </w14:textFill>
        </w:rPr>
        <w:t>3</w:t>
      </w:r>
      <w:r>
        <w:rPr>
          <w:color w:val="000000" w:themeColor="text1"/>
          <w:sz w:val="24"/>
          <w:szCs w:val="21"/>
          <w14:textFill>
            <w14:solidFill>
              <w14:schemeClr w14:val="tx1"/>
            </w14:solidFill>
          </w14:textFill>
        </w:rPr>
        <w:t>、烟气黑度＜1级）。</w:t>
      </w:r>
    </w:p>
    <w:p w14:paraId="41761384">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（6）石灰仓废气</w:t>
      </w:r>
    </w:p>
    <w:p w14:paraId="0E87AFD3">
      <w:pPr>
        <w:adjustRightInd w:val="0"/>
        <w:spacing w:line="48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本项目干法脱硫使用石灰石为粉末状物料，石灰粉进入石灰仓时会产生粉尘，</w:t>
      </w:r>
      <w:r>
        <w:rPr>
          <w:color w:val="EE0000"/>
          <w:sz w:val="24"/>
          <w:szCs w:val="21"/>
        </w:rPr>
        <w:t>通过石灰仓全密闭仓顶管道</w:t>
      </w:r>
      <w:r>
        <w:rPr>
          <w:color w:val="000000" w:themeColor="text1"/>
          <w:sz w:val="24"/>
          <w:szCs w:val="21"/>
          <w14:textFill>
            <w14:solidFill>
              <w14:schemeClr w14:val="tx1"/>
            </w14:solidFill>
          </w14:textFill>
        </w:rPr>
        <w:t>收集后通过1套仓顶袋式除尘器处理</w:t>
      </w:r>
      <w:bookmarkStart w:id="17" w:name="OLE_LINK75"/>
      <w:r>
        <w:rPr>
          <w:color w:val="000000" w:themeColor="text1"/>
          <w:sz w:val="24"/>
          <w:szCs w:val="21"/>
          <w14:textFill>
            <w14:solidFill>
              <w14:schemeClr w14:val="tx1"/>
            </w14:solidFill>
          </w14:textFill>
        </w:rPr>
        <w:t>后通过1根15m高排气筒DA007排放。</w:t>
      </w:r>
      <w:bookmarkEnd w:id="17"/>
      <w:r>
        <w:rPr>
          <w:color w:val="000000" w:themeColor="text1"/>
          <w:sz w:val="24"/>
          <w:szCs w:val="21"/>
          <w14:textFill>
            <w14:solidFill>
              <w14:schemeClr w14:val="tx1"/>
            </w14:solidFill>
          </w14:textFill>
        </w:rPr>
        <w:t>石灰仓颗粒物排放浓度符合</w:t>
      </w:r>
      <w:bookmarkStart w:id="18" w:name="OLE_LINK26"/>
      <w:r>
        <w:rPr>
          <w:color w:val="000000" w:themeColor="text1"/>
          <w:sz w:val="24"/>
          <w:szCs w:val="21"/>
          <w14:textFill>
            <w14:solidFill>
              <w14:schemeClr w14:val="tx1"/>
            </w14:solidFill>
          </w14:textFill>
        </w:rPr>
        <w:t>《火电厂大气污染物排放标准》（DB13/2209-2025）表1燃料破碎、输送及其他生产工序或设施标准及《河北省重点行业环保绩效A级标准 火电行业(试行)》标准限值</w:t>
      </w:r>
      <w:bookmarkEnd w:id="18"/>
      <w:r>
        <w:rPr>
          <w:color w:val="000000" w:themeColor="text1"/>
          <w:sz w:val="24"/>
          <w:szCs w:val="21"/>
          <w14:textFill>
            <w14:solidFill>
              <w14:schemeClr w14:val="tx1"/>
            </w14:solidFill>
          </w14:textFill>
        </w:rPr>
        <w:t>（颗粒物≤10mg/m</w:t>
      </w:r>
      <w:r>
        <w:rPr>
          <w:color w:val="000000" w:themeColor="text1"/>
          <w:sz w:val="24"/>
          <w:szCs w:val="21"/>
          <w:vertAlign w:val="superscript"/>
          <w14:textFill>
            <w14:solidFill>
              <w14:schemeClr w14:val="tx1"/>
            </w14:solidFill>
          </w14:textFill>
        </w:rPr>
        <w:t>3</w:t>
      </w:r>
      <w:r>
        <w:rPr>
          <w:color w:val="000000" w:themeColor="text1"/>
          <w:sz w:val="24"/>
          <w:szCs w:val="21"/>
          <w14:textFill>
            <w14:solidFill>
              <w14:schemeClr w14:val="tx1"/>
            </w14:solidFill>
          </w14:textFill>
        </w:rPr>
        <w:t>）。</w:t>
      </w:r>
    </w:p>
    <w:p w14:paraId="5E57E441">
      <w:pPr>
        <w:adjustRightInd w:val="0"/>
        <w:spacing w:line="48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（7）飞灰仓废气</w:t>
      </w:r>
    </w:p>
    <w:p w14:paraId="6CDC6D79">
      <w:pPr>
        <w:adjustRightInd w:val="0"/>
        <w:spacing w:line="48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锅炉烟气治理系统袋式除尘器收集的锅炉飞灰和脱硫灰经灰斗下的发射器气力输送至灰仓内。灰仓密闭，飞灰经密闭收集经1套袋式除尘器处理后由1根15m高的排气筒DA008排放。灰仓颗粒物排放浓度</w:t>
      </w:r>
      <w:bookmarkStart w:id="31" w:name="_GoBack"/>
      <w:bookmarkEnd w:id="31"/>
      <w:r>
        <w:rPr>
          <w:color w:val="000000" w:themeColor="text1"/>
          <w:sz w:val="24"/>
          <w:szCs w:val="21"/>
          <w14:textFill>
            <w14:solidFill>
              <w14:schemeClr w14:val="tx1"/>
            </w14:solidFill>
          </w14:textFill>
        </w:rPr>
        <w:t>符合《火电厂大气污染物排放标准》（DB13/2209-2025）表1燃料破碎、输送及其他生产工序标准及《河北省重点行业环保绩效A级标准 火电行业(试行)》标准限值（颗粒物</w:t>
      </w:r>
      <w:bookmarkStart w:id="19" w:name="OLE_LINK30"/>
      <w:r>
        <w:rPr>
          <w:color w:val="000000" w:themeColor="text1"/>
          <w:sz w:val="24"/>
          <w:szCs w:val="21"/>
          <w14:textFill>
            <w14:solidFill>
              <w14:schemeClr w14:val="tx1"/>
            </w14:solidFill>
          </w14:textFill>
        </w:rPr>
        <w:t>≤</w:t>
      </w:r>
      <w:bookmarkEnd w:id="19"/>
      <w:r>
        <w:rPr>
          <w:color w:val="000000" w:themeColor="text1"/>
          <w:sz w:val="24"/>
          <w:szCs w:val="21"/>
          <w14:textFill>
            <w14:solidFill>
              <w14:schemeClr w14:val="tx1"/>
            </w14:solidFill>
          </w14:textFill>
        </w:rPr>
        <w:t>10mg/m</w:t>
      </w:r>
      <w:r>
        <w:rPr>
          <w:color w:val="000000" w:themeColor="text1"/>
          <w:sz w:val="24"/>
          <w:szCs w:val="21"/>
          <w:vertAlign w:val="superscript"/>
          <w14:textFill>
            <w14:solidFill>
              <w14:schemeClr w14:val="tx1"/>
            </w14:solidFill>
          </w14:textFill>
        </w:rPr>
        <w:t>3</w:t>
      </w:r>
      <w:r>
        <w:rPr>
          <w:color w:val="000000" w:themeColor="text1"/>
          <w:sz w:val="24"/>
          <w:szCs w:val="21"/>
          <w14:textFill>
            <w14:solidFill>
              <w14:schemeClr w14:val="tx1"/>
            </w14:solidFill>
          </w14:textFill>
        </w:rPr>
        <w:t>）。</w:t>
      </w:r>
    </w:p>
    <w:p w14:paraId="0670E701">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（8）食堂油烟</w:t>
      </w:r>
    </w:p>
    <w:p w14:paraId="345AD16E">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食堂油烟</w:t>
      </w:r>
      <w:bookmarkStart w:id="20" w:name="OLE_LINK79"/>
      <w:r>
        <w:rPr>
          <w:color w:val="000000" w:themeColor="text1"/>
          <w:sz w:val="24"/>
          <w:szCs w:val="21"/>
          <w14:textFill>
            <w14:solidFill>
              <w14:schemeClr w14:val="tx1"/>
            </w14:solidFill>
          </w14:textFill>
        </w:rPr>
        <w:t>废气经</w:t>
      </w:r>
      <w:r>
        <w:rPr>
          <w:color w:val="EE0000"/>
          <w:sz w:val="24"/>
          <w:szCs w:val="21"/>
        </w:rPr>
        <w:t>上方集气罩收集后</w:t>
      </w:r>
      <w:r>
        <w:rPr>
          <w:color w:val="000000" w:themeColor="text1"/>
          <w:sz w:val="24"/>
          <w:szCs w:val="21"/>
          <w14:textFill>
            <w14:solidFill>
              <w14:schemeClr w14:val="tx1"/>
            </w14:solidFill>
          </w14:textFill>
        </w:rPr>
        <w:t>油烟净化器净化处理后由专用烟道引至屋顶排气筒DA009排放</w:t>
      </w:r>
      <w:bookmarkEnd w:id="20"/>
      <w:r>
        <w:rPr>
          <w:color w:val="000000" w:themeColor="text1"/>
          <w:sz w:val="24"/>
          <w:szCs w:val="21"/>
          <w14:textFill>
            <w14:solidFill>
              <w14:schemeClr w14:val="tx1"/>
            </w14:solidFill>
          </w14:textFill>
        </w:rPr>
        <w:t>，油烟排放浓度为0.04mg/m</w:t>
      </w:r>
      <w:r>
        <w:rPr>
          <w:color w:val="000000" w:themeColor="text1"/>
          <w:sz w:val="24"/>
          <w:szCs w:val="21"/>
          <w:vertAlign w:val="superscript"/>
          <w14:textFill>
            <w14:solidFill>
              <w14:schemeClr w14:val="tx1"/>
            </w14:solidFill>
          </w14:textFill>
        </w:rPr>
        <w:t>3</w:t>
      </w:r>
      <w:r>
        <w:rPr>
          <w:color w:val="000000" w:themeColor="text1"/>
          <w:sz w:val="24"/>
          <w:szCs w:val="21"/>
          <w14:textFill>
            <w14:solidFill>
              <w14:schemeClr w14:val="tx1"/>
            </w14:solidFill>
          </w14:textFill>
        </w:rPr>
        <w:t>，非甲烷总烃排放浓度为0.683mg/m</w:t>
      </w:r>
      <w:r>
        <w:rPr>
          <w:color w:val="000000" w:themeColor="text1"/>
          <w:sz w:val="24"/>
          <w:szCs w:val="21"/>
          <w:vertAlign w:val="superscript"/>
          <w14:textFill>
            <w14:solidFill>
              <w14:schemeClr w14:val="tx1"/>
            </w14:solidFill>
          </w14:textFill>
        </w:rPr>
        <w:t>3</w:t>
      </w:r>
      <w:r>
        <w:rPr>
          <w:color w:val="000000" w:themeColor="text1"/>
          <w:sz w:val="24"/>
          <w:szCs w:val="21"/>
          <w14:textFill>
            <w14:solidFill>
              <w14:schemeClr w14:val="tx1"/>
            </w14:solidFill>
          </w14:textFill>
        </w:rPr>
        <w:t>，食堂油烟废气排放可满足</w:t>
      </w:r>
      <w:bookmarkStart w:id="21" w:name="OLE_LINK53"/>
      <w:r>
        <w:rPr>
          <w:color w:val="000000" w:themeColor="text1"/>
          <w:sz w:val="24"/>
          <w:szCs w:val="21"/>
          <w14:textFill>
            <w14:solidFill>
              <w14:schemeClr w14:val="tx1"/>
            </w14:solidFill>
          </w14:textFill>
        </w:rPr>
        <w:t>《餐饮业大气污染物排放标准》（DB13/5808-2023）中型标准（油烟≤1.2</w:t>
      </w:r>
      <w:bookmarkStart w:id="22" w:name="OLE_LINK49"/>
      <w:r>
        <w:rPr>
          <w:color w:val="000000" w:themeColor="text1"/>
          <w:sz w:val="24"/>
          <w:szCs w:val="21"/>
          <w14:textFill>
            <w14:solidFill>
              <w14:schemeClr w14:val="tx1"/>
            </w14:solidFill>
          </w14:textFill>
        </w:rPr>
        <w:t>mg/m</w:t>
      </w:r>
      <w:r>
        <w:rPr>
          <w:color w:val="000000" w:themeColor="text1"/>
          <w:sz w:val="24"/>
          <w:szCs w:val="21"/>
          <w:vertAlign w:val="superscript"/>
          <w14:textFill>
            <w14:solidFill>
              <w14:schemeClr w14:val="tx1"/>
            </w14:solidFill>
          </w14:textFill>
        </w:rPr>
        <w:t>3</w:t>
      </w:r>
      <w:bookmarkEnd w:id="22"/>
      <w:r>
        <w:rPr>
          <w:color w:val="000000" w:themeColor="text1"/>
          <w:sz w:val="24"/>
          <w:szCs w:val="21"/>
          <w14:textFill>
            <w14:solidFill>
              <w14:schemeClr w14:val="tx1"/>
            </w14:solidFill>
          </w14:textFill>
        </w:rPr>
        <w:t>、非甲烷总烃≤10mg/m</w:t>
      </w:r>
      <w:r>
        <w:rPr>
          <w:color w:val="000000" w:themeColor="text1"/>
          <w:sz w:val="24"/>
          <w:szCs w:val="21"/>
          <w:vertAlign w:val="superscript"/>
          <w14:textFill>
            <w14:solidFill>
              <w14:schemeClr w14:val="tx1"/>
            </w14:solidFill>
          </w14:textFill>
        </w:rPr>
        <w:t>3</w:t>
      </w:r>
      <w:r>
        <w:rPr>
          <w:color w:val="000000" w:themeColor="text1"/>
          <w:sz w:val="24"/>
          <w:szCs w:val="21"/>
          <w14:textFill>
            <w14:solidFill>
              <w14:schemeClr w14:val="tx1"/>
            </w14:solidFill>
          </w14:textFill>
        </w:rPr>
        <w:t>）</w:t>
      </w:r>
      <w:bookmarkEnd w:id="21"/>
      <w:r>
        <w:rPr>
          <w:color w:val="000000" w:themeColor="text1"/>
          <w:sz w:val="24"/>
          <w:szCs w:val="21"/>
          <w14:textFill>
            <w14:solidFill>
              <w14:schemeClr w14:val="tx1"/>
            </w14:solidFill>
          </w14:textFill>
        </w:rPr>
        <w:t>。</w:t>
      </w:r>
    </w:p>
    <w:p w14:paraId="67A949A3">
      <w:pPr>
        <w:adjustRightInd w:val="0"/>
        <w:spacing w:line="48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2、废水</w:t>
      </w:r>
    </w:p>
    <w:p w14:paraId="647AD21F">
      <w:pPr>
        <w:adjustRightInd w:val="0"/>
        <w:spacing w:line="48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2.1废水产生及排放情况</w:t>
      </w:r>
    </w:p>
    <w:p w14:paraId="48269A5B">
      <w:pPr>
        <w:adjustRightInd w:val="0"/>
        <w:spacing w:line="44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本项目废水主要为化学水处理系统废水、锅炉排污水、循环冷却塔排污水和生活污水（包括职工盥洗废水和食堂废水）。化学水处理系统废水、锅炉排污水、循环冷却塔排污水与处理过的生活污水一同经园区管网排入石家庄良村南污水处理厂</w:t>
      </w:r>
      <w:r>
        <w:rPr>
          <w:rFonts w:hint="eastAsia"/>
          <w:color w:val="000000" w:themeColor="text1"/>
          <w:sz w:val="24"/>
          <w:szCs w:val="21"/>
          <w:lang w:eastAsia="zh-CN"/>
          <w14:textFill>
            <w14:solidFill>
              <w14:schemeClr w14:val="tx1"/>
            </w14:solidFill>
          </w14:textFill>
        </w:rPr>
        <w:t>。</w:t>
      </w:r>
      <w:r>
        <w:rPr>
          <w:color w:val="000000" w:themeColor="text1"/>
          <w:sz w:val="24"/>
          <w:szCs w:val="21"/>
          <w14:textFill>
            <w14:solidFill>
              <w14:schemeClr w14:val="tx1"/>
            </w14:solidFill>
          </w14:textFill>
        </w:rPr>
        <w:t>废水排放满足《污水综合排放标准》（GB8978-1996）表4三级标准及石家庄良村南污水处理厂进水水质要求。</w:t>
      </w:r>
    </w:p>
    <w:p w14:paraId="28EC3E08">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3、噪声</w:t>
      </w:r>
    </w:p>
    <w:p w14:paraId="0A149166">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3.1噪声污染源及治理设施</w:t>
      </w:r>
    </w:p>
    <w:p w14:paraId="64899953">
      <w:pPr>
        <w:adjustRightInd w:val="0"/>
        <w:spacing w:line="48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本项目建成后</w:t>
      </w:r>
      <w:bookmarkStart w:id="23" w:name="OLE_LINK85"/>
      <w:r>
        <w:rPr>
          <w:color w:val="000000" w:themeColor="text1"/>
          <w:sz w:val="24"/>
          <w:szCs w:val="21"/>
          <w14:textFill>
            <w14:solidFill>
              <w14:schemeClr w14:val="tx1"/>
            </w14:solidFill>
          </w14:textFill>
        </w:rPr>
        <w:t>主要噪声源包括送风机、引风机、锅炉排汽、汽轮机、发电机及励磁机、冷却塔、空压机、泵类等设备产生的噪声，噪声值80-115dB（A）之间。本次评价要求项目选用低噪声设备，并针对不同的产噪设备，采取厂房隔声、加装基础减振、 设置隔声罩或消音器等措施降噪</w:t>
      </w:r>
      <w:bookmarkEnd w:id="23"/>
      <w:r>
        <w:rPr>
          <w:color w:val="000000" w:themeColor="text1"/>
          <w:sz w:val="24"/>
          <w:szCs w:val="21"/>
          <w14:textFill>
            <w14:solidFill>
              <w14:schemeClr w14:val="tx1"/>
            </w14:solidFill>
          </w14:textFill>
        </w:rPr>
        <w:t>，降噪效果在15～30dB（A）之间。</w:t>
      </w:r>
    </w:p>
    <w:p w14:paraId="00C3BA7A">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本项目运营期东厂界最大贡献值为43.6dB（A），西厂界最大贡献值为46.2dB（A），南厂界最大贡献值为38.4dB（A），北厂界最大贡献值为50.7dB（A），满足《工业企业厂界环境噪声排放标准》（GB12348-2008）3类标准（昼间≤65 dB（A）、夜间≤55 dB（A））。</w:t>
      </w:r>
    </w:p>
    <w:p w14:paraId="505AD18D">
      <w:pPr>
        <w:adjustRightInd w:val="0"/>
        <w:spacing w:line="48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项目噪声源对厂界声环境的影响较小，项目位于循环化工园区内，周边50m范围内不存在</w:t>
      </w:r>
      <w:bookmarkStart w:id="24" w:name="OLE_LINK62"/>
      <w:r>
        <w:rPr>
          <w:color w:val="000000" w:themeColor="text1"/>
          <w:sz w:val="24"/>
          <w:szCs w:val="21"/>
          <w14:textFill>
            <w14:solidFill>
              <w14:schemeClr w14:val="tx1"/>
            </w14:solidFill>
          </w14:textFill>
        </w:rPr>
        <w:t>声环境保护目标</w:t>
      </w:r>
      <w:bookmarkEnd w:id="24"/>
      <w:r>
        <w:rPr>
          <w:color w:val="000000" w:themeColor="text1"/>
          <w:sz w:val="24"/>
          <w:szCs w:val="21"/>
          <w14:textFill>
            <w14:solidFill>
              <w14:schemeClr w14:val="tx1"/>
            </w14:solidFill>
          </w14:textFill>
        </w:rPr>
        <w:t>，项目不会对厂界及声环境保护目标声环境质量产生明显不利影响。</w:t>
      </w:r>
    </w:p>
    <w:p w14:paraId="514ABDCB">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4、固体废物</w:t>
      </w:r>
    </w:p>
    <w:p w14:paraId="3B5FFAB9">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4.1固废产生及处理情况</w:t>
      </w:r>
    </w:p>
    <w:p w14:paraId="6C226D36">
      <w:pPr>
        <w:adjustRightInd w:val="0"/>
        <w:spacing w:line="460" w:lineRule="exact"/>
        <w:ind w:firstLine="480" w:firstLineChars="200"/>
        <w:rPr>
          <w:color w:val="000000" w:themeColor="text1"/>
          <w:sz w:val="24"/>
          <w:szCs w:val="21"/>
          <w14:textFill>
            <w14:solidFill>
              <w14:schemeClr w14:val="tx1"/>
            </w14:solidFill>
          </w14:textFill>
        </w:rPr>
      </w:pPr>
      <w:bookmarkStart w:id="25" w:name="OLE_LINK92"/>
      <w:r>
        <w:rPr>
          <w:color w:val="000000" w:themeColor="text1"/>
          <w:sz w:val="24"/>
          <w:szCs w:val="21"/>
          <w14:textFill>
            <w14:solidFill>
              <w14:schemeClr w14:val="tx1"/>
            </w14:solidFill>
          </w14:textFill>
        </w:rPr>
        <w:t>本项目产生的固体废物主要为未沾染化学品的废包装、生物质燃料除尘灰、石灰仓除尘灰、生物质燃烧飞灰、炉渣、生物质锅炉脱硫灰渣，化学水处理产生的废反渗透膜、废离子交换树脂、除尘器废布袋；沾染化学品的废包装、脱硝废催化剂、废润滑油、废油桶及生活垃圾、食堂隔油池废油。</w:t>
      </w:r>
    </w:p>
    <w:bookmarkEnd w:id="25"/>
    <w:p w14:paraId="7FC4A0EE">
      <w:pPr>
        <w:adjustRightInd w:val="0"/>
        <w:spacing w:line="460" w:lineRule="exact"/>
        <w:ind w:firstLine="48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（1）一般工业固体废物</w:t>
      </w:r>
    </w:p>
    <w:p w14:paraId="2E479ED4">
      <w:pPr>
        <w:adjustRightInd w:val="0"/>
        <w:spacing w:line="460" w:lineRule="exact"/>
        <w:ind w:firstLine="480" w:firstLineChars="200"/>
        <w:rPr>
          <w:color w:val="000000" w:themeColor="text1"/>
          <w:sz w:val="24"/>
          <w:szCs w:val="21"/>
          <w14:textFill>
            <w14:solidFill>
              <w14:schemeClr w14:val="tx1"/>
            </w14:solidFill>
          </w14:textFill>
        </w:rPr>
      </w:pPr>
      <w:bookmarkStart w:id="26" w:name="OLE_LINK179"/>
      <w:r>
        <w:rPr>
          <w:rFonts w:ascii="Cambria Math" w:hAnsi="Cambria Math" w:cs="Cambria Math"/>
          <w:color w:val="000000" w:themeColor="text1"/>
          <w:sz w:val="24"/>
          <w:szCs w:val="21"/>
          <w14:textFill>
            <w14:solidFill>
              <w14:schemeClr w14:val="tx1"/>
            </w14:solidFill>
          </w14:textFill>
        </w:rPr>
        <w:t>①</w:t>
      </w:r>
      <w:r>
        <w:rPr>
          <w:color w:val="000000" w:themeColor="text1"/>
          <w:sz w:val="24"/>
          <w:szCs w:val="21"/>
          <w14:textFill>
            <w14:solidFill>
              <w14:schemeClr w14:val="tx1"/>
            </w14:solidFill>
          </w14:textFill>
        </w:rPr>
        <w:t>生物质燃料破碎及料坑、料仓落料除尘灰</w:t>
      </w:r>
      <w:bookmarkEnd w:id="26"/>
    </w:p>
    <w:p w14:paraId="0CA4E64A">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生物质燃料除尘灰产生量为42.573t/a，收集后直接回用于生物质锅炉燃烧。</w:t>
      </w:r>
    </w:p>
    <w:p w14:paraId="4B543FAA">
      <w:pPr>
        <w:adjustRightInd w:val="0"/>
        <w:spacing w:line="460" w:lineRule="exact"/>
        <w:ind w:firstLine="480" w:firstLineChars="200"/>
        <w:rPr>
          <w:color w:val="000000" w:themeColor="text1"/>
          <w:sz w:val="24"/>
          <w:szCs w:val="21"/>
          <w14:textFill>
            <w14:solidFill>
              <w14:schemeClr w14:val="tx1"/>
            </w14:solidFill>
          </w14:textFill>
        </w:rPr>
      </w:pPr>
      <w:r>
        <w:rPr>
          <w:rFonts w:ascii="Cambria Math" w:hAnsi="Cambria Math" w:cs="Cambria Math"/>
          <w:color w:val="000000" w:themeColor="text1"/>
          <w:sz w:val="24"/>
          <w:szCs w:val="21"/>
          <w14:textFill>
            <w14:solidFill>
              <w14:schemeClr w14:val="tx1"/>
            </w14:solidFill>
          </w14:textFill>
        </w:rPr>
        <w:t>②</w:t>
      </w:r>
      <w:r>
        <w:rPr>
          <w:color w:val="000000" w:themeColor="text1"/>
          <w:sz w:val="24"/>
          <w:szCs w:val="21"/>
          <w14:textFill>
            <w14:solidFill>
              <w14:schemeClr w14:val="tx1"/>
            </w14:solidFill>
          </w14:textFill>
        </w:rPr>
        <w:t>石灰仓除尘灰</w:t>
      </w:r>
    </w:p>
    <w:p w14:paraId="564F66F9">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石灰仓除尘器除尘灰0.990t/a，除尘器定期清灰直接落入石灰仓中，回用于脱硫。</w:t>
      </w:r>
    </w:p>
    <w:p w14:paraId="3430EE2E">
      <w:pPr>
        <w:adjustRightInd w:val="0"/>
        <w:spacing w:line="480" w:lineRule="exact"/>
        <w:ind w:firstLine="480" w:firstLineChars="200"/>
        <w:rPr>
          <w:rFonts w:hint="eastAsia"/>
          <w:color w:val="000000" w:themeColor="text1"/>
          <w:sz w:val="24"/>
          <w:szCs w:val="21"/>
          <w:lang w:eastAsia="zh-CN"/>
          <w14:textFill>
            <w14:solidFill>
              <w14:schemeClr w14:val="tx1"/>
            </w14:solidFill>
          </w14:textFill>
        </w:rPr>
      </w:pPr>
      <w:r>
        <w:rPr>
          <w:rFonts w:ascii="Cambria Math" w:hAnsi="Cambria Math" w:cs="Cambria Math"/>
          <w:color w:val="000000" w:themeColor="text1"/>
          <w:sz w:val="24"/>
          <w:szCs w:val="21"/>
          <w14:textFill>
            <w14:solidFill>
              <w14:schemeClr w14:val="tx1"/>
            </w14:solidFill>
          </w14:textFill>
        </w:rPr>
        <w:t>③</w:t>
      </w:r>
      <w:r>
        <w:rPr>
          <w:color w:val="000000" w:themeColor="text1"/>
          <w:sz w:val="24"/>
          <w:szCs w:val="21"/>
          <w14:textFill>
            <w14:solidFill>
              <w14:schemeClr w14:val="tx1"/>
            </w14:solidFill>
          </w14:textFill>
        </w:rPr>
        <w:t>生物质燃烧飞灰</w:t>
      </w:r>
    </w:p>
    <w:p w14:paraId="69544885">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由袋式除尘器收集后通过密闭气力输送系统输送至灰仓暂存后委外处理。生物质燃烧飞灰中富含钾、钙、磷等，且多数呈碱性，可以用于制作土壤改良剂或与制作有机肥。</w:t>
      </w:r>
    </w:p>
    <w:p w14:paraId="479DF593">
      <w:pPr>
        <w:adjustRightInd w:val="0"/>
        <w:spacing w:line="460" w:lineRule="exact"/>
        <w:ind w:firstLine="480" w:firstLineChars="200"/>
        <w:rPr>
          <w:color w:val="000000" w:themeColor="text1"/>
          <w:sz w:val="24"/>
          <w:szCs w:val="21"/>
          <w14:textFill>
            <w14:solidFill>
              <w14:schemeClr w14:val="tx1"/>
            </w14:solidFill>
          </w14:textFill>
        </w:rPr>
      </w:pPr>
      <w:r>
        <w:rPr>
          <w:rFonts w:ascii="Cambria Math" w:hAnsi="Cambria Math" w:cs="Cambria Math"/>
          <w:color w:val="000000" w:themeColor="text1"/>
          <w:sz w:val="24"/>
          <w:szCs w:val="21"/>
          <w14:textFill>
            <w14:solidFill>
              <w14:schemeClr w14:val="tx1"/>
            </w14:solidFill>
          </w14:textFill>
        </w:rPr>
        <w:t>④</w:t>
      </w:r>
      <w:r>
        <w:rPr>
          <w:color w:val="000000" w:themeColor="text1"/>
          <w:sz w:val="24"/>
          <w:szCs w:val="21"/>
          <w14:textFill>
            <w14:solidFill>
              <w14:schemeClr w14:val="tx1"/>
            </w14:solidFill>
          </w14:textFill>
        </w:rPr>
        <w:t>燃烧飞灰仓除尘灰</w:t>
      </w:r>
    </w:p>
    <w:p w14:paraId="11E2ED55">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生物质燃烧飞灰仓除尘灰产生量14.398t/a，收集后与飞灰一并委外处理用于制作土壤改良剂或制作有机肥。</w:t>
      </w:r>
    </w:p>
    <w:p w14:paraId="79788F42">
      <w:pPr>
        <w:adjustRightInd w:val="0"/>
        <w:spacing w:line="460" w:lineRule="exact"/>
        <w:ind w:firstLine="480" w:firstLineChars="200"/>
        <w:rPr>
          <w:color w:val="000000" w:themeColor="text1"/>
          <w:sz w:val="24"/>
          <w:szCs w:val="21"/>
          <w14:textFill>
            <w14:solidFill>
              <w14:schemeClr w14:val="tx1"/>
            </w14:solidFill>
          </w14:textFill>
        </w:rPr>
      </w:pPr>
      <w:r>
        <w:rPr>
          <w:rFonts w:ascii="Cambria Math" w:hAnsi="Cambria Math" w:cs="Cambria Math"/>
          <w:color w:val="000000" w:themeColor="text1"/>
          <w:sz w:val="24"/>
          <w:szCs w:val="21"/>
          <w14:textFill>
            <w14:solidFill>
              <w14:schemeClr w14:val="tx1"/>
            </w14:solidFill>
          </w14:textFill>
        </w:rPr>
        <w:t>⑤</w:t>
      </w:r>
      <w:r>
        <w:rPr>
          <w:color w:val="000000" w:themeColor="text1"/>
          <w:sz w:val="24"/>
          <w:szCs w:val="21"/>
          <w14:textFill>
            <w14:solidFill>
              <w14:schemeClr w14:val="tx1"/>
            </w14:solidFill>
          </w14:textFill>
        </w:rPr>
        <w:t>生物质锅炉炉渣</w:t>
      </w:r>
    </w:p>
    <w:p w14:paraId="5E228F00">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用湿式出渣系统，均经冷渣机处理，处理后通过厂内运输车辆运输至封闭渣库中暂存。</w:t>
      </w:r>
    </w:p>
    <w:p w14:paraId="2EF548FF">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生物质锅炉炉渣总产生量21675t/a，全部委外处理用于生产建材。</w:t>
      </w:r>
    </w:p>
    <w:p w14:paraId="273339F9">
      <w:pPr>
        <w:adjustRightInd w:val="0"/>
        <w:spacing w:line="460" w:lineRule="exact"/>
        <w:ind w:firstLine="480" w:firstLineChars="200"/>
        <w:rPr>
          <w:color w:val="000000" w:themeColor="text1"/>
          <w:sz w:val="24"/>
          <w:szCs w:val="21"/>
          <w14:textFill>
            <w14:solidFill>
              <w14:schemeClr w14:val="tx1"/>
            </w14:solidFill>
          </w14:textFill>
        </w:rPr>
      </w:pPr>
      <w:r>
        <w:rPr>
          <w:rFonts w:ascii="Cambria Math" w:hAnsi="Cambria Math" w:cs="Cambria Math"/>
          <w:color w:val="000000" w:themeColor="text1"/>
          <w:sz w:val="24"/>
          <w:szCs w:val="21"/>
          <w14:textFill>
            <w14:solidFill>
              <w14:schemeClr w14:val="tx1"/>
            </w14:solidFill>
          </w14:textFill>
        </w:rPr>
        <w:t>⑥</w:t>
      </w:r>
      <w:r>
        <w:rPr>
          <w:color w:val="000000" w:themeColor="text1"/>
          <w:sz w:val="24"/>
          <w:szCs w:val="21"/>
          <w14:textFill>
            <w14:solidFill>
              <w14:schemeClr w14:val="tx1"/>
            </w14:solidFill>
          </w14:textFill>
        </w:rPr>
        <w:t>废反渗透膜</w:t>
      </w:r>
    </w:p>
    <w:p w14:paraId="7343D6D4">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化学水处理系统产生废反渗透膜产生量为2t/a，由水处理设备厂家更换后直接回收利用。</w:t>
      </w:r>
    </w:p>
    <w:p w14:paraId="0C9566E6">
      <w:pPr>
        <w:adjustRightInd w:val="0"/>
        <w:spacing w:line="460" w:lineRule="exact"/>
        <w:ind w:firstLine="480" w:firstLineChars="200"/>
        <w:rPr>
          <w:color w:val="000000" w:themeColor="text1"/>
          <w:sz w:val="24"/>
          <w:szCs w:val="21"/>
          <w14:textFill>
            <w14:solidFill>
              <w14:schemeClr w14:val="tx1"/>
            </w14:solidFill>
          </w14:textFill>
        </w:rPr>
      </w:pPr>
      <w:r>
        <w:rPr>
          <w:rFonts w:ascii="Cambria Math" w:hAnsi="Cambria Math" w:cs="Cambria Math"/>
          <w:color w:val="000000" w:themeColor="text1"/>
          <w:sz w:val="24"/>
          <w:szCs w:val="21"/>
          <w14:textFill>
            <w14:solidFill>
              <w14:schemeClr w14:val="tx1"/>
            </w14:solidFill>
          </w14:textFill>
        </w:rPr>
        <w:t>⑦</w:t>
      </w:r>
      <w:r>
        <w:rPr>
          <w:color w:val="000000" w:themeColor="text1"/>
          <w:sz w:val="24"/>
          <w:szCs w:val="21"/>
          <w14:textFill>
            <w14:solidFill>
              <w14:schemeClr w14:val="tx1"/>
            </w14:solidFill>
          </w14:textFill>
        </w:rPr>
        <w:t>废离子交换树脂</w:t>
      </w:r>
    </w:p>
    <w:p w14:paraId="5A993DF9">
      <w:pPr>
        <w:adjustRightInd w:val="0"/>
        <w:spacing w:line="460" w:lineRule="exact"/>
        <w:ind w:firstLine="480" w:firstLineChars="200"/>
        <w:rPr>
          <w:color w:val="000000" w:themeColor="text1"/>
          <w:sz w:val="24"/>
          <w:szCs w:val="21"/>
          <w14:textFill>
            <w14:solidFill>
              <w14:schemeClr w14:val="tx1"/>
            </w14:solidFill>
          </w14:textFill>
        </w:rPr>
      </w:pPr>
      <w:bookmarkStart w:id="27" w:name="OLE_LINK182"/>
      <w:r>
        <w:rPr>
          <w:color w:val="000000" w:themeColor="text1"/>
          <w:sz w:val="24"/>
          <w:szCs w:val="21"/>
          <w14:textFill>
            <w14:solidFill>
              <w14:schemeClr w14:val="tx1"/>
            </w14:solidFill>
          </w14:textFill>
        </w:rPr>
        <w:t>化学水处理系统产生废离子交换树脂产生量1t/a，由水处理设备厂家更换后直接回收利用。</w:t>
      </w:r>
    </w:p>
    <w:bookmarkEnd w:id="27"/>
    <w:p w14:paraId="43EB710B">
      <w:pPr>
        <w:adjustRightInd w:val="0"/>
        <w:spacing w:line="460" w:lineRule="exact"/>
        <w:ind w:firstLine="480" w:firstLineChars="200"/>
        <w:rPr>
          <w:color w:val="000000" w:themeColor="text1"/>
          <w:sz w:val="24"/>
          <w:szCs w:val="21"/>
          <w14:textFill>
            <w14:solidFill>
              <w14:schemeClr w14:val="tx1"/>
            </w14:solidFill>
          </w14:textFill>
        </w:rPr>
      </w:pPr>
      <w:r>
        <w:rPr>
          <w:rFonts w:ascii="Cambria Math" w:hAnsi="Cambria Math" w:cs="Cambria Math"/>
          <w:color w:val="000000" w:themeColor="text1"/>
          <w:sz w:val="24"/>
          <w:szCs w:val="21"/>
          <w14:textFill>
            <w14:solidFill>
              <w14:schemeClr w14:val="tx1"/>
            </w14:solidFill>
          </w14:textFill>
        </w:rPr>
        <w:t>⑧</w:t>
      </w:r>
      <w:r>
        <w:rPr>
          <w:color w:val="000000" w:themeColor="text1"/>
          <w:sz w:val="24"/>
          <w:szCs w:val="21"/>
          <w14:textFill>
            <w14:solidFill>
              <w14:schemeClr w14:val="tx1"/>
            </w14:solidFill>
          </w14:textFill>
        </w:rPr>
        <w:t>未沾染化学品的废包装</w:t>
      </w:r>
    </w:p>
    <w:p w14:paraId="3A5C88F1">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未沾染化学品的原辅料废包装，产生量约2t/a，收集后在化水车间暂存后外售综合利用。</w:t>
      </w:r>
    </w:p>
    <w:p w14:paraId="047D26E3">
      <w:pPr>
        <w:adjustRightInd w:val="0"/>
        <w:spacing w:line="460" w:lineRule="exact"/>
        <w:ind w:firstLine="480" w:firstLineChars="200"/>
        <w:rPr>
          <w:color w:val="000000" w:themeColor="text1"/>
          <w:sz w:val="24"/>
          <w:szCs w:val="21"/>
          <w14:textFill>
            <w14:solidFill>
              <w14:schemeClr w14:val="tx1"/>
            </w14:solidFill>
          </w14:textFill>
        </w:rPr>
      </w:pPr>
      <w:r>
        <w:rPr>
          <w:rFonts w:ascii="Cambria Math" w:hAnsi="Cambria Math" w:cs="Cambria Math"/>
          <w:color w:val="000000" w:themeColor="text1"/>
          <w:sz w:val="24"/>
          <w:szCs w:val="21"/>
          <w14:textFill>
            <w14:solidFill>
              <w14:schemeClr w14:val="tx1"/>
            </w14:solidFill>
          </w14:textFill>
        </w:rPr>
        <w:t>⑨</w:t>
      </w:r>
      <w:r>
        <w:rPr>
          <w:color w:val="000000" w:themeColor="text1"/>
          <w:sz w:val="24"/>
          <w:szCs w:val="21"/>
          <w14:textFill>
            <w14:solidFill>
              <w14:schemeClr w14:val="tx1"/>
            </w14:solidFill>
          </w14:textFill>
        </w:rPr>
        <w:t>除尘器废布袋</w:t>
      </w:r>
    </w:p>
    <w:p w14:paraId="30ADFA0D">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袋式除尘器废布袋产生量约0.5t/a，更换后直接由厂家回收处理。</w:t>
      </w:r>
    </w:p>
    <w:p w14:paraId="4814818E">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（2）危险废物</w:t>
      </w:r>
    </w:p>
    <w:p w14:paraId="55BAF07D">
      <w:pPr>
        <w:adjustRightInd w:val="0"/>
        <w:spacing w:line="460" w:lineRule="exact"/>
        <w:ind w:firstLine="480" w:firstLineChars="200"/>
        <w:rPr>
          <w:color w:val="000000" w:themeColor="text1"/>
          <w:sz w:val="24"/>
          <w:szCs w:val="21"/>
          <w14:textFill>
            <w14:solidFill>
              <w14:schemeClr w14:val="tx1"/>
            </w14:solidFill>
          </w14:textFill>
        </w:rPr>
      </w:pPr>
      <w:r>
        <w:rPr>
          <w:rFonts w:ascii="Cambria Math" w:hAnsi="Cambria Math" w:cs="Cambria Math"/>
          <w:color w:val="000000" w:themeColor="text1"/>
          <w:sz w:val="24"/>
          <w:szCs w:val="21"/>
          <w14:textFill>
            <w14:solidFill>
              <w14:schemeClr w14:val="tx1"/>
            </w14:solidFill>
          </w14:textFill>
        </w:rPr>
        <w:t>①</w:t>
      </w:r>
      <w:r>
        <w:rPr>
          <w:color w:val="000000" w:themeColor="text1"/>
          <w:sz w:val="24"/>
          <w:szCs w:val="21"/>
          <w14:textFill>
            <w14:solidFill>
              <w14:schemeClr w14:val="tx1"/>
            </w14:solidFill>
          </w14:textFill>
        </w:rPr>
        <w:t>废脱硝催化剂</w:t>
      </w:r>
    </w:p>
    <w:p w14:paraId="7FA8C552">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脱硝催化剂3年更换一次，产生量约为15t/次（平均5t/a）。根据《国家危险废物名录》（2025年版），脱硝废催化剂危废代码为HW50（772-007-50），暂存于厂内危废暂存间，定期委托有资质单位处置。</w:t>
      </w:r>
    </w:p>
    <w:p w14:paraId="08A6D9CC">
      <w:pPr>
        <w:adjustRightInd w:val="0"/>
        <w:spacing w:line="460" w:lineRule="exact"/>
        <w:ind w:firstLine="480" w:firstLineChars="200"/>
        <w:rPr>
          <w:color w:val="000000" w:themeColor="text1"/>
          <w:sz w:val="24"/>
          <w:szCs w:val="21"/>
          <w14:textFill>
            <w14:solidFill>
              <w14:schemeClr w14:val="tx1"/>
            </w14:solidFill>
          </w14:textFill>
        </w:rPr>
      </w:pPr>
      <w:r>
        <w:rPr>
          <w:rFonts w:ascii="Cambria Math" w:hAnsi="Cambria Math" w:cs="Cambria Math"/>
          <w:color w:val="000000" w:themeColor="text1"/>
          <w:sz w:val="24"/>
          <w:szCs w:val="21"/>
          <w14:textFill>
            <w14:solidFill>
              <w14:schemeClr w14:val="tx1"/>
            </w14:solidFill>
          </w14:textFill>
        </w:rPr>
        <w:t>②</w:t>
      </w:r>
      <w:r>
        <w:rPr>
          <w:color w:val="000000" w:themeColor="text1"/>
          <w:sz w:val="24"/>
          <w:szCs w:val="21"/>
          <w14:textFill>
            <w14:solidFill>
              <w14:schemeClr w14:val="tx1"/>
            </w14:solidFill>
          </w14:textFill>
        </w:rPr>
        <w:t>废润滑油、废油桶</w:t>
      </w:r>
    </w:p>
    <w:p w14:paraId="03FE1618">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设备维修维护产生</w:t>
      </w:r>
      <w:bookmarkStart w:id="28" w:name="OLE_LINK181"/>
      <w:r>
        <w:rPr>
          <w:color w:val="000000" w:themeColor="text1"/>
          <w:sz w:val="24"/>
          <w:szCs w:val="21"/>
          <w14:textFill>
            <w14:solidFill>
              <w14:schemeClr w14:val="tx1"/>
            </w14:solidFill>
          </w14:textFill>
        </w:rPr>
        <w:t>废润滑油、废油桶</w:t>
      </w:r>
      <w:bookmarkEnd w:id="28"/>
      <w:r>
        <w:rPr>
          <w:color w:val="000000" w:themeColor="text1"/>
          <w:sz w:val="24"/>
          <w:szCs w:val="21"/>
          <w14:textFill>
            <w14:solidFill>
              <w14:schemeClr w14:val="tx1"/>
            </w14:solidFill>
          </w14:textFill>
        </w:rPr>
        <w:t>，产生量分别1t/a、0.2t/a，</w:t>
      </w:r>
      <w:bookmarkStart w:id="29" w:name="OLE_LINK86"/>
      <w:r>
        <w:rPr>
          <w:color w:val="000000" w:themeColor="text1"/>
          <w:sz w:val="24"/>
          <w:szCs w:val="21"/>
          <w14:textFill>
            <w14:solidFill>
              <w14:schemeClr w14:val="tx1"/>
            </w14:solidFill>
          </w14:textFill>
        </w:rPr>
        <w:t>根据《国家危险废物名录》（2025年版），废润滑油危废代码为HW08（900-217-08），废油桶危废代码为 HW08（900-249-08），存放在厂内危废暂存间，定期委托有资质单位处置。</w:t>
      </w:r>
    </w:p>
    <w:bookmarkEnd w:id="29"/>
    <w:p w14:paraId="45A245EC">
      <w:pPr>
        <w:adjustRightInd w:val="0"/>
        <w:spacing w:line="460" w:lineRule="exact"/>
        <w:ind w:firstLine="480"/>
        <w:rPr>
          <w:color w:val="000000" w:themeColor="text1"/>
          <w:sz w:val="24"/>
          <w:szCs w:val="21"/>
          <w14:textFill>
            <w14:solidFill>
              <w14:schemeClr w14:val="tx1"/>
            </w14:solidFill>
          </w14:textFill>
        </w:rPr>
      </w:pPr>
      <w:r>
        <w:rPr>
          <w:rFonts w:ascii="Cambria Math" w:hAnsi="Cambria Math" w:cs="Cambria Math"/>
          <w:color w:val="000000" w:themeColor="text1"/>
          <w:sz w:val="24"/>
          <w:szCs w:val="21"/>
          <w14:textFill>
            <w14:solidFill>
              <w14:schemeClr w14:val="tx1"/>
            </w14:solidFill>
          </w14:textFill>
        </w:rPr>
        <w:t>③</w:t>
      </w:r>
      <w:r>
        <w:rPr>
          <w:color w:val="000000" w:themeColor="text1"/>
          <w:sz w:val="24"/>
          <w:szCs w:val="21"/>
          <w14:textFill>
            <w14:solidFill>
              <w14:schemeClr w14:val="tx1"/>
            </w14:solidFill>
          </w14:textFill>
        </w:rPr>
        <w:t>沾染化学品的废包装</w:t>
      </w:r>
    </w:p>
    <w:p w14:paraId="4C4EBCB2">
      <w:pPr>
        <w:adjustRightInd w:val="0"/>
        <w:spacing w:line="48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沾染化学品的废包装产生量为0.2t/a，根据《国家危险废物名录》（2025年版），废内包装危废代码为HW49（900-041-49），暂存在厂内危废暂存间，定期委托有资质单位处置。</w:t>
      </w:r>
    </w:p>
    <w:p w14:paraId="515F0582">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（3）生活垃圾</w:t>
      </w:r>
    </w:p>
    <w:p w14:paraId="456338CC">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职工生活会产生生活垃圾，产生量按每人每天产生0.5kg计算，项目劳动定员110人，运行时间365d/a，生活垃圾产生量20.075t/a，经收集后交由当地环卫部门及时清运并处置。</w:t>
      </w:r>
    </w:p>
    <w:p w14:paraId="0A86CB85">
      <w:pPr>
        <w:adjustRightInd w:val="0"/>
        <w:spacing w:line="460" w:lineRule="exact"/>
        <w:ind w:firstLine="480" w:firstLineChars="200"/>
        <w:rPr>
          <w:color w:val="000000" w:themeColor="text1"/>
          <w:sz w:val="24"/>
          <w:szCs w:val="21"/>
          <w14:textFill>
            <w14:solidFill>
              <w14:schemeClr w14:val="tx1"/>
            </w14:solidFill>
          </w14:textFill>
        </w:rPr>
      </w:pPr>
      <w:r>
        <w:rPr>
          <w:color w:val="000000" w:themeColor="text1"/>
          <w:sz w:val="24"/>
          <w:szCs w:val="21"/>
          <w14:textFill>
            <w14:solidFill>
              <w14:schemeClr w14:val="tx1"/>
            </w14:solidFill>
          </w14:textFill>
        </w:rPr>
        <w:t>食堂隔油池会产生废食用油，产生量0.5t/a，定期清理后由专门的餐厨垃圾处理公司清运处置。</w:t>
      </w:r>
    </w:p>
    <w:p w14:paraId="2BFD8F0B">
      <w:pPr>
        <w:adjustRightInd w:val="0"/>
        <w:spacing w:line="460" w:lineRule="exact"/>
        <w:ind w:firstLine="480" w:firstLineChars="200"/>
        <w:rPr>
          <w:color w:val="000000" w:themeColor="text1"/>
          <w:sz w:val="24"/>
          <w:szCs w:val="21"/>
          <w:lang w:bidi="ar"/>
          <w14:textFill>
            <w14:solidFill>
              <w14:schemeClr w14:val="tx1"/>
            </w14:solidFill>
          </w14:textFill>
        </w:rPr>
      </w:pPr>
      <w:r>
        <w:rPr>
          <w:color w:val="000000" w:themeColor="text1"/>
          <w:sz w:val="24"/>
          <w:szCs w:val="21"/>
          <w:lang w:bidi="ar"/>
          <w14:textFill>
            <w14:solidFill>
              <w14:schemeClr w14:val="tx1"/>
            </w14:solidFill>
          </w14:textFill>
        </w:rPr>
        <w:t>项目产生的固体废物全部合理处置，贮存、处置等过程符合相关管理要求，项目固废不会对周围环境产生明显影响。</w:t>
      </w:r>
    </w:p>
    <w:p w14:paraId="53F67578">
      <w:pPr>
        <w:pStyle w:val="7"/>
        <w:ind w:firstLine="480"/>
        <w:rPr>
          <w:color w:val="000000" w:themeColor="text1"/>
          <w14:textFill>
            <w14:solidFill>
              <w14:schemeClr w14:val="tx1"/>
            </w14:solidFill>
          </w14:textFill>
        </w:rPr>
      </w:pPr>
      <w:bookmarkStart w:id="30" w:name="OLE_LINK99"/>
      <w:r>
        <w:rPr>
          <w:color w:val="000000" w:themeColor="text1"/>
          <w14:textFill>
            <w14:solidFill>
              <w14:schemeClr w14:val="tx1"/>
            </w14:solidFill>
          </w14:textFill>
        </w:rPr>
        <w:t>项目建设符合国家产业政策和“三线一单”及环境管控要求，符合园区规划要求；在满足本报告表提出的污染物防治措施前提下，废气、废水、噪声达标排放，固体废物得到合理处置，对周围环境影响较小，且项目环境风险可防控，从环境保护的角度分析，项目建设可行。</w:t>
      </w:r>
    </w:p>
    <w:bookmarkEnd w:id="30"/>
    <w:p w14:paraId="2DAF97EB">
      <w:pPr>
        <w:ind w:firstLine="480" w:firstLineChars="200"/>
        <w:rPr>
          <w:rFonts w:hint="eastAsia"/>
          <w:color w:val="000000" w:themeColor="text1"/>
          <w:sz w:val="24"/>
          <w:szCs w:val="21"/>
          <w:lang w:val="en-US" w:eastAsia="zh-CN"/>
          <w14:textFill>
            <w14:solidFill>
              <w14:schemeClr w14:val="tx1"/>
            </w14:solidFill>
          </w14:textFill>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Nimbus Roman No9 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Nimbus Roman No9 L">
    <w:panose1 w:val="00000000000000000000"/>
    <w:charset w:val="00"/>
    <w:family w:val="auto"/>
    <w:pitch w:val="default"/>
    <w:sig w:usb0="00000000" w:usb1="00000000" w:usb2="00000000" w:usb3="00000000" w:csb0="00000000" w:csb1="00000000"/>
  </w:font>
  <w:font w:name="Calibri">
    <w:altName w:val="Nimbus Roman No9 L"/>
    <w:panose1 w:val="020F0502020204030204"/>
    <w:charset w:val="00"/>
    <w:family w:val="swiss"/>
    <w:pitch w:val="default"/>
    <w:sig w:usb0="00000000" w:usb1="00000000" w:usb2="00000001" w:usb3="00000000" w:csb0="0000019F" w:csb1="00000000"/>
  </w:font>
  <w:font w:name="Cambria Math">
    <w:altName w:val="DejaVu Math TeX Gyre"/>
    <w:panose1 w:val="02040503050406030204"/>
    <w:charset w:val="00"/>
    <w:family w:val="roman"/>
    <w:pitch w:val="default"/>
    <w:sig w:usb0="00000000" w:usb1="00000000" w:usb2="02000000" w:usb3="00000000" w:csb0="2000019F" w:csb1="00000000"/>
  </w:font>
  <w:font w:name="DejaVu Math TeX Gyre">
    <w:panose1 w:val="02000503000000000000"/>
    <w:charset w:val="00"/>
    <w:family w:val="auto"/>
    <w:pitch w:val="default"/>
    <w:sig w:usb0="A10000EF" w:usb1="4201F9EE" w:usb2="02000000" w:usb3="00000000" w:csb0="60000193" w:csb1="0DD40000"/>
  </w:font>
  <w:font w:name="方正仿宋_GBK">
    <w:panose1 w:val="02000000000000000000"/>
    <w:charset w:val="86"/>
    <w:family w:val="auto"/>
    <w:pitch w:val="default"/>
    <w:sig w:usb0="00000001" w:usb1="08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3CB5FFB"/>
    <w:rsid w:val="21837F15"/>
    <w:rsid w:val="31124E12"/>
    <w:rsid w:val="3A827715"/>
    <w:rsid w:val="4D1485C7"/>
    <w:rsid w:val="5C0F1DCA"/>
    <w:rsid w:val="6BE87D5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annotation text"/>
    <w:basedOn w:val="1"/>
    <w:qFormat/>
    <w:uiPriority w:val="0"/>
    <w:pPr>
      <w:jc w:val="left"/>
    </w:pPr>
    <w:rPr>
      <w:kern w:val="0"/>
      <w:sz w:val="24"/>
      <w:szCs w:val="20"/>
    </w:rPr>
  </w:style>
  <w:style w:type="table" w:styleId="4">
    <w:name w:val="Table Grid"/>
    <w:basedOn w:val="3"/>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6">
    <w:name w:val="annotation reference"/>
    <w:qFormat/>
    <w:uiPriority w:val="0"/>
    <w:rPr>
      <w:sz w:val="21"/>
    </w:rPr>
  </w:style>
  <w:style w:type="paragraph" w:customStyle="1" w:styleId="7">
    <w:name w:val="正文右侧"/>
    <w:basedOn w:val="8"/>
    <w:qFormat/>
    <w:uiPriority w:val="0"/>
    <w:pPr>
      <w:spacing w:line="460" w:lineRule="exact"/>
      <w:ind w:firstLine="200" w:firstLineChars="200"/>
      <w:jc w:val="both"/>
    </w:pPr>
    <w:rPr>
      <w:sz w:val="24"/>
    </w:rPr>
  </w:style>
  <w:style w:type="paragraph" w:customStyle="1" w:styleId="8">
    <w:name w:val="0-6表格内"/>
    <w:basedOn w:val="1"/>
    <w:qFormat/>
    <w:uiPriority w:val="0"/>
    <w:pPr>
      <w:adjustRightInd w:val="0"/>
      <w:jc w:val="center"/>
    </w:pPr>
    <w:rPr>
      <w:sz w:val="18"/>
      <w:szCs w:val="21"/>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11</Pages>
  <Words>0</Words>
  <Characters>0</Characters>
  <Lines>0</Lines>
  <Paragraphs>0</Paragraphs>
  <TotalTime>0</TotalTime>
  <ScaleCrop>false</ScaleCrop>
  <LinksUpToDate>false</LinksUpToDate>
  <CharactersWithSpaces>0</CharactersWithSpaces>
  <Application>WPS Office_12.8.2.21176_F1E327BC-269C-435d-A152-05C5408002CA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2026-06-24T11:02:00Z</dcterms:created>
  <dc:creator>X.L.Schillor</dc:creator>
  <cp:lastModifiedBy>-</cp:lastModifiedBy>
  <dcterms:modified xsi:type="dcterms:W3CDTF">2026-06-29T10:01:15Z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2052-12.8.2.21176</vt:lpwstr>
  </property>
  <property fmtid="{D5CDD505-2E9C-101B-9397-08002B2CF9AE}" pid="3" name="KSOTemplateDocerSaveRecord">
    <vt:lpwstr>eyJoZGlkIjoiNjRkODU1MDMwNjdhNTM4YTAzMzliOGJiZmY0YTI3YjgiLCJ1c2VySWQiOiIxNzEwNjc5MTU1In0=</vt:lpwstr>
  </property>
  <property fmtid="{D5CDD505-2E9C-101B-9397-08002B2CF9AE}" pid="4" name="ICV">
    <vt:lpwstr>503B39592EDAE2D8EBD1416AB66FA43C_43</vt:lpwstr>
  </property>
</Properties>
</file>