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6D4E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 w:val="30"/>
          <w:szCs w:val="30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highlight w:val="none"/>
          <w:lang w:eastAsia="zh-CN"/>
        </w:rPr>
        <w:t>附件</w:t>
      </w:r>
      <w:bookmarkStart w:id="0" w:name="_GoBack"/>
      <w:bookmarkEnd w:id="0"/>
    </w:p>
    <w:p w14:paraId="5E0D0E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  <w:lang w:eastAsia="zh-CN"/>
        </w:rPr>
        <w:t>家庭养老床位配置项目参考清单（适老化改造）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1122"/>
        <w:gridCol w:w="1529"/>
        <w:gridCol w:w="3858"/>
        <w:gridCol w:w="1183"/>
      </w:tblGrid>
      <w:tr w14:paraId="7B39B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top"/>
          </w:tcPr>
          <w:p w14:paraId="6DB17E87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序号</w:t>
            </w:r>
          </w:p>
        </w:tc>
        <w:tc>
          <w:tcPr>
            <w:tcW w:w="1187" w:type="dxa"/>
            <w:noWrap w:val="0"/>
            <w:vAlign w:val="top"/>
          </w:tcPr>
          <w:p w14:paraId="3F7C3771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类别</w:t>
            </w:r>
          </w:p>
        </w:tc>
        <w:tc>
          <w:tcPr>
            <w:tcW w:w="1613" w:type="dxa"/>
            <w:noWrap w:val="0"/>
            <w:vAlign w:val="top"/>
          </w:tcPr>
          <w:p w14:paraId="7A2E165C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项目名称</w:t>
            </w:r>
          </w:p>
        </w:tc>
        <w:tc>
          <w:tcPr>
            <w:tcW w:w="4160" w:type="dxa"/>
            <w:noWrap w:val="0"/>
            <w:vAlign w:val="top"/>
          </w:tcPr>
          <w:p w14:paraId="4D2E28EA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具体内容</w:t>
            </w:r>
          </w:p>
        </w:tc>
        <w:tc>
          <w:tcPr>
            <w:tcW w:w="1234" w:type="dxa"/>
            <w:noWrap w:val="0"/>
            <w:vAlign w:val="top"/>
          </w:tcPr>
          <w:p w14:paraId="46C6806E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项目类型</w:t>
            </w:r>
          </w:p>
        </w:tc>
      </w:tr>
      <w:tr w14:paraId="7A8CD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45CE29A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default" w:ascii="Calibri" w:hAnsi="Calibri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187" w:type="dxa"/>
            <w:vMerge w:val="restart"/>
            <w:noWrap w:val="0"/>
            <w:vAlign w:val="center"/>
          </w:tcPr>
          <w:p w14:paraId="5FEE651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地面改造</w:t>
            </w:r>
          </w:p>
        </w:tc>
        <w:tc>
          <w:tcPr>
            <w:tcW w:w="1613" w:type="dxa"/>
            <w:noWrap w:val="0"/>
            <w:vAlign w:val="top"/>
          </w:tcPr>
          <w:p w14:paraId="0C29DA9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防滑处理</w:t>
            </w:r>
          </w:p>
        </w:tc>
        <w:tc>
          <w:tcPr>
            <w:tcW w:w="4160" w:type="dxa"/>
            <w:noWrap w:val="0"/>
            <w:vAlign w:val="top"/>
          </w:tcPr>
          <w:p w14:paraId="38DD20C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在卫生间、厨房、卧室等区域，铺设防滑砖、防滑地胶等</w:t>
            </w:r>
          </w:p>
        </w:tc>
        <w:tc>
          <w:tcPr>
            <w:tcW w:w="1234" w:type="dxa"/>
            <w:noWrap w:val="0"/>
            <w:vAlign w:val="top"/>
          </w:tcPr>
          <w:p w14:paraId="492BE7D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基础</w:t>
            </w:r>
          </w:p>
        </w:tc>
      </w:tr>
      <w:tr w14:paraId="0E91C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3332FCD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default" w:ascii="Calibri" w:hAnsi="Calibri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187" w:type="dxa"/>
            <w:vMerge w:val="continue"/>
            <w:noWrap w:val="0"/>
            <w:vAlign w:val="center"/>
          </w:tcPr>
          <w:p w14:paraId="364B810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613" w:type="dxa"/>
            <w:noWrap w:val="0"/>
            <w:vAlign w:val="top"/>
          </w:tcPr>
          <w:p w14:paraId="434D29F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高差处理</w:t>
            </w:r>
          </w:p>
        </w:tc>
        <w:tc>
          <w:tcPr>
            <w:tcW w:w="4160" w:type="dxa"/>
            <w:noWrap w:val="0"/>
            <w:vAlign w:val="top"/>
          </w:tcPr>
          <w:p w14:paraId="0B10986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铺设水泥坡道或者加设橡胶等材质的可移动式坡道</w:t>
            </w:r>
          </w:p>
        </w:tc>
        <w:tc>
          <w:tcPr>
            <w:tcW w:w="1234" w:type="dxa"/>
            <w:noWrap w:val="0"/>
            <w:vAlign w:val="top"/>
          </w:tcPr>
          <w:p w14:paraId="48E0B1D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可选</w:t>
            </w:r>
          </w:p>
        </w:tc>
      </w:tr>
      <w:tr w14:paraId="63A0A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867" w:type="dxa"/>
            <w:noWrap w:val="0"/>
            <w:vAlign w:val="center"/>
          </w:tcPr>
          <w:p w14:paraId="3F0D2CE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Calibri" w:hAnsi="Calibri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187" w:type="dxa"/>
            <w:vMerge w:val="restart"/>
            <w:noWrap w:val="0"/>
            <w:vAlign w:val="center"/>
          </w:tcPr>
          <w:p w14:paraId="4AAA228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门改造</w:t>
            </w:r>
          </w:p>
        </w:tc>
        <w:tc>
          <w:tcPr>
            <w:tcW w:w="1613" w:type="dxa"/>
            <w:noWrap w:val="0"/>
            <w:vAlign w:val="top"/>
          </w:tcPr>
          <w:p w14:paraId="66FB949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门槛移除</w:t>
            </w:r>
          </w:p>
        </w:tc>
        <w:tc>
          <w:tcPr>
            <w:tcW w:w="4160" w:type="dxa"/>
            <w:noWrap w:val="0"/>
            <w:vAlign w:val="top"/>
          </w:tcPr>
          <w:p w14:paraId="18ABFE9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left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移除门槛，便利老年人进出</w:t>
            </w:r>
          </w:p>
        </w:tc>
        <w:tc>
          <w:tcPr>
            <w:tcW w:w="1234" w:type="dxa"/>
            <w:noWrap w:val="0"/>
            <w:vAlign w:val="top"/>
          </w:tcPr>
          <w:p w14:paraId="3ABAF8E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可选</w:t>
            </w:r>
          </w:p>
        </w:tc>
      </w:tr>
      <w:tr w14:paraId="4F5F9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4936FF1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Calibri" w:hAnsi="Calibri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187" w:type="dxa"/>
            <w:vMerge w:val="continue"/>
            <w:noWrap w:val="0"/>
            <w:vAlign w:val="center"/>
          </w:tcPr>
          <w:p w14:paraId="03B244C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613" w:type="dxa"/>
            <w:noWrap w:val="0"/>
            <w:vAlign w:val="top"/>
          </w:tcPr>
          <w:p w14:paraId="1FD8907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房门拓宽</w:t>
            </w:r>
          </w:p>
        </w:tc>
        <w:tc>
          <w:tcPr>
            <w:tcW w:w="4160" w:type="dxa"/>
            <w:noWrap w:val="0"/>
            <w:vAlign w:val="top"/>
          </w:tcPr>
          <w:p w14:paraId="75282D5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对卫生间、厨房等空间较窄的门洞进行拓宽，改善通过性，方便轮椅进出</w:t>
            </w:r>
          </w:p>
        </w:tc>
        <w:tc>
          <w:tcPr>
            <w:tcW w:w="1234" w:type="dxa"/>
            <w:noWrap w:val="0"/>
            <w:vAlign w:val="top"/>
          </w:tcPr>
          <w:p w14:paraId="0FC01BF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可选</w:t>
            </w:r>
          </w:p>
        </w:tc>
      </w:tr>
      <w:tr w14:paraId="1B846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1D7139F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Calibri" w:hAnsi="Calibri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187" w:type="dxa"/>
            <w:vMerge w:val="continue"/>
            <w:noWrap w:val="0"/>
            <w:vAlign w:val="center"/>
          </w:tcPr>
          <w:p w14:paraId="4ECA104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613" w:type="dxa"/>
            <w:noWrap w:val="0"/>
            <w:vAlign w:val="top"/>
          </w:tcPr>
          <w:p w14:paraId="701FFBF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下压式门把手改造</w:t>
            </w:r>
          </w:p>
        </w:tc>
        <w:tc>
          <w:tcPr>
            <w:tcW w:w="4160" w:type="dxa"/>
            <w:noWrap w:val="0"/>
            <w:vAlign w:val="top"/>
          </w:tcPr>
          <w:p w14:paraId="2737F39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可用单手手掌或者手指轻松操作，增加摩擦力和稳定性，方面老年人开门</w:t>
            </w:r>
          </w:p>
        </w:tc>
        <w:tc>
          <w:tcPr>
            <w:tcW w:w="1234" w:type="dxa"/>
            <w:noWrap w:val="0"/>
            <w:vAlign w:val="top"/>
          </w:tcPr>
          <w:p w14:paraId="7201E84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可选</w:t>
            </w:r>
          </w:p>
        </w:tc>
      </w:tr>
      <w:tr w14:paraId="2849F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76CD590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Calibri" w:hAnsi="Calibri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1187" w:type="dxa"/>
            <w:vMerge w:val="restart"/>
            <w:noWrap w:val="0"/>
            <w:vAlign w:val="center"/>
          </w:tcPr>
          <w:p w14:paraId="5B7B31E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卧室改造</w:t>
            </w:r>
          </w:p>
        </w:tc>
        <w:tc>
          <w:tcPr>
            <w:tcW w:w="1613" w:type="dxa"/>
            <w:noWrap w:val="0"/>
            <w:vAlign w:val="top"/>
          </w:tcPr>
          <w:p w14:paraId="4161C51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安装床边护栏</w:t>
            </w:r>
          </w:p>
        </w:tc>
        <w:tc>
          <w:tcPr>
            <w:tcW w:w="4160" w:type="dxa"/>
            <w:noWrap w:val="0"/>
            <w:vAlign w:val="top"/>
          </w:tcPr>
          <w:p w14:paraId="6CF6E2A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辅助老年人起身、上下床，防止翻身滚下床</w:t>
            </w:r>
          </w:p>
        </w:tc>
        <w:tc>
          <w:tcPr>
            <w:tcW w:w="1234" w:type="dxa"/>
            <w:noWrap w:val="0"/>
            <w:vAlign w:val="top"/>
          </w:tcPr>
          <w:p w14:paraId="68DA984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基础</w:t>
            </w:r>
          </w:p>
        </w:tc>
      </w:tr>
      <w:tr w14:paraId="6C054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7EA89C6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Calibri" w:hAnsi="Calibri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1187" w:type="dxa"/>
            <w:vMerge w:val="continue"/>
            <w:noWrap w:val="0"/>
            <w:vAlign w:val="center"/>
          </w:tcPr>
          <w:p w14:paraId="36506AF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613" w:type="dxa"/>
            <w:noWrap w:val="0"/>
            <w:vAlign w:val="top"/>
          </w:tcPr>
          <w:p w14:paraId="39BD332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配置防压疮垫</w:t>
            </w:r>
          </w:p>
        </w:tc>
        <w:tc>
          <w:tcPr>
            <w:tcW w:w="4160" w:type="dxa"/>
            <w:noWrap w:val="0"/>
            <w:vAlign w:val="top"/>
          </w:tcPr>
          <w:p w14:paraId="152984F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避免长期乘坐轮椅或卧床的老年人发生严重压疮，包括防压疮坐垫、靠垫或床垫等</w:t>
            </w:r>
          </w:p>
        </w:tc>
        <w:tc>
          <w:tcPr>
            <w:tcW w:w="1234" w:type="dxa"/>
            <w:noWrap w:val="0"/>
            <w:vAlign w:val="top"/>
          </w:tcPr>
          <w:p w14:paraId="615DFB4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可选</w:t>
            </w:r>
          </w:p>
        </w:tc>
      </w:tr>
      <w:tr w14:paraId="06B84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5E67200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Calibri" w:hAnsi="Calibri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1187" w:type="dxa"/>
            <w:vMerge w:val="restart"/>
            <w:noWrap w:val="0"/>
            <w:vAlign w:val="center"/>
          </w:tcPr>
          <w:p w14:paraId="48A28FD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如厕洗浴设备改造</w:t>
            </w:r>
          </w:p>
        </w:tc>
        <w:tc>
          <w:tcPr>
            <w:tcW w:w="1613" w:type="dxa"/>
            <w:noWrap w:val="0"/>
            <w:vAlign w:val="top"/>
          </w:tcPr>
          <w:p w14:paraId="1438222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安装扶手</w:t>
            </w:r>
          </w:p>
        </w:tc>
        <w:tc>
          <w:tcPr>
            <w:tcW w:w="4160" w:type="dxa"/>
            <w:noWrap w:val="0"/>
            <w:vAlign w:val="top"/>
          </w:tcPr>
          <w:p w14:paraId="65F736A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在如厕区或者洗浴区安装扶手，包括一字型扶手、</w:t>
            </w: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U形扶手、L形扶手或者助力扶手等</w:t>
            </w:r>
          </w:p>
        </w:tc>
        <w:tc>
          <w:tcPr>
            <w:tcW w:w="1234" w:type="dxa"/>
            <w:vMerge w:val="restart"/>
            <w:noWrap w:val="0"/>
            <w:vAlign w:val="top"/>
          </w:tcPr>
          <w:p w14:paraId="6473517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基础（两项选一项）</w:t>
            </w:r>
          </w:p>
        </w:tc>
      </w:tr>
      <w:tr w14:paraId="72AF6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539CB8B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Calibri" w:hAnsi="Calibri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1187" w:type="dxa"/>
            <w:vMerge w:val="continue"/>
            <w:noWrap w:val="0"/>
            <w:vAlign w:val="center"/>
          </w:tcPr>
          <w:p w14:paraId="6361EB0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613" w:type="dxa"/>
            <w:noWrap w:val="0"/>
            <w:vAlign w:val="top"/>
          </w:tcPr>
          <w:p w14:paraId="6CF146B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配置淋浴椅</w:t>
            </w:r>
          </w:p>
        </w:tc>
        <w:tc>
          <w:tcPr>
            <w:tcW w:w="4160" w:type="dxa"/>
            <w:noWrap w:val="0"/>
            <w:vAlign w:val="top"/>
          </w:tcPr>
          <w:p w14:paraId="3283AD9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辅助老年人洗澡用，避免老年人滑倒</w:t>
            </w:r>
          </w:p>
        </w:tc>
        <w:tc>
          <w:tcPr>
            <w:tcW w:w="1234" w:type="dxa"/>
            <w:vMerge w:val="continue"/>
            <w:noWrap w:val="0"/>
            <w:vAlign w:val="top"/>
          </w:tcPr>
          <w:p w14:paraId="02E868D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</w:tr>
      <w:tr w14:paraId="27430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2BB437B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Calibri" w:hAnsi="Calibri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1187" w:type="dxa"/>
            <w:vMerge w:val="restart"/>
            <w:noWrap w:val="0"/>
            <w:vAlign w:val="center"/>
          </w:tcPr>
          <w:p w14:paraId="6016D89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物理环境改造</w:t>
            </w:r>
          </w:p>
        </w:tc>
        <w:tc>
          <w:tcPr>
            <w:tcW w:w="1613" w:type="dxa"/>
            <w:noWrap w:val="0"/>
            <w:vAlign w:val="top"/>
          </w:tcPr>
          <w:p w14:paraId="538975F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灯源改造</w:t>
            </w:r>
          </w:p>
        </w:tc>
        <w:tc>
          <w:tcPr>
            <w:tcW w:w="4160" w:type="dxa"/>
            <w:noWrap w:val="0"/>
            <w:vAlign w:val="top"/>
          </w:tcPr>
          <w:p w14:paraId="272DE14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安装自动感应灯，辅助老年人起夜使用</w:t>
            </w:r>
          </w:p>
        </w:tc>
        <w:tc>
          <w:tcPr>
            <w:tcW w:w="1234" w:type="dxa"/>
            <w:noWrap w:val="0"/>
            <w:vAlign w:val="top"/>
          </w:tcPr>
          <w:p w14:paraId="2E5F722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可选</w:t>
            </w:r>
          </w:p>
        </w:tc>
      </w:tr>
      <w:tr w14:paraId="334FF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3D28C71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Calibri" w:hAnsi="Calibri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11</w:t>
            </w:r>
          </w:p>
        </w:tc>
        <w:tc>
          <w:tcPr>
            <w:tcW w:w="1187" w:type="dxa"/>
            <w:vMerge w:val="continue"/>
            <w:noWrap w:val="0"/>
            <w:vAlign w:val="top"/>
          </w:tcPr>
          <w:p w14:paraId="50BDF74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613" w:type="dxa"/>
            <w:noWrap w:val="0"/>
            <w:vAlign w:val="top"/>
          </w:tcPr>
          <w:p w14:paraId="174D0EB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电源插座及开关改造</w:t>
            </w:r>
          </w:p>
        </w:tc>
        <w:tc>
          <w:tcPr>
            <w:tcW w:w="4160" w:type="dxa"/>
            <w:noWrap w:val="0"/>
            <w:vAlign w:val="top"/>
          </w:tcPr>
          <w:p w14:paraId="2656DA3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根据情况进行高</w:t>
            </w: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/低位、大面板、夜间指示改造，方便老年人使用</w:t>
            </w:r>
          </w:p>
        </w:tc>
        <w:tc>
          <w:tcPr>
            <w:tcW w:w="1234" w:type="dxa"/>
            <w:noWrap w:val="0"/>
            <w:vAlign w:val="top"/>
          </w:tcPr>
          <w:p w14:paraId="0492147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可选</w:t>
            </w:r>
          </w:p>
        </w:tc>
      </w:tr>
      <w:tr w14:paraId="1ED47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6C90226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12</w:t>
            </w:r>
          </w:p>
        </w:tc>
        <w:tc>
          <w:tcPr>
            <w:tcW w:w="1187" w:type="dxa"/>
            <w:vMerge w:val="continue"/>
            <w:noWrap w:val="0"/>
            <w:vAlign w:val="top"/>
          </w:tcPr>
          <w:p w14:paraId="4B7DCAA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613" w:type="dxa"/>
            <w:noWrap w:val="0"/>
            <w:vAlign w:val="top"/>
          </w:tcPr>
          <w:p w14:paraId="6249A10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安装防撞护角</w:t>
            </w: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/防撞条、提示标识</w:t>
            </w:r>
          </w:p>
        </w:tc>
        <w:tc>
          <w:tcPr>
            <w:tcW w:w="4160" w:type="dxa"/>
            <w:noWrap w:val="0"/>
            <w:vAlign w:val="top"/>
          </w:tcPr>
          <w:p w14:paraId="3A78D40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在家具尖角或墙角安装防撞护角或防撞条，必要时粘贴警示条</w:t>
            </w:r>
          </w:p>
        </w:tc>
        <w:tc>
          <w:tcPr>
            <w:tcW w:w="1234" w:type="dxa"/>
            <w:noWrap w:val="0"/>
            <w:vAlign w:val="top"/>
          </w:tcPr>
          <w:p w14:paraId="52C0E7D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可选</w:t>
            </w:r>
          </w:p>
        </w:tc>
      </w:tr>
    </w:tbl>
    <w:p w14:paraId="763C1D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center"/>
        <w:textAlignment w:val="auto"/>
        <w:rPr>
          <w:rFonts w:hint="eastAsia"/>
          <w:highlight w:val="none"/>
          <w:lang w:eastAsia="zh-CN"/>
        </w:rPr>
      </w:pPr>
    </w:p>
    <w:p w14:paraId="30D998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center"/>
        <w:textAlignment w:val="auto"/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  <w:lang w:eastAsia="zh-CN"/>
        </w:rPr>
        <w:t>家庭养老床位配置项目参考清单（智能化配置）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1122"/>
        <w:gridCol w:w="1529"/>
        <w:gridCol w:w="3858"/>
        <w:gridCol w:w="1183"/>
      </w:tblGrid>
      <w:tr w14:paraId="7F1ED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top"/>
          </w:tcPr>
          <w:p w14:paraId="3CAD20B1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序号</w:t>
            </w:r>
          </w:p>
        </w:tc>
        <w:tc>
          <w:tcPr>
            <w:tcW w:w="1187" w:type="dxa"/>
            <w:noWrap w:val="0"/>
            <w:vAlign w:val="top"/>
          </w:tcPr>
          <w:p w14:paraId="13FA28F6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类别</w:t>
            </w:r>
          </w:p>
        </w:tc>
        <w:tc>
          <w:tcPr>
            <w:tcW w:w="1613" w:type="dxa"/>
            <w:noWrap w:val="0"/>
            <w:vAlign w:val="top"/>
          </w:tcPr>
          <w:p w14:paraId="450F5D0A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项目名称</w:t>
            </w:r>
          </w:p>
        </w:tc>
        <w:tc>
          <w:tcPr>
            <w:tcW w:w="4160" w:type="dxa"/>
            <w:noWrap w:val="0"/>
            <w:vAlign w:val="top"/>
          </w:tcPr>
          <w:p w14:paraId="32702125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具体内容</w:t>
            </w:r>
          </w:p>
        </w:tc>
        <w:tc>
          <w:tcPr>
            <w:tcW w:w="1234" w:type="dxa"/>
            <w:noWrap w:val="0"/>
            <w:vAlign w:val="top"/>
          </w:tcPr>
          <w:p w14:paraId="6125B993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项目类型</w:t>
            </w:r>
          </w:p>
        </w:tc>
      </w:tr>
      <w:tr w14:paraId="268DA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7DDAEC3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187" w:type="dxa"/>
            <w:vMerge w:val="restart"/>
            <w:noWrap w:val="0"/>
            <w:vAlign w:val="center"/>
          </w:tcPr>
          <w:p w14:paraId="1A0EB0B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网络连接设备</w:t>
            </w:r>
          </w:p>
        </w:tc>
        <w:tc>
          <w:tcPr>
            <w:tcW w:w="1613" w:type="dxa"/>
            <w:noWrap w:val="0"/>
            <w:vAlign w:val="top"/>
          </w:tcPr>
          <w:p w14:paraId="2D922E8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WIFI路由器</w:t>
            </w:r>
          </w:p>
        </w:tc>
        <w:tc>
          <w:tcPr>
            <w:tcW w:w="4160" w:type="dxa"/>
            <w:vMerge w:val="restart"/>
            <w:noWrap w:val="0"/>
            <w:vAlign w:val="top"/>
          </w:tcPr>
          <w:p w14:paraId="0ED9BC9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保障相关智能设备数据的传送和服务响应</w:t>
            </w:r>
          </w:p>
        </w:tc>
        <w:tc>
          <w:tcPr>
            <w:tcW w:w="1234" w:type="dxa"/>
            <w:vMerge w:val="restart"/>
            <w:noWrap w:val="0"/>
            <w:vAlign w:val="top"/>
          </w:tcPr>
          <w:p w14:paraId="1EEB45F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基础（任选其一）</w:t>
            </w:r>
          </w:p>
        </w:tc>
      </w:tr>
      <w:tr w14:paraId="77B93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0D988B5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187" w:type="dxa"/>
            <w:vMerge w:val="continue"/>
            <w:noWrap w:val="0"/>
            <w:vAlign w:val="center"/>
          </w:tcPr>
          <w:p w14:paraId="0A5F6A0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613" w:type="dxa"/>
            <w:noWrap w:val="0"/>
            <w:vAlign w:val="top"/>
          </w:tcPr>
          <w:p w14:paraId="53CD7ED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无线网卡</w:t>
            </w:r>
          </w:p>
        </w:tc>
        <w:tc>
          <w:tcPr>
            <w:tcW w:w="4160" w:type="dxa"/>
            <w:vMerge w:val="continue"/>
            <w:noWrap w:val="0"/>
            <w:vAlign w:val="top"/>
          </w:tcPr>
          <w:p w14:paraId="6A954CB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vMerge w:val="continue"/>
            <w:noWrap w:val="0"/>
            <w:vAlign w:val="top"/>
          </w:tcPr>
          <w:p w14:paraId="734B510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</w:tr>
      <w:tr w14:paraId="479BA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782B2CC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187" w:type="dxa"/>
            <w:noWrap w:val="0"/>
            <w:vAlign w:val="center"/>
          </w:tcPr>
          <w:p w14:paraId="4FAA77E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紧急呼叫设备</w:t>
            </w:r>
          </w:p>
        </w:tc>
        <w:tc>
          <w:tcPr>
            <w:tcW w:w="1613" w:type="dxa"/>
            <w:noWrap w:val="0"/>
            <w:vAlign w:val="top"/>
          </w:tcPr>
          <w:p w14:paraId="2E89A17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紧急呼叫器</w:t>
            </w:r>
          </w:p>
        </w:tc>
        <w:tc>
          <w:tcPr>
            <w:tcW w:w="4160" w:type="dxa"/>
            <w:noWrap w:val="0"/>
            <w:vAlign w:val="top"/>
          </w:tcPr>
          <w:p w14:paraId="06DDD1E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安装在床头、卫生间等关键位置，老年人出现紧急情况便于一键呼叫</w:t>
            </w:r>
          </w:p>
        </w:tc>
        <w:tc>
          <w:tcPr>
            <w:tcW w:w="1234" w:type="dxa"/>
            <w:noWrap w:val="0"/>
            <w:vAlign w:val="top"/>
          </w:tcPr>
          <w:p w14:paraId="2420AB2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基础</w:t>
            </w:r>
          </w:p>
        </w:tc>
      </w:tr>
      <w:tr w14:paraId="75A9C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0CF1275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187" w:type="dxa"/>
            <w:noWrap w:val="0"/>
            <w:vAlign w:val="center"/>
          </w:tcPr>
          <w:p w14:paraId="799BB80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生命体征监测设备</w:t>
            </w:r>
          </w:p>
        </w:tc>
        <w:tc>
          <w:tcPr>
            <w:tcW w:w="1613" w:type="dxa"/>
            <w:noWrap w:val="0"/>
            <w:vAlign w:val="top"/>
          </w:tcPr>
          <w:p w14:paraId="78748FE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智能腕表、床垫等</w:t>
            </w:r>
          </w:p>
        </w:tc>
        <w:tc>
          <w:tcPr>
            <w:tcW w:w="4160" w:type="dxa"/>
            <w:noWrap w:val="0"/>
            <w:vAlign w:val="top"/>
          </w:tcPr>
          <w:p w14:paraId="2BED57C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动态监测和记录老年人呼吸、心率等参数，实施体动感应、离床感应，发现异常自动提醒</w:t>
            </w:r>
          </w:p>
        </w:tc>
        <w:tc>
          <w:tcPr>
            <w:tcW w:w="1234" w:type="dxa"/>
            <w:noWrap w:val="0"/>
            <w:vAlign w:val="top"/>
          </w:tcPr>
          <w:p w14:paraId="3539E50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基础</w:t>
            </w:r>
          </w:p>
        </w:tc>
      </w:tr>
      <w:tr w14:paraId="7146F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12365ED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187" w:type="dxa"/>
            <w:vMerge w:val="restart"/>
            <w:noWrap w:val="0"/>
            <w:vAlign w:val="center"/>
          </w:tcPr>
          <w:p w14:paraId="41E9812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highlight w:val="none"/>
                <w:vertAlign w:val="baseline"/>
                <w:lang w:eastAsia="zh-CN"/>
              </w:rPr>
              <w:t>安全监控装置</w:t>
            </w:r>
          </w:p>
        </w:tc>
        <w:tc>
          <w:tcPr>
            <w:tcW w:w="1613" w:type="dxa"/>
            <w:noWrap w:val="0"/>
            <w:vAlign w:val="top"/>
          </w:tcPr>
          <w:p w14:paraId="229CDEE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烟雾报警器</w:t>
            </w:r>
          </w:p>
        </w:tc>
        <w:tc>
          <w:tcPr>
            <w:tcW w:w="4160" w:type="dxa"/>
            <w:vMerge w:val="restart"/>
            <w:noWrap w:val="0"/>
            <w:vAlign w:val="top"/>
          </w:tcPr>
          <w:p w14:paraId="06B9ABE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安装在居家应急响应位置，用于监测老年人居室环境，发生险情时及时报警</w:t>
            </w:r>
          </w:p>
        </w:tc>
        <w:tc>
          <w:tcPr>
            <w:tcW w:w="1234" w:type="dxa"/>
            <w:vMerge w:val="restart"/>
            <w:noWrap w:val="0"/>
            <w:vAlign w:val="top"/>
          </w:tcPr>
          <w:p w14:paraId="47CE510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可选</w:t>
            </w:r>
          </w:p>
        </w:tc>
      </w:tr>
      <w:tr w14:paraId="1A269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0073AF6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1187" w:type="dxa"/>
            <w:vMerge w:val="continue"/>
            <w:noWrap w:val="0"/>
            <w:vAlign w:val="center"/>
          </w:tcPr>
          <w:p w14:paraId="54B493D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613" w:type="dxa"/>
            <w:noWrap w:val="0"/>
            <w:vAlign w:val="top"/>
          </w:tcPr>
          <w:p w14:paraId="2B4CFED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可燃气体泄漏报警器</w:t>
            </w:r>
          </w:p>
        </w:tc>
        <w:tc>
          <w:tcPr>
            <w:tcW w:w="4160" w:type="dxa"/>
            <w:vMerge w:val="continue"/>
            <w:noWrap w:val="0"/>
            <w:vAlign w:val="top"/>
          </w:tcPr>
          <w:p w14:paraId="7E81E49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vMerge w:val="continue"/>
            <w:noWrap w:val="0"/>
            <w:vAlign w:val="top"/>
          </w:tcPr>
          <w:p w14:paraId="48C21DB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</w:tr>
      <w:tr w14:paraId="52635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44B0F15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1187" w:type="dxa"/>
            <w:vMerge w:val="continue"/>
            <w:noWrap w:val="0"/>
            <w:vAlign w:val="center"/>
          </w:tcPr>
          <w:p w14:paraId="04A2E97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613" w:type="dxa"/>
            <w:noWrap w:val="0"/>
            <w:vAlign w:val="top"/>
          </w:tcPr>
          <w:p w14:paraId="7ECB2DB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溢水报警器</w:t>
            </w:r>
          </w:p>
        </w:tc>
        <w:tc>
          <w:tcPr>
            <w:tcW w:w="4160" w:type="dxa"/>
            <w:vMerge w:val="continue"/>
            <w:noWrap w:val="0"/>
            <w:vAlign w:val="top"/>
          </w:tcPr>
          <w:p w14:paraId="23DCEFE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vMerge w:val="continue"/>
            <w:noWrap w:val="0"/>
            <w:vAlign w:val="top"/>
          </w:tcPr>
          <w:p w14:paraId="2E39A01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</w:tr>
      <w:tr w14:paraId="061D9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13F9A2D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1187" w:type="dxa"/>
            <w:noWrap w:val="0"/>
            <w:vAlign w:val="center"/>
          </w:tcPr>
          <w:p w14:paraId="504DBE6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视频或语音通话设备</w:t>
            </w:r>
          </w:p>
        </w:tc>
        <w:tc>
          <w:tcPr>
            <w:tcW w:w="1613" w:type="dxa"/>
            <w:noWrap w:val="0"/>
            <w:vAlign w:val="top"/>
          </w:tcPr>
          <w:p w14:paraId="5C90BAD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智能监控摄像头</w:t>
            </w:r>
          </w:p>
        </w:tc>
        <w:tc>
          <w:tcPr>
            <w:tcW w:w="4160" w:type="dxa"/>
            <w:noWrap w:val="0"/>
            <w:vAlign w:val="top"/>
          </w:tcPr>
          <w:p w14:paraId="7CD5BCC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双向实时视频或者语音通话，及时准确掌握老年人在家实时情况</w:t>
            </w:r>
          </w:p>
        </w:tc>
        <w:tc>
          <w:tcPr>
            <w:tcW w:w="1234" w:type="dxa"/>
            <w:noWrap w:val="0"/>
            <w:vAlign w:val="top"/>
          </w:tcPr>
          <w:p w14:paraId="09DF3E4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可选</w:t>
            </w:r>
          </w:p>
        </w:tc>
      </w:tr>
      <w:tr w14:paraId="13F23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867" w:type="dxa"/>
            <w:noWrap w:val="0"/>
            <w:vAlign w:val="center"/>
          </w:tcPr>
          <w:p w14:paraId="7E19773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1187" w:type="dxa"/>
            <w:vMerge w:val="restart"/>
            <w:noWrap w:val="0"/>
            <w:vAlign w:val="center"/>
          </w:tcPr>
          <w:p w14:paraId="5E5AA1A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智能感应设备</w:t>
            </w:r>
          </w:p>
        </w:tc>
        <w:tc>
          <w:tcPr>
            <w:tcW w:w="1613" w:type="dxa"/>
            <w:noWrap w:val="0"/>
            <w:vAlign w:val="top"/>
          </w:tcPr>
          <w:p w14:paraId="313DA06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门磁感应器</w:t>
            </w:r>
          </w:p>
        </w:tc>
        <w:tc>
          <w:tcPr>
            <w:tcW w:w="4160" w:type="dxa"/>
            <w:noWrap w:val="0"/>
            <w:vAlign w:val="top"/>
          </w:tcPr>
          <w:p w14:paraId="2180C6B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安装在门或窗等位置，实时监测门窗开闭状态，触发及时报警</w:t>
            </w:r>
          </w:p>
        </w:tc>
        <w:tc>
          <w:tcPr>
            <w:tcW w:w="1234" w:type="dxa"/>
            <w:noWrap w:val="0"/>
            <w:vAlign w:val="top"/>
          </w:tcPr>
          <w:p w14:paraId="0141207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可选</w:t>
            </w:r>
          </w:p>
        </w:tc>
      </w:tr>
      <w:tr w14:paraId="52699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7B4167A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1187" w:type="dxa"/>
            <w:vMerge w:val="continue"/>
            <w:noWrap w:val="0"/>
            <w:vAlign w:val="center"/>
          </w:tcPr>
          <w:p w14:paraId="01C4359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613" w:type="dxa"/>
            <w:noWrap w:val="0"/>
            <w:vAlign w:val="top"/>
          </w:tcPr>
          <w:p w14:paraId="1ED7BB1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红外探测器</w:t>
            </w:r>
          </w:p>
        </w:tc>
        <w:tc>
          <w:tcPr>
            <w:tcW w:w="4160" w:type="dxa"/>
            <w:noWrap w:val="0"/>
            <w:vAlign w:val="top"/>
          </w:tcPr>
          <w:p w14:paraId="0008DEE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安装在卧室、客厅等老年人频繁活动区域，探测老年人活动情况</w:t>
            </w:r>
          </w:p>
        </w:tc>
        <w:tc>
          <w:tcPr>
            <w:tcW w:w="1234" w:type="dxa"/>
            <w:noWrap w:val="0"/>
            <w:vAlign w:val="top"/>
          </w:tcPr>
          <w:p w14:paraId="0C7453E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可选</w:t>
            </w:r>
          </w:p>
        </w:tc>
      </w:tr>
    </w:tbl>
    <w:p w14:paraId="0990DEC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基础项目是必须配置的项目，可选项目是根据老年人实际情况和需求进行个性化配置的项目，适老化改造配置项目的可选项目</w:t>
      </w:r>
      <w:r>
        <w:rPr>
          <w:rFonts w:hint="eastAsia" w:ascii="仿宋_GB2312" w:hAnsi="仿宋_GB2312" w:cs="仿宋_GB2312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项选</w:t>
      </w:r>
      <w:r>
        <w:rPr>
          <w:rFonts w:hint="eastAsia" w:ascii="仿宋_GB2312" w:hAnsi="仿宋_GB2312" w:cs="仿宋_GB2312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项（不可重复选），智能化配置可选项目</w:t>
      </w:r>
      <w:r>
        <w:rPr>
          <w:rFonts w:hint="eastAsia" w:ascii="仿宋_GB2312" w:hAnsi="仿宋_GB2312" w:cs="仿宋_GB2312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项选1项</w:t>
      </w:r>
      <w:r>
        <w:rPr>
          <w:rFonts w:hint="eastAsia" w:ascii="仿宋_GB2312" w:hAnsi="仿宋_GB2312" w:cs="仿宋_GB2312"/>
          <w:sz w:val="28"/>
          <w:szCs w:val="28"/>
          <w:highlight w:val="none"/>
          <w:lang w:val="en-US" w:eastAsia="zh-CN"/>
        </w:rPr>
        <w:t>。</w:t>
      </w:r>
    </w:p>
    <w:p w14:paraId="3BA8EED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3C94F78"/>
    <w:rsid w:val="67B1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32" w:firstLineChars="20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spacing w:before="100" w:beforeLines="0" w:beforeAutospacing="1" w:after="100" w:afterLines="0" w:afterAutospacing="1"/>
      <w:ind w:left="420" w:leftChars="200"/>
    </w:pPr>
    <w:rPr>
      <w:rFonts w:eastAsia="仿宋_GB2312"/>
      <w:sz w:val="32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558</Words>
  <Characters>564</Characters>
  <Lines>0</Lines>
  <Paragraphs>0</Paragraphs>
  <TotalTime>0</TotalTime>
  <ScaleCrop>false</ScaleCrop>
  <LinksUpToDate>false</LinksUpToDate>
  <CharactersWithSpaces>564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2026-09-10T09:06:00Z</dcterms:created>
  <dc:creator>Administrator</dc:creator>
  <cp:lastModifiedBy>于尹</cp:lastModifiedBy>
  <dcterms:modified xsi:type="dcterms:W3CDTF">2026-09-28T03:19:29Z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eyJoZGlkIjoiYzgwMDg2YzM1YjMyYzQzZWM1Y2UyMzVlMjUxOWQ3Y2UiLCJ1c2VySWQiOiIxNDg4NzczMTM0In0=</vt:lpwstr>
  </property>
  <property fmtid="{D5CDD505-2E9C-101B-9397-08002B2CF9AE}" pid="4" name="ICV">
    <vt:lpwstr>09BAD526DB7C41719B6E4B17A2A4B985_12</vt:lpwstr>
  </property>
</Properties>
</file>